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D4E44" w14:textId="6C98E202" w:rsidR="007A79AD" w:rsidRDefault="00963A8C" w:rsidP="00A654F9">
      <w:pPr>
        <w:pStyle w:val="Heading2"/>
        <w:numPr>
          <w:ilvl w:val="0"/>
          <w:numId w:val="0"/>
        </w:numPr>
        <w:spacing w:before="0" w:after="120"/>
        <w:rPr>
          <w:rFonts w:cs="Arial"/>
          <w:szCs w:val="24"/>
        </w:rPr>
      </w:pPr>
      <w:r w:rsidRPr="00876C52">
        <w:rPr>
          <w:rFonts w:cs="Arial"/>
          <w:noProof/>
          <w:szCs w:val="24"/>
        </w:rPr>
        <w:drawing>
          <wp:anchor distT="0" distB="0" distL="114300" distR="114300" simplePos="0" relativeHeight="251658240" behindDoc="0" locked="0" layoutInCell="1" allowOverlap="1" wp14:anchorId="7B117367" wp14:editId="6743B92F">
            <wp:simplePos x="0" y="0"/>
            <wp:positionH relativeFrom="page">
              <wp:posOffset>0</wp:posOffset>
            </wp:positionH>
            <wp:positionV relativeFrom="paragraph">
              <wp:posOffset>-723900</wp:posOffset>
            </wp:positionV>
            <wp:extent cx="7610475" cy="10746105"/>
            <wp:effectExtent l="0" t="0" r="9525" b="0"/>
            <wp:wrapNone/>
            <wp:docPr id="1276612341" name="Picture 1" descr="Title page - A blue and purple squares with white text saying 'Special educational needs and disabilities/learning disabilites/neurodiversity in-depth needs assessment, 0-25 year olds. 2025. Part of the joint strategic needs assessment pro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612341" name="Picture 1" descr="Title page - A blue and purple squares with white text saying 'Special educational needs and disabilities/learning disabilites/neurodiversity in-depth needs assessment, 0-25 year olds. 2025. Part of the joint strategic needs assessment programme'"/>
                    <pic:cNvPicPr/>
                  </pic:nvPicPr>
                  <pic:blipFill>
                    <a:blip r:embed="rId11">
                      <a:extLst>
                        <a:ext uri="{28A0092B-C50C-407E-A947-70E740481C1C}">
                          <a14:useLocalDpi xmlns:a14="http://schemas.microsoft.com/office/drawing/2010/main" val="0"/>
                        </a:ext>
                      </a:extLst>
                    </a:blip>
                    <a:stretch>
                      <a:fillRect/>
                    </a:stretch>
                  </pic:blipFill>
                  <pic:spPr>
                    <a:xfrm>
                      <a:off x="0" y="0"/>
                      <a:ext cx="7610475" cy="10746105"/>
                    </a:xfrm>
                    <a:prstGeom prst="rect">
                      <a:avLst/>
                    </a:prstGeom>
                  </pic:spPr>
                </pic:pic>
              </a:graphicData>
            </a:graphic>
            <wp14:sizeRelH relativeFrom="page">
              <wp14:pctWidth>0</wp14:pctWidth>
            </wp14:sizeRelH>
            <wp14:sizeRelV relativeFrom="page">
              <wp14:pctHeight>0</wp14:pctHeight>
            </wp14:sizeRelV>
          </wp:anchor>
        </w:drawing>
      </w:r>
      <w:r w:rsidR="006F1671">
        <w:rPr>
          <w:rFonts w:cs="Arial"/>
          <w:szCs w:val="24"/>
        </w:rPr>
        <w:t xml:space="preserve"> </w:t>
      </w:r>
    </w:p>
    <w:p w14:paraId="382B87DF" w14:textId="4530DD33" w:rsidR="00F0119C" w:rsidRDefault="00F0119C" w:rsidP="00D9246A">
      <w:pPr>
        <w:spacing w:line="240" w:lineRule="auto"/>
      </w:pPr>
    </w:p>
    <w:p w14:paraId="4C73CC52" w14:textId="77777777" w:rsidR="00F0119C" w:rsidRDefault="00F0119C" w:rsidP="00D9246A">
      <w:pPr>
        <w:spacing w:line="240" w:lineRule="auto"/>
      </w:pPr>
    </w:p>
    <w:p w14:paraId="78217A60" w14:textId="0FC42C7A" w:rsidR="00F0119C" w:rsidRDefault="00F0119C" w:rsidP="00D9246A">
      <w:pPr>
        <w:spacing w:line="240" w:lineRule="auto"/>
      </w:pPr>
    </w:p>
    <w:p w14:paraId="3D31384A" w14:textId="77777777" w:rsidR="00F0119C" w:rsidRDefault="00F0119C" w:rsidP="00D9246A">
      <w:pPr>
        <w:spacing w:line="240" w:lineRule="auto"/>
      </w:pPr>
    </w:p>
    <w:p w14:paraId="4BF8B10A" w14:textId="77777777" w:rsidR="00F0119C" w:rsidRDefault="00F0119C" w:rsidP="00D9246A">
      <w:pPr>
        <w:spacing w:line="240" w:lineRule="auto"/>
      </w:pPr>
    </w:p>
    <w:p w14:paraId="3B583829" w14:textId="3AEDED76" w:rsidR="00F0119C" w:rsidRDefault="00F0119C" w:rsidP="00D9246A">
      <w:pPr>
        <w:spacing w:line="240" w:lineRule="auto"/>
      </w:pPr>
    </w:p>
    <w:p w14:paraId="35B12626" w14:textId="77777777" w:rsidR="00F0119C" w:rsidRDefault="00F0119C" w:rsidP="00D9246A">
      <w:pPr>
        <w:spacing w:line="240" w:lineRule="auto"/>
      </w:pPr>
    </w:p>
    <w:p w14:paraId="2B974FBB" w14:textId="77777777" w:rsidR="00F0119C" w:rsidRDefault="00F0119C" w:rsidP="00D9246A">
      <w:pPr>
        <w:spacing w:line="240" w:lineRule="auto"/>
      </w:pPr>
    </w:p>
    <w:p w14:paraId="2E309164" w14:textId="2AED9EA6" w:rsidR="00F0119C" w:rsidRDefault="00F0119C" w:rsidP="00D9246A">
      <w:pPr>
        <w:spacing w:line="240" w:lineRule="auto"/>
      </w:pPr>
    </w:p>
    <w:p w14:paraId="1A9BE579" w14:textId="77777777" w:rsidR="00F0119C" w:rsidRDefault="00F0119C" w:rsidP="00D9246A">
      <w:pPr>
        <w:spacing w:line="240" w:lineRule="auto"/>
      </w:pPr>
    </w:p>
    <w:p w14:paraId="62F36425" w14:textId="77777777" w:rsidR="00F0119C" w:rsidRDefault="00F0119C" w:rsidP="00D9246A">
      <w:pPr>
        <w:spacing w:line="240" w:lineRule="auto"/>
      </w:pPr>
    </w:p>
    <w:p w14:paraId="2D49A772" w14:textId="77777777" w:rsidR="00F0119C" w:rsidRDefault="00F0119C" w:rsidP="00D9246A">
      <w:pPr>
        <w:spacing w:line="240" w:lineRule="auto"/>
      </w:pPr>
    </w:p>
    <w:p w14:paraId="6C565AE4" w14:textId="77777777" w:rsidR="00F0119C" w:rsidRDefault="00F0119C" w:rsidP="00D9246A">
      <w:pPr>
        <w:spacing w:line="240" w:lineRule="auto"/>
      </w:pPr>
    </w:p>
    <w:p w14:paraId="6D8CFECB" w14:textId="77777777" w:rsidR="00F0119C" w:rsidRDefault="00F0119C" w:rsidP="00D9246A">
      <w:pPr>
        <w:spacing w:line="240" w:lineRule="auto"/>
      </w:pPr>
    </w:p>
    <w:p w14:paraId="090429C0" w14:textId="77777777" w:rsidR="00F0119C" w:rsidRDefault="00F0119C" w:rsidP="00D9246A">
      <w:pPr>
        <w:spacing w:line="240" w:lineRule="auto"/>
      </w:pPr>
    </w:p>
    <w:p w14:paraId="5E01D01D" w14:textId="77777777" w:rsidR="00F0119C" w:rsidRDefault="00F0119C" w:rsidP="00D9246A">
      <w:pPr>
        <w:spacing w:line="240" w:lineRule="auto"/>
      </w:pPr>
    </w:p>
    <w:p w14:paraId="5469670C" w14:textId="77777777" w:rsidR="00F0119C" w:rsidRDefault="00F0119C" w:rsidP="00D9246A">
      <w:pPr>
        <w:spacing w:line="240" w:lineRule="auto"/>
      </w:pPr>
    </w:p>
    <w:p w14:paraId="0B73333D" w14:textId="77777777" w:rsidR="00F0119C" w:rsidRDefault="00F0119C" w:rsidP="00D9246A">
      <w:pPr>
        <w:spacing w:line="240" w:lineRule="auto"/>
      </w:pPr>
    </w:p>
    <w:p w14:paraId="48DE9074" w14:textId="77777777" w:rsidR="00F0119C" w:rsidRDefault="00F0119C" w:rsidP="00D9246A">
      <w:pPr>
        <w:spacing w:line="240" w:lineRule="auto"/>
      </w:pPr>
    </w:p>
    <w:p w14:paraId="6915ECD2" w14:textId="77777777" w:rsidR="00F0119C" w:rsidRDefault="00F0119C" w:rsidP="00D9246A">
      <w:pPr>
        <w:spacing w:line="240" w:lineRule="auto"/>
      </w:pPr>
    </w:p>
    <w:p w14:paraId="54879120" w14:textId="77777777" w:rsidR="00F0119C" w:rsidRDefault="00F0119C" w:rsidP="00D9246A">
      <w:pPr>
        <w:spacing w:line="240" w:lineRule="auto"/>
      </w:pPr>
    </w:p>
    <w:p w14:paraId="31EDF7A1" w14:textId="77777777" w:rsidR="00F0119C" w:rsidRDefault="00F0119C" w:rsidP="00D9246A">
      <w:pPr>
        <w:spacing w:line="240" w:lineRule="auto"/>
      </w:pPr>
    </w:p>
    <w:p w14:paraId="1E694520" w14:textId="77777777" w:rsidR="00F0119C" w:rsidRDefault="00F0119C" w:rsidP="00D9246A">
      <w:pPr>
        <w:spacing w:line="240" w:lineRule="auto"/>
      </w:pPr>
    </w:p>
    <w:p w14:paraId="1DF7BA72" w14:textId="77777777" w:rsidR="00F0119C" w:rsidRDefault="00F0119C" w:rsidP="00D9246A">
      <w:pPr>
        <w:spacing w:line="240" w:lineRule="auto"/>
      </w:pPr>
    </w:p>
    <w:p w14:paraId="152A0FFB" w14:textId="77777777" w:rsidR="00F0119C" w:rsidRDefault="00F0119C" w:rsidP="00D9246A">
      <w:pPr>
        <w:spacing w:line="240" w:lineRule="auto"/>
      </w:pPr>
    </w:p>
    <w:p w14:paraId="540F11E8" w14:textId="77777777" w:rsidR="00F0119C" w:rsidRDefault="00F0119C" w:rsidP="00D9246A">
      <w:pPr>
        <w:spacing w:line="240" w:lineRule="auto"/>
      </w:pPr>
    </w:p>
    <w:p w14:paraId="5B053800" w14:textId="77777777" w:rsidR="00F0119C" w:rsidRDefault="00F0119C" w:rsidP="00D9246A">
      <w:pPr>
        <w:spacing w:line="240" w:lineRule="auto"/>
      </w:pPr>
    </w:p>
    <w:p w14:paraId="29C7508B" w14:textId="77777777" w:rsidR="00F0119C" w:rsidRPr="00F0119C" w:rsidRDefault="00F0119C" w:rsidP="00D9246A">
      <w:pPr>
        <w:spacing w:line="240" w:lineRule="auto"/>
      </w:pPr>
    </w:p>
    <w:sdt>
      <w:sdtPr>
        <w:rPr>
          <w:rFonts w:ascii="Georgia" w:eastAsia="Calibri" w:hAnsi="Georgia" w:cs="Times New Roman"/>
          <w:b/>
          <w:bCs/>
          <w:color w:val="086A76"/>
          <w:kern w:val="28"/>
          <w:sz w:val="36"/>
          <w:szCs w:val="36"/>
        </w:rPr>
        <w:id w:val="287476356"/>
        <w:docPartObj>
          <w:docPartGallery w:val="Table of Contents"/>
          <w:docPartUnique/>
        </w:docPartObj>
      </w:sdtPr>
      <w:sdtEndPr>
        <w:rPr>
          <w:rFonts w:eastAsiaTheme="minorEastAsia"/>
        </w:rPr>
      </w:sdtEndPr>
      <w:sdtContent>
        <w:p w14:paraId="67392163" w14:textId="5C2563DC" w:rsidR="00F0119C" w:rsidRDefault="00F0119C" w:rsidP="00D9246A">
          <w:pPr>
            <w:spacing w:line="240" w:lineRule="auto"/>
          </w:pPr>
        </w:p>
        <w:p w14:paraId="6BCD6594" w14:textId="00D007B0" w:rsidR="00F0119C" w:rsidRDefault="00F0119C" w:rsidP="00D9246A">
          <w:pPr>
            <w:spacing w:line="240" w:lineRule="auto"/>
            <w:rPr>
              <w:rFonts w:eastAsiaTheme="minorEastAsia"/>
              <w:szCs w:val="24"/>
            </w:rPr>
          </w:pPr>
          <w:r>
            <w:rPr>
              <w:rFonts w:eastAsiaTheme="minorEastAsia"/>
              <w:b/>
              <w:szCs w:val="24"/>
            </w:rPr>
            <w:br w:type="page"/>
          </w:r>
        </w:p>
        <w:p w14:paraId="4E5804A4" w14:textId="77777777" w:rsidR="00D9246A" w:rsidRDefault="006C205F" w:rsidP="00D9246A">
          <w:pPr>
            <w:pStyle w:val="Heading1"/>
            <w:numPr>
              <w:ilvl w:val="0"/>
              <w:numId w:val="0"/>
            </w:numPr>
            <w:spacing w:before="0"/>
            <w:ind w:left="432" w:hanging="432"/>
            <w:rPr>
              <w:noProof/>
            </w:rPr>
          </w:pPr>
          <w:bookmarkStart w:id="0" w:name="_Toc218690372"/>
          <w:bookmarkStart w:id="1" w:name="_Toc218690635"/>
          <w:r w:rsidRPr="00876C52">
            <w:lastRenderedPageBreak/>
            <w:t>Contents</w:t>
          </w:r>
          <w:bookmarkEnd w:id="0"/>
          <w:r w:rsidR="00D9246A">
            <w:rPr>
              <w:rFonts w:cs="Arial"/>
              <w:szCs w:val="24"/>
            </w:rPr>
            <w:fldChar w:fldCharType="begin"/>
          </w:r>
          <w:r w:rsidR="00D9246A">
            <w:rPr>
              <w:rFonts w:cs="Arial"/>
              <w:szCs w:val="24"/>
            </w:rPr>
            <w:instrText xml:space="preserve"> TOC \o "1-1" \h \z \u </w:instrText>
          </w:r>
          <w:r w:rsidR="00D9246A">
            <w:rPr>
              <w:rFonts w:cs="Arial"/>
              <w:szCs w:val="24"/>
            </w:rPr>
            <w:fldChar w:fldCharType="separate"/>
          </w:r>
        </w:p>
        <w:p w14:paraId="7E578A08" w14:textId="79EF052E" w:rsidR="00D9246A" w:rsidRDefault="00D9246A">
          <w:pPr>
            <w:pStyle w:val="TOC1"/>
            <w:rPr>
              <w:rFonts w:asciiTheme="minorHAnsi" w:eastAsiaTheme="minorEastAsia" w:hAnsiTheme="minorHAnsi" w:cstheme="minorBidi"/>
              <w:color w:val="auto"/>
              <w:kern w:val="2"/>
              <w:sz w:val="24"/>
              <w:szCs w:val="24"/>
              <w14:ligatures w14:val="standardContextual"/>
            </w:rPr>
          </w:pPr>
          <w:hyperlink w:anchor="_Toc218690636" w:history="1">
            <w:r w:rsidRPr="0098273A">
              <w:rPr>
                <w:rStyle w:val="Hyperlink"/>
              </w:rPr>
              <w:t>1.</w:t>
            </w:r>
            <w:r>
              <w:rPr>
                <w:rFonts w:asciiTheme="minorHAnsi" w:eastAsiaTheme="minorEastAsia" w:hAnsiTheme="minorHAnsi" w:cstheme="minorBidi"/>
                <w:color w:val="auto"/>
                <w:kern w:val="2"/>
                <w:sz w:val="24"/>
                <w:szCs w:val="24"/>
                <w14:ligatures w14:val="standardContextual"/>
              </w:rPr>
              <w:tab/>
            </w:r>
            <w:r w:rsidRPr="0098273A">
              <w:rPr>
                <w:rStyle w:val="Hyperlink"/>
              </w:rPr>
              <w:t>Summary</w:t>
            </w:r>
            <w:r>
              <w:rPr>
                <w:webHidden/>
              </w:rPr>
              <w:tab/>
            </w:r>
            <w:r>
              <w:rPr>
                <w:webHidden/>
              </w:rPr>
              <w:fldChar w:fldCharType="begin"/>
            </w:r>
            <w:r>
              <w:rPr>
                <w:webHidden/>
              </w:rPr>
              <w:instrText xml:space="preserve"> PAGEREF _Toc218690636 \h </w:instrText>
            </w:r>
            <w:r>
              <w:rPr>
                <w:webHidden/>
              </w:rPr>
            </w:r>
            <w:r>
              <w:rPr>
                <w:webHidden/>
              </w:rPr>
              <w:fldChar w:fldCharType="separate"/>
            </w:r>
            <w:r>
              <w:rPr>
                <w:webHidden/>
              </w:rPr>
              <w:t>3</w:t>
            </w:r>
            <w:r>
              <w:rPr>
                <w:webHidden/>
              </w:rPr>
              <w:fldChar w:fldCharType="end"/>
            </w:r>
          </w:hyperlink>
        </w:p>
        <w:p w14:paraId="7F576284" w14:textId="52B4CE4E" w:rsidR="00D9246A" w:rsidRDefault="00D9246A">
          <w:pPr>
            <w:pStyle w:val="TOC1"/>
            <w:rPr>
              <w:rFonts w:asciiTheme="minorHAnsi" w:eastAsiaTheme="minorEastAsia" w:hAnsiTheme="minorHAnsi" w:cstheme="minorBidi"/>
              <w:color w:val="auto"/>
              <w:kern w:val="2"/>
              <w:sz w:val="24"/>
              <w:szCs w:val="24"/>
              <w14:ligatures w14:val="standardContextual"/>
            </w:rPr>
          </w:pPr>
          <w:hyperlink w:anchor="_Toc218690637" w:history="1">
            <w:r w:rsidRPr="0098273A">
              <w:rPr>
                <w:rStyle w:val="Hyperlink"/>
              </w:rPr>
              <w:t>2.</w:t>
            </w:r>
            <w:r>
              <w:rPr>
                <w:rFonts w:asciiTheme="minorHAnsi" w:eastAsiaTheme="minorEastAsia" w:hAnsiTheme="minorHAnsi" w:cstheme="minorBidi"/>
                <w:color w:val="auto"/>
                <w:kern w:val="2"/>
                <w:sz w:val="24"/>
                <w:szCs w:val="24"/>
                <w14:ligatures w14:val="standardContextual"/>
              </w:rPr>
              <w:tab/>
            </w:r>
            <w:r w:rsidRPr="0098273A">
              <w:rPr>
                <w:rStyle w:val="Hyperlink"/>
              </w:rPr>
              <w:t>Acknowledgments</w:t>
            </w:r>
            <w:r>
              <w:rPr>
                <w:webHidden/>
              </w:rPr>
              <w:tab/>
            </w:r>
            <w:r>
              <w:rPr>
                <w:webHidden/>
              </w:rPr>
              <w:fldChar w:fldCharType="begin"/>
            </w:r>
            <w:r>
              <w:rPr>
                <w:webHidden/>
              </w:rPr>
              <w:instrText xml:space="preserve"> PAGEREF _Toc218690637 \h </w:instrText>
            </w:r>
            <w:r>
              <w:rPr>
                <w:webHidden/>
              </w:rPr>
            </w:r>
            <w:r>
              <w:rPr>
                <w:webHidden/>
              </w:rPr>
              <w:fldChar w:fldCharType="separate"/>
            </w:r>
            <w:r>
              <w:rPr>
                <w:webHidden/>
              </w:rPr>
              <w:t>3</w:t>
            </w:r>
            <w:r>
              <w:rPr>
                <w:webHidden/>
              </w:rPr>
              <w:fldChar w:fldCharType="end"/>
            </w:r>
          </w:hyperlink>
        </w:p>
        <w:p w14:paraId="566B6DD8" w14:textId="35D30C87" w:rsidR="00D9246A" w:rsidRDefault="00D9246A">
          <w:pPr>
            <w:pStyle w:val="TOC1"/>
            <w:rPr>
              <w:rFonts w:asciiTheme="minorHAnsi" w:eastAsiaTheme="minorEastAsia" w:hAnsiTheme="minorHAnsi" w:cstheme="minorBidi"/>
              <w:color w:val="auto"/>
              <w:kern w:val="2"/>
              <w:sz w:val="24"/>
              <w:szCs w:val="24"/>
              <w14:ligatures w14:val="standardContextual"/>
            </w:rPr>
          </w:pPr>
          <w:hyperlink w:anchor="_Toc218690638" w:history="1">
            <w:r w:rsidRPr="0098273A">
              <w:rPr>
                <w:rStyle w:val="Hyperlink"/>
              </w:rPr>
              <w:t>3.</w:t>
            </w:r>
            <w:r>
              <w:rPr>
                <w:rFonts w:asciiTheme="minorHAnsi" w:eastAsiaTheme="minorEastAsia" w:hAnsiTheme="minorHAnsi" w:cstheme="minorBidi"/>
                <w:color w:val="auto"/>
                <w:kern w:val="2"/>
                <w:sz w:val="24"/>
                <w:szCs w:val="24"/>
                <w14:ligatures w14:val="standardContextual"/>
              </w:rPr>
              <w:tab/>
            </w:r>
            <w:r w:rsidRPr="0098273A">
              <w:rPr>
                <w:rStyle w:val="Hyperlink"/>
              </w:rPr>
              <w:t>Background</w:t>
            </w:r>
            <w:r>
              <w:rPr>
                <w:webHidden/>
              </w:rPr>
              <w:tab/>
            </w:r>
            <w:r>
              <w:rPr>
                <w:webHidden/>
              </w:rPr>
              <w:fldChar w:fldCharType="begin"/>
            </w:r>
            <w:r>
              <w:rPr>
                <w:webHidden/>
              </w:rPr>
              <w:instrText xml:space="preserve"> PAGEREF _Toc218690638 \h </w:instrText>
            </w:r>
            <w:r>
              <w:rPr>
                <w:webHidden/>
              </w:rPr>
            </w:r>
            <w:r>
              <w:rPr>
                <w:webHidden/>
              </w:rPr>
              <w:fldChar w:fldCharType="separate"/>
            </w:r>
            <w:r>
              <w:rPr>
                <w:webHidden/>
              </w:rPr>
              <w:t>3</w:t>
            </w:r>
            <w:r>
              <w:rPr>
                <w:webHidden/>
              </w:rPr>
              <w:fldChar w:fldCharType="end"/>
            </w:r>
          </w:hyperlink>
        </w:p>
        <w:p w14:paraId="7261D61A" w14:textId="663F99D3" w:rsidR="00D9246A" w:rsidRDefault="00D9246A">
          <w:pPr>
            <w:pStyle w:val="TOC1"/>
            <w:rPr>
              <w:rFonts w:asciiTheme="minorHAnsi" w:eastAsiaTheme="minorEastAsia" w:hAnsiTheme="minorHAnsi" w:cstheme="minorBidi"/>
              <w:color w:val="auto"/>
              <w:kern w:val="2"/>
              <w:sz w:val="24"/>
              <w:szCs w:val="24"/>
              <w14:ligatures w14:val="standardContextual"/>
            </w:rPr>
          </w:pPr>
          <w:hyperlink w:anchor="_Toc218690639" w:history="1">
            <w:r w:rsidRPr="0098273A">
              <w:rPr>
                <w:rStyle w:val="Hyperlink"/>
              </w:rPr>
              <w:t>4.</w:t>
            </w:r>
            <w:r>
              <w:rPr>
                <w:rFonts w:asciiTheme="minorHAnsi" w:eastAsiaTheme="minorEastAsia" w:hAnsiTheme="minorHAnsi" w:cstheme="minorBidi"/>
                <w:color w:val="auto"/>
                <w:kern w:val="2"/>
                <w:sz w:val="24"/>
                <w:szCs w:val="24"/>
                <w14:ligatures w14:val="standardContextual"/>
              </w:rPr>
              <w:tab/>
            </w:r>
            <w:r w:rsidRPr="0098273A">
              <w:rPr>
                <w:rStyle w:val="Hyperlink"/>
              </w:rPr>
              <w:t>About this needs assessment</w:t>
            </w:r>
            <w:r>
              <w:rPr>
                <w:webHidden/>
              </w:rPr>
              <w:tab/>
            </w:r>
            <w:r>
              <w:rPr>
                <w:webHidden/>
              </w:rPr>
              <w:fldChar w:fldCharType="begin"/>
            </w:r>
            <w:r>
              <w:rPr>
                <w:webHidden/>
              </w:rPr>
              <w:instrText xml:space="preserve"> PAGEREF _Toc218690639 \h </w:instrText>
            </w:r>
            <w:r>
              <w:rPr>
                <w:webHidden/>
              </w:rPr>
            </w:r>
            <w:r>
              <w:rPr>
                <w:webHidden/>
              </w:rPr>
              <w:fldChar w:fldCharType="separate"/>
            </w:r>
            <w:r>
              <w:rPr>
                <w:webHidden/>
              </w:rPr>
              <w:t>4</w:t>
            </w:r>
            <w:r>
              <w:rPr>
                <w:webHidden/>
              </w:rPr>
              <w:fldChar w:fldCharType="end"/>
            </w:r>
          </w:hyperlink>
        </w:p>
        <w:p w14:paraId="2E5F8D18" w14:textId="77406957" w:rsidR="00D9246A" w:rsidRDefault="00D9246A">
          <w:pPr>
            <w:pStyle w:val="TOC1"/>
            <w:rPr>
              <w:rFonts w:asciiTheme="minorHAnsi" w:eastAsiaTheme="minorEastAsia" w:hAnsiTheme="minorHAnsi" w:cstheme="minorBidi"/>
              <w:color w:val="auto"/>
              <w:kern w:val="2"/>
              <w:sz w:val="24"/>
              <w:szCs w:val="24"/>
              <w14:ligatures w14:val="standardContextual"/>
            </w:rPr>
          </w:pPr>
          <w:hyperlink w:anchor="_Toc218690640" w:history="1">
            <w:r w:rsidRPr="0098273A">
              <w:rPr>
                <w:rStyle w:val="Hyperlink"/>
              </w:rPr>
              <w:t>5.</w:t>
            </w:r>
            <w:r>
              <w:rPr>
                <w:rFonts w:asciiTheme="minorHAnsi" w:eastAsiaTheme="minorEastAsia" w:hAnsiTheme="minorHAnsi" w:cstheme="minorBidi"/>
                <w:color w:val="auto"/>
                <w:kern w:val="2"/>
                <w:sz w:val="24"/>
                <w:szCs w:val="24"/>
                <w14:ligatures w14:val="standardContextual"/>
              </w:rPr>
              <w:tab/>
            </w:r>
            <w:r w:rsidRPr="0098273A">
              <w:rPr>
                <w:rStyle w:val="Hyperlink"/>
              </w:rPr>
              <w:t>National and local context (Policy &amp; guidance)</w:t>
            </w:r>
            <w:r>
              <w:rPr>
                <w:webHidden/>
              </w:rPr>
              <w:tab/>
            </w:r>
            <w:r>
              <w:rPr>
                <w:webHidden/>
              </w:rPr>
              <w:fldChar w:fldCharType="begin"/>
            </w:r>
            <w:r>
              <w:rPr>
                <w:webHidden/>
              </w:rPr>
              <w:instrText xml:space="preserve"> PAGEREF _Toc218690640 \h </w:instrText>
            </w:r>
            <w:r>
              <w:rPr>
                <w:webHidden/>
              </w:rPr>
            </w:r>
            <w:r>
              <w:rPr>
                <w:webHidden/>
              </w:rPr>
              <w:fldChar w:fldCharType="separate"/>
            </w:r>
            <w:r>
              <w:rPr>
                <w:webHidden/>
              </w:rPr>
              <w:t>11</w:t>
            </w:r>
            <w:r>
              <w:rPr>
                <w:webHidden/>
              </w:rPr>
              <w:fldChar w:fldCharType="end"/>
            </w:r>
          </w:hyperlink>
        </w:p>
        <w:p w14:paraId="22B4B00E" w14:textId="53AA7400" w:rsidR="00D9246A" w:rsidRDefault="00D9246A">
          <w:pPr>
            <w:pStyle w:val="TOC1"/>
            <w:rPr>
              <w:rFonts w:asciiTheme="minorHAnsi" w:eastAsiaTheme="minorEastAsia" w:hAnsiTheme="minorHAnsi" w:cstheme="minorBidi"/>
              <w:color w:val="auto"/>
              <w:kern w:val="2"/>
              <w:sz w:val="24"/>
              <w:szCs w:val="24"/>
              <w14:ligatures w14:val="standardContextual"/>
            </w:rPr>
          </w:pPr>
          <w:hyperlink w:anchor="_Toc218690641" w:history="1">
            <w:r w:rsidRPr="0098273A">
              <w:rPr>
                <w:rStyle w:val="Hyperlink"/>
              </w:rPr>
              <w:t>6.</w:t>
            </w:r>
            <w:r>
              <w:rPr>
                <w:rFonts w:asciiTheme="minorHAnsi" w:eastAsiaTheme="minorEastAsia" w:hAnsiTheme="minorHAnsi" w:cstheme="minorBidi"/>
                <w:color w:val="auto"/>
                <w:kern w:val="2"/>
                <w:sz w:val="24"/>
                <w:szCs w:val="24"/>
                <w14:ligatures w14:val="standardContextual"/>
              </w:rPr>
              <w:tab/>
            </w:r>
            <w:r w:rsidRPr="0098273A">
              <w:rPr>
                <w:rStyle w:val="Hyperlink"/>
              </w:rPr>
              <w:t>Programmes and service provision</w:t>
            </w:r>
            <w:r>
              <w:rPr>
                <w:webHidden/>
              </w:rPr>
              <w:tab/>
            </w:r>
            <w:r>
              <w:rPr>
                <w:webHidden/>
              </w:rPr>
              <w:fldChar w:fldCharType="begin"/>
            </w:r>
            <w:r>
              <w:rPr>
                <w:webHidden/>
              </w:rPr>
              <w:instrText xml:space="preserve"> PAGEREF _Toc218690641 \h </w:instrText>
            </w:r>
            <w:r>
              <w:rPr>
                <w:webHidden/>
              </w:rPr>
            </w:r>
            <w:r>
              <w:rPr>
                <w:webHidden/>
              </w:rPr>
              <w:fldChar w:fldCharType="separate"/>
            </w:r>
            <w:r>
              <w:rPr>
                <w:webHidden/>
              </w:rPr>
              <w:t>24</w:t>
            </w:r>
            <w:r>
              <w:rPr>
                <w:webHidden/>
              </w:rPr>
              <w:fldChar w:fldCharType="end"/>
            </w:r>
          </w:hyperlink>
        </w:p>
        <w:p w14:paraId="08D2D6DD" w14:textId="6F0D8A2B" w:rsidR="00D9246A" w:rsidRDefault="00D9246A">
          <w:pPr>
            <w:pStyle w:val="TOC1"/>
            <w:rPr>
              <w:rFonts w:asciiTheme="minorHAnsi" w:eastAsiaTheme="minorEastAsia" w:hAnsiTheme="minorHAnsi" w:cstheme="minorBidi"/>
              <w:color w:val="auto"/>
              <w:kern w:val="2"/>
              <w:sz w:val="24"/>
              <w:szCs w:val="24"/>
              <w14:ligatures w14:val="standardContextual"/>
            </w:rPr>
          </w:pPr>
          <w:hyperlink w:anchor="_Toc218690642" w:history="1">
            <w:r w:rsidRPr="0098273A">
              <w:rPr>
                <w:rStyle w:val="Hyperlink"/>
              </w:rPr>
              <w:t>7.</w:t>
            </w:r>
            <w:r>
              <w:rPr>
                <w:rFonts w:asciiTheme="minorHAnsi" w:eastAsiaTheme="minorEastAsia" w:hAnsiTheme="minorHAnsi" w:cstheme="minorBidi"/>
                <w:color w:val="auto"/>
                <w:kern w:val="2"/>
                <w:sz w:val="24"/>
                <w:szCs w:val="24"/>
                <w14:ligatures w14:val="standardContextual"/>
              </w:rPr>
              <w:tab/>
            </w:r>
            <w:r w:rsidRPr="0098273A">
              <w:rPr>
                <w:rStyle w:val="Hyperlink"/>
              </w:rPr>
              <w:t>National prevalence</w:t>
            </w:r>
            <w:r>
              <w:rPr>
                <w:webHidden/>
              </w:rPr>
              <w:tab/>
            </w:r>
            <w:r>
              <w:rPr>
                <w:webHidden/>
              </w:rPr>
              <w:fldChar w:fldCharType="begin"/>
            </w:r>
            <w:r>
              <w:rPr>
                <w:webHidden/>
              </w:rPr>
              <w:instrText xml:space="preserve"> PAGEREF _Toc218690642 \h </w:instrText>
            </w:r>
            <w:r>
              <w:rPr>
                <w:webHidden/>
              </w:rPr>
            </w:r>
            <w:r>
              <w:rPr>
                <w:webHidden/>
              </w:rPr>
              <w:fldChar w:fldCharType="separate"/>
            </w:r>
            <w:r>
              <w:rPr>
                <w:webHidden/>
              </w:rPr>
              <w:t>30</w:t>
            </w:r>
            <w:r>
              <w:rPr>
                <w:webHidden/>
              </w:rPr>
              <w:fldChar w:fldCharType="end"/>
            </w:r>
          </w:hyperlink>
        </w:p>
        <w:p w14:paraId="1B89A498" w14:textId="7641888A" w:rsidR="00D9246A" w:rsidRDefault="00D9246A">
          <w:pPr>
            <w:pStyle w:val="TOC1"/>
            <w:rPr>
              <w:rFonts w:asciiTheme="minorHAnsi" w:eastAsiaTheme="minorEastAsia" w:hAnsiTheme="minorHAnsi" w:cstheme="minorBidi"/>
              <w:color w:val="auto"/>
              <w:kern w:val="2"/>
              <w:sz w:val="24"/>
              <w:szCs w:val="24"/>
              <w14:ligatures w14:val="standardContextual"/>
            </w:rPr>
          </w:pPr>
          <w:hyperlink w:anchor="_Toc218690643" w:history="1">
            <w:r w:rsidRPr="0098273A">
              <w:rPr>
                <w:rStyle w:val="Hyperlink"/>
              </w:rPr>
              <w:t>8.</w:t>
            </w:r>
            <w:r>
              <w:rPr>
                <w:rFonts w:asciiTheme="minorHAnsi" w:eastAsiaTheme="minorEastAsia" w:hAnsiTheme="minorHAnsi" w:cstheme="minorBidi"/>
                <w:color w:val="auto"/>
                <w:kern w:val="2"/>
                <w:sz w:val="24"/>
                <w:szCs w:val="24"/>
                <w14:ligatures w14:val="standardContextual"/>
              </w:rPr>
              <w:tab/>
            </w:r>
            <w:r w:rsidRPr="0098273A">
              <w:rPr>
                <w:rStyle w:val="Hyperlink"/>
              </w:rPr>
              <w:t>The level of need in Brighton &amp; Hove</w:t>
            </w:r>
            <w:r>
              <w:rPr>
                <w:webHidden/>
              </w:rPr>
              <w:tab/>
            </w:r>
            <w:r>
              <w:rPr>
                <w:webHidden/>
              </w:rPr>
              <w:fldChar w:fldCharType="begin"/>
            </w:r>
            <w:r>
              <w:rPr>
                <w:webHidden/>
              </w:rPr>
              <w:instrText xml:space="preserve"> PAGEREF _Toc218690643 \h </w:instrText>
            </w:r>
            <w:r>
              <w:rPr>
                <w:webHidden/>
              </w:rPr>
            </w:r>
            <w:r>
              <w:rPr>
                <w:webHidden/>
              </w:rPr>
              <w:fldChar w:fldCharType="separate"/>
            </w:r>
            <w:r>
              <w:rPr>
                <w:webHidden/>
              </w:rPr>
              <w:t>34</w:t>
            </w:r>
            <w:r>
              <w:rPr>
                <w:webHidden/>
              </w:rPr>
              <w:fldChar w:fldCharType="end"/>
            </w:r>
          </w:hyperlink>
        </w:p>
        <w:p w14:paraId="0A7C1990" w14:textId="28FA3382" w:rsidR="00D9246A" w:rsidRDefault="00D9246A">
          <w:pPr>
            <w:pStyle w:val="TOC1"/>
            <w:rPr>
              <w:rFonts w:asciiTheme="minorHAnsi" w:eastAsiaTheme="minorEastAsia" w:hAnsiTheme="minorHAnsi" w:cstheme="minorBidi"/>
              <w:color w:val="auto"/>
              <w:kern w:val="2"/>
              <w:sz w:val="24"/>
              <w:szCs w:val="24"/>
              <w14:ligatures w14:val="standardContextual"/>
            </w:rPr>
          </w:pPr>
          <w:hyperlink w:anchor="_Toc218690644" w:history="1">
            <w:r w:rsidRPr="0098273A">
              <w:rPr>
                <w:rStyle w:val="Hyperlink"/>
              </w:rPr>
              <w:t>9.</w:t>
            </w:r>
            <w:r>
              <w:rPr>
                <w:rFonts w:asciiTheme="minorHAnsi" w:eastAsiaTheme="minorEastAsia" w:hAnsiTheme="minorHAnsi" w:cstheme="minorBidi"/>
                <w:color w:val="auto"/>
                <w:kern w:val="2"/>
                <w:sz w:val="24"/>
                <w:szCs w:val="24"/>
                <w14:ligatures w14:val="standardContextual"/>
              </w:rPr>
              <w:tab/>
            </w:r>
            <w:r w:rsidRPr="0098273A">
              <w:rPr>
                <w:rStyle w:val="Hyperlink"/>
              </w:rPr>
              <w:t>National evidence reviews on intersectionality</w:t>
            </w:r>
            <w:r>
              <w:rPr>
                <w:webHidden/>
              </w:rPr>
              <w:tab/>
            </w:r>
            <w:r>
              <w:rPr>
                <w:webHidden/>
              </w:rPr>
              <w:fldChar w:fldCharType="begin"/>
            </w:r>
            <w:r>
              <w:rPr>
                <w:webHidden/>
              </w:rPr>
              <w:instrText xml:space="preserve"> PAGEREF _Toc218690644 \h </w:instrText>
            </w:r>
            <w:r>
              <w:rPr>
                <w:webHidden/>
              </w:rPr>
            </w:r>
            <w:r>
              <w:rPr>
                <w:webHidden/>
              </w:rPr>
              <w:fldChar w:fldCharType="separate"/>
            </w:r>
            <w:r>
              <w:rPr>
                <w:webHidden/>
              </w:rPr>
              <w:t>71</w:t>
            </w:r>
            <w:r>
              <w:rPr>
                <w:webHidden/>
              </w:rPr>
              <w:fldChar w:fldCharType="end"/>
            </w:r>
          </w:hyperlink>
        </w:p>
        <w:p w14:paraId="55ED6195" w14:textId="3138045C" w:rsidR="00D9246A" w:rsidRDefault="00D9246A">
          <w:pPr>
            <w:pStyle w:val="TOC1"/>
            <w:rPr>
              <w:rFonts w:asciiTheme="minorHAnsi" w:eastAsiaTheme="minorEastAsia" w:hAnsiTheme="minorHAnsi" w:cstheme="minorBidi"/>
              <w:color w:val="auto"/>
              <w:kern w:val="2"/>
              <w:sz w:val="24"/>
              <w:szCs w:val="24"/>
              <w14:ligatures w14:val="standardContextual"/>
            </w:rPr>
          </w:pPr>
          <w:hyperlink w:anchor="_Toc218690645" w:history="1">
            <w:r w:rsidRPr="0098273A">
              <w:rPr>
                <w:rStyle w:val="Hyperlink"/>
              </w:rPr>
              <w:t>10.</w:t>
            </w:r>
            <w:r>
              <w:rPr>
                <w:rFonts w:asciiTheme="minorHAnsi" w:eastAsiaTheme="minorEastAsia" w:hAnsiTheme="minorHAnsi" w:cstheme="minorBidi"/>
                <w:color w:val="auto"/>
                <w:kern w:val="2"/>
                <w:sz w:val="24"/>
                <w:szCs w:val="24"/>
                <w14:ligatures w14:val="standardContextual"/>
              </w:rPr>
              <w:tab/>
            </w:r>
            <w:r w:rsidRPr="0098273A">
              <w:rPr>
                <w:rStyle w:val="Hyperlink"/>
              </w:rPr>
              <w:t>Parent and carer voice</w:t>
            </w:r>
            <w:r>
              <w:rPr>
                <w:webHidden/>
              </w:rPr>
              <w:tab/>
            </w:r>
            <w:r>
              <w:rPr>
                <w:webHidden/>
              </w:rPr>
              <w:fldChar w:fldCharType="begin"/>
            </w:r>
            <w:r>
              <w:rPr>
                <w:webHidden/>
              </w:rPr>
              <w:instrText xml:space="preserve"> PAGEREF _Toc218690645 \h </w:instrText>
            </w:r>
            <w:r>
              <w:rPr>
                <w:webHidden/>
              </w:rPr>
            </w:r>
            <w:r>
              <w:rPr>
                <w:webHidden/>
              </w:rPr>
              <w:fldChar w:fldCharType="separate"/>
            </w:r>
            <w:r>
              <w:rPr>
                <w:webHidden/>
              </w:rPr>
              <w:t>78</w:t>
            </w:r>
            <w:r>
              <w:rPr>
                <w:webHidden/>
              </w:rPr>
              <w:fldChar w:fldCharType="end"/>
            </w:r>
          </w:hyperlink>
        </w:p>
        <w:p w14:paraId="0EC57AC8" w14:textId="63F3965D" w:rsidR="00D9246A" w:rsidRDefault="00D9246A">
          <w:pPr>
            <w:pStyle w:val="TOC1"/>
            <w:rPr>
              <w:rFonts w:asciiTheme="minorHAnsi" w:eastAsiaTheme="minorEastAsia" w:hAnsiTheme="minorHAnsi" w:cstheme="minorBidi"/>
              <w:color w:val="auto"/>
              <w:kern w:val="2"/>
              <w:sz w:val="24"/>
              <w:szCs w:val="24"/>
              <w14:ligatures w14:val="standardContextual"/>
            </w:rPr>
          </w:pPr>
          <w:hyperlink w:anchor="_Toc218690646" w:history="1">
            <w:r w:rsidRPr="0098273A">
              <w:rPr>
                <w:rStyle w:val="Hyperlink"/>
              </w:rPr>
              <w:t>11.</w:t>
            </w:r>
            <w:r>
              <w:rPr>
                <w:rFonts w:asciiTheme="minorHAnsi" w:eastAsiaTheme="minorEastAsia" w:hAnsiTheme="minorHAnsi" w:cstheme="minorBidi"/>
                <w:color w:val="auto"/>
                <w:kern w:val="2"/>
                <w:sz w:val="24"/>
                <w:szCs w:val="24"/>
                <w14:ligatures w14:val="standardContextual"/>
              </w:rPr>
              <w:tab/>
            </w:r>
            <w:r w:rsidRPr="0098273A">
              <w:rPr>
                <w:rStyle w:val="Hyperlink"/>
              </w:rPr>
              <w:t>Summary of findings</w:t>
            </w:r>
            <w:r>
              <w:rPr>
                <w:webHidden/>
              </w:rPr>
              <w:tab/>
            </w:r>
            <w:r>
              <w:rPr>
                <w:webHidden/>
              </w:rPr>
              <w:fldChar w:fldCharType="begin"/>
            </w:r>
            <w:r>
              <w:rPr>
                <w:webHidden/>
              </w:rPr>
              <w:instrText xml:space="preserve"> PAGEREF _Toc218690646 \h </w:instrText>
            </w:r>
            <w:r>
              <w:rPr>
                <w:webHidden/>
              </w:rPr>
            </w:r>
            <w:r>
              <w:rPr>
                <w:webHidden/>
              </w:rPr>
              <w:fldChar w:fldCharType="separate"/>
            </w:r>
            <w:r>
              <w:rPr>
                <w:webHidden/>
              </w:rPr>
              <w:t>83</w:t>
            </w:r>
            <w:r>
              <w:rPr>
                <w:webHidden/>
              </w:rPr>
              <w:fldChar w:fldCharType="end"/>
            </w:r>
          </w:hyperlink>
        </w:p>
        <w:p w14:paraId="4904027A" w14:textId="2A4C98ED" w:rsidR="00D9246A" w:rsidRDefault="00D9246A">
          <w:pPr>
            <w:pStyle w:val="TOC1"/>
            <w:rPr>
              <w:rFonts w:asciiTheme="minorHAnsi" w:eastAsiaTheme="minorEastAsia" w:hAnsiTheme="minorHAnsi" w:cstheme="minorBidi"/>
              <w:color w:val="auto"/>
              <w:kern w:val="2"/>
              <w:sz w:val="24"/>
              <w:szCs w:val="24"/>
              <w14:ligatures w14:val="standardContextual"/>
            </w:rPr>
          </w:pPr>
          <w:hyperlink w:anchor="_Toc218690647" w:history="1">
            <w:r w:rsidRPr="0098273A">
              <w:rPr>
                <w:rStyle w:val="Hyperlink"/>
              </w:rPr>
              <w:t>12.</w:t>
            </w:r>
            <w:r>
              <w:rPr>
                <w:rFonts w:asciiTheme="minorHAnsi" w:eastAsiaTheme="minorEastAsia" w:hAnsiTheme="minorHAnsi" w:cstheme="minorBidi"/>
                <w:color w:val="auto"/>
                <w:kern w:val="2"/>
                <w:sz w:val="24"/>
                <w:szCs w:val="24"/>
                <w14:ligatures w14:val="standardContextual"/>
              </w:rPr>
              <w:tab/>
            </w:r>
            <w:r w:rsidRPr="0098273A">
              <w:rPr>
                <w:rStyle w:val="Hyperlink"/>
              </w:rPr>
              <w:t>Recommendations</w:t>
            </w:r>
            <w:r>
              <w:rPr>
                <w:webHidden/>
              </w:rPr>
              <w:tab/>
            </w:r>
            <w:r>
              <w:rPr>
                <w:webHidden/>
              </w:rPr>
              <w:fldChar w:fldCharType="begin"/>
            </w:r>
            <w:r>
              <w:rPr>
                <w:webHidden/>
              </w:rPr>
              <w:instrText xml:space="preserve"> PAGEREF _Toc218690647 \h </w:instrText>
            </w:r>
            <w:r>
              <w:rPr>
                <w:webHidden/>
              </w:rPr>
            </w:r>
            <w:r>
              <w:rPr>
                <w:webHidden/>
              </w:rPr>
              <w:fldChar w:fldCharType="separate"/>
            </w:r>
            <w:r>
              <w:rPr>
                <w:webHidden/>
              </w:rPr>
              <w:t>91</w:t>
            </w:r>
            <w:r>
              <w:rPr>
                <w:webHidden/>
              </w:rPr>
              <w:fldChar w:fldCharType="end"/>
            </w:r>
          </w:hyperlink>
        </w:p>
        <w:p w14:paraId="39DFE886" w14:textId="4F2C0090" w:rsidR="00D9246A" w:rsidRDefault="00D9246A">
          <w:pPr>
            <w:pStyle w:val="TOC1"/>
            <w:rPr>
              <w:rFonts w:asciiTheme="minorHAnsi" w:eastAsiaTheme="minorEastAsia" w:hAnsiTheme="minorHAnsi" w:cstheme="minorBidi"/>
              <w:color w:val="auto"/>
              <w:kern w:val="2"/>
              <w:sz w:val="24"/>
              <w:szCs w:val="24"/>
              <w14:ligatures w14:val="standardContextual"/>
            </w:rPr>
          </w:pPr>
          <w:hyperlink w:anchor="_Toc218690648" w:history="1">
            <w:r w:rsidRPr="0098273A">
              <w:rPr>
                <w:rStyle w:val="Hyperlink"/>
              </w:rPr>
              <w:t>13.</w:t>
            </w:r>
            <w:r>
              <w:rPr>
                <w:rFonts w:asciiTheme="minorHAnsi" w:eastAsiaTheme="minorEastAsia" w:hAnsiTheme="minorHAnsi" w:cstheme="minorBidi"/>
                <w:color w:val="auto"/>
                <w:kern w:val="2"/>
                <w:sz w:val="24"/>
                <w:szCs w:val="24"/>
                <w14:ligatures w14:val="standardContextual"/>
              </w:rPr>
              <w:tab/>
            </w:r>
            <w:r w:rsidRPr="0098273A">
              <w:rPr>
                <w:rStyle w:val="Hyperlink"/>
              </w:rPr>
              <w:t>Glossary</w:t>
            </w:r>
            <w:r>
              <w:rPr>
                <w:webHidden/>
              </w:rPr>
              <w:tab/>
            </w:r>
            <w:r>
              <w:rPr>
                <w:webHidden/>
              </w:rPr>
              <w:fldChar w:fldCharType="begin"/>
            </w:r>
            <w:r>
              <w:rPr>
                <w:webHidden/>
              </w:rPr>
              <w:instrText xml:space="preserve"> PAGEREF _Toc218690648 \h </w:instrText>
            </w:r>
            <w:r>
              <w:rPr>
                <w:webHidden/>
              </w:rPr>
            </w:r>
            <w:r>
              <w:rPr>
                <w:webHidden/>
              </w:rPr>
              <w:fldChar w:fldCharType="separate"/>
            </w:r>
            <w:r>
              <w:rPr>
                <w:webHidden/>
              </w:rPr>
              <w:t>92</w:t>
            </w:r>
            <w:r>
              <w:rPr>
                <w:webHidden/>
              </w:rPr>
              <w:fldChar w:fldCharType="end"/>
            </w:r>
          </w:hyperlink>
        </w:p>
        <w:p w14:paraId="5DE82D3A" w14:textId="3AEA2385" w:rsidR="00D9246A" w:rsidRDefault="00D9246A">
          <w:pPr>
            <w:pStyle w:val="TOC1"/>
            <w:rPr>
              <w:rFonts w:asciiTheme="minorHAnsi" w:eastAsiaTheme="minorEastAsia" w:hAnsiTheme="minorHAnsi" w:cstheme="minorBidi"/>
              <w:color w:val="auto"/>
              <w:kern w:val="2"/>
              <w:sz w:val="24"/>
              <w:szCs w:val="24"/>
              <w14:ligatures w14:val="standardContextual"/>
            </w:rPr>
          </w:pPr>
          <w:hyperlink w:anchor="_Toc218690649" w:history="1">
            <w:r w:rsidRPr="0098273A">
              <w:rPr>
                <w:rStyle w:val="Hyperlink"/>
              </w:rPr>
              <w:t>References</w:t>
            </w:r>
            <w:r>
              <w:rPr>
                <w:webHidden/>
              </w:rPr>
              <w:tab/>
            </w:r>
            <w:r>
              <w:rPr>
                <w:webHidden/>
              </w:rPr>
              <w:fldChar w:fldCharType="begin"/>
            </w:r>
            <w:r>
              <w:rPr>
                <w:webHidden/>
              </w:rPr>
              <w:instrText xml:space="preserve"> PAGEREF _Toc218690649 \h </w:instrText>
            </w:r>
            <w:r>
              <w:rPr>
                <w:webHidden/>
              </w:rPr>
            </w:r>
            <w:r>
              <w:rPr>
                <w:webHidden/>
              </w:rPr>
              <w:fldChar w:fldCharType="separate"/>
            </w:r>
            <w:r>
              <w:rPr>
                <w:webHidden/>
              </w:rPr>
              <w:t>95</w:t>
            </w:r>
            <w:r>
              <w:rPr>
                <w:webHidden/>
              </w:rPr>
              <w:fldChar w:fldCharType="end"/>
            </w:r>
          </w:hyperlink>
        </w:p>
        <w:p w14:paraId="346D4E60" w14:textId="647DEF73" w:rsidR="006C205F" w:rsidRPr="00595FE6" w:rsidRDefault="00D9246A" w:rsidP="00D9246A">
          <w:pPr>
            <w:pStyle w:val="Heading1"/>
            <w:numPr>
              <w:ilvl w:val="0"/>
              <w:numId w:val="0"/>
            </w:numPr>
            <w:spacing w:before="0"/>
            <w:ind w:left="432" w:hanging="432"/>
            <w:rPr>
              <w:rFonts w:cs="Arial"/>
              <w:szCs w:val="24"/>
            </w:rPr>
          </w:pPr>
          <w:r>
            <w:rPr>
              <w:rFonts w:cs="Arial"/>
              <w:szCs w:val="24"/>
            </w:rPr>
            <w:fldChar w:fldCharType="end"/>
          </w:r>
        </w:p>
      </w:sdtContent>
    </w:sdt>
    <w:bookmarkEnd w:id="1" w:displacedByCustomXml="prev"/>
    <w:p w14:paraId="5EBD986B" w14:textId="77777777" w:rsidR="002B1848" w:rsidRDefault="002B1848" w:rsidP="00D9246A">
      <w:pPr>
        <w:spacing w:line="240" w:lineRule="auto"/>
      </w:pPr>
    </w:p>
    <w:p w14:paraId="0547773C" w14:textId="77777777" w:rsidR="003D308F" w:rsidRDefault="003D308F" w:rsidP="00D9246A">
      <w:pPr>
        <w:spacing w:line="240" w:lineRule="auto"/>
      </w:pPr>
    </w:p>
    <w:p w14:paraId="38487312" w14:textId="20F63689" w:rsidR="003D308F" w:rsidRPr="002B1848" w:rsidRDefault="003D308F" w:rsidP="00D9246A">
      <w:pPr>
        <w:spacing w:line="240" w:lineRule="auto"/>
        <w:sectPr w:rsidR="003D308F" w:rsidRPr="002B1848" w:rsidSect="00B14EE5">
          <w:footerReference w:type="even" r:id="rId12"/>
          <w:footerReference w:type="default" r:id="rId13"/>
          <w:footnotePr>
            <w:numFmt w:val="lowerLetter"/>
          </w:footnotePr>
          <w:endnotePr>
            <w:numFmt w:val="decimal"/>
          </w:endnotePr>
          <w:type w:val="continuous"/>
          <w:pgSz w:w="11906" w:h="16838"/>
          <w:pgMar w:top="1134" w:right="1134" w:bottom="1134" w:left="1418" w:header="709" w:footer="709" w:gutter="0"/>
          <w:cols w:space="708"/>
          <w:docGrid w:linePitch="360"/>
        </w:sectPr>
      </w:pPr>
    </w:p>
    <w:p w14:paraId="5BD094A3" w14:textId="77E63F23" w:rsidR="004F51A8" w:rsidRPr="00595FE6" w:rsidRDefault="00591FA0" w:rsidP="00D9246A">
      <w:pPr>
        <w:pStyle w:val="Heading1"/>
        <w:spacing w:before="0"/>
      </w:pPr>
      <w:bookmarkStart w:id="2" w:name="_Toc218690636"/>
      <w:r>
        <w:lastRenderedPageBreak/>
        <w:t xml:space="preserve">Executive </w:t>
      </w:r>
      <w:r w:rsidR="004F51A8" w:rsidRPr="00595FE6">
        <w:t>Summary</w:t>
      </w:r>
      <w:bookmarkEnd w:id="2"/>
    </w:p>
    <w:p w14:paraId="2250AE6B" w14:textId="10EEC67D" w:rsidR="00C429A7" w:rsidRPr="0012127E" w:rsidRDefault="00566190" w:rsidP="00D9246A">
      <w:pPr>
        <w:spacing w:line="240" w:lineRule="auto"/>
        <w:rPr>
          <w:rFonts w:cs="Arial"/>
          <w:szCs w:val="24"/>
        </w:rPr>
      </w:pPr>
      <w:r w:rsidRPr="0012127E">
        <w:rPr>
          <w:rFonts w:cs="Arial"/>
          <w:szCs w:val="24"/>
        </w:rPr>
        <w:t xml:space="preserve">See </w:t>
      </w:r>
      <w:r w:rsidR="00C429A7" w:rsidRPr="0012127E">
        <w:rPr>
          <w:rFonts w:cs="Arial"/>
          <w:szCs w:val="24"/>
        </w:rPr>
        <w:t>accompanying</w:t>
      </w:r>
      <w:r w:rsidRPr="0012127E">
        <w:rPr>
          <w:rFonts w:cs="Arial"/>
          <w:szCs w:val="24"/>
        </w:rPr>
        <w:t xml:space="preserve"> Exe</w:t>
      </w:r>
      <w:r w:rsidR="00C429A7" w:rsidRPr="0012127E">
        <w:rPr>
          <w:rFonts w:cs="Arial"/>
          <w:szCs w:val="24"/>
        </w:rPr>
        <w:t>cutive Summary</w:t>
      </w:r>
    </w:p>
    <w:p w14:paraId="33EA671E" w14:textId="7E2964A0" w:rsidR="0021573F" w:rsidRDefault="0021573F" w:rsidP="00A566C5">
      <w:pPr>
        <w:pStyle w:val="Heading1"/>
        <w:spacing w:before="0"/>
      </w:pPr>
      <w:bookmarkStart w:id="3" w:name="_Toc218690637"/>
      <w:r w:rsidRPr="00595FE6">
        <w:t>Acknowledgments</w:t>
      </w:r>
      <w:bookmarkStart w:id="4" w:name="_Toc218690638"/>
      <w:bookmarkEnd w:id="3"/>
    </w:p>
    <w:p w14:paraId="4282B7C0" w14:textId="6B1A3775" w:rsidR="003C0BA6" w:rsidRDefault="00517A7B" w:rsidP="003C0BA6">
      <w:r w:rsidRPr="001773D8">
        <w:t xml:space="preserve">We would like to thank the </w:t>
      </w:r>
      <w:r w:rsidR="005A6260" w:rsidRPr="001773D8">
        <w:t xml:space="preserve">Steering Group </w:t>
      </w:r>
      <w:r w:rsidR="00580F46">
        <w:t>(</w:t>
      </w:r>
      <w:r w:rsidRPr="001773D8">
        <w:t>SEND AP Partnership board</w:t>
      </w:r>
      <w:r w:rsidR="00FB2762" w:rsidRPr="001773D8">
        <w:t xml:space="preserve">) </w:t>
      </w:r>
      <w:r w:rsidRPr="001773D8">
        <w:t>for advising on and guiding this needs assessment. The needs assessment was produced by a</w:t>
      </w:r>
      <w:r w:rsidR="002127B7">
        <w:t xml:space="preserve"> Working Group</w:t>
      </w:r>
      <w:r w:rsidR="006648A1">
        <w:t xml:space="preserve"> (</w:t>
      </w:r>
      <w:r w:rsidR="006648A1" w:rsidRPr="006648A1">
        <w:rPr>
          <w:b/>
          <w:bCs/>
        </w:rPr>
        <w:t>bold</w:t>
      </w:r>
      <w:r w:rsidR="006648A1">
        <w:t xml:space="preserve"> below)</w:t>
      </w:r>
      <w:r w:rsidR="002127B7">
        <w:t xml:space="preserve"> and</w:t>
      </w:r>
      <w:r w:rsidRPr="001773D8">
        <w:t xml:space="preserve"> </w:t>
      </w:r>
      <w:r w:rsidR="001773D8" w:rsidRPr="001773D8">
        <w:t xml:space="preserve">Project Group </w:t>
      </w:r>
      <w:r w:rsidRPr="001773D8">
        <w:t>including:</w:t>
      </w:r>
      <w:r w:rsidR="00FB2762" w:rsidRPr="001773D8">
        <w:t xml:space="preserve"> </w:t>
      </w:r>
    </w:p>
    <w:p w14:paraId="534CEEA2" w14:textId="566BEF36" w:rsidR="002A497E" w:rsidRPr="00A77C47" w:rsidRDefault="002A497E" w:rsidP="00951F99">
      <w:pPr>
        <w:rPr>
          <w:b/>
          <w:bCs/>
        </w:rPr>
      </w:pPr>
      <w:r w:rsidRPr="00A77C47">
        <w:rPr>
          <w:b/>
          <w:bCs/>
        </w:rPr>
        <w:t>Pr</w:t>
      </w:r>
      <w:r w:rsidR="00256C8B" w:rsidRPr="00A77C47">
        <w:rPr>
          <w:b/>
          <w:bCs/>
        </w:rPr>
        <w:t xml:space="preserve">oject </w:t>
      </w:r>
      <w:r w:rsidR="009433FE" w:rsidRPr="00A77C47">
        <w:rPr>
          <w:b/>
          <w:bCs/>
        </w:rPr>
        <w:t>G</w:t>
      </w:r>
      <w:r w:rsidR="00256C8B" w:rsidRPr="00A77C47">
        <w:rPr>
          <w:b/>
          <w:bCs/>
        </w:rPr>
        <w:t>roup</w:t>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3151"/>
        <w:gridCol w:w="3151"/>
      </w:tblGrid>
      <w:tr w:rsidR="006C1F15" w:rsidRPr="00E94981" w14:paraId="2CE86D74" w14:textId="77777777" w:rsidTr="00D366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4" w:type="dxa"/>
            <w:shd w:val="clear" w:color="auto" w:fill="0070C0"/>
          </w:tcPr>
          <w:p w14:paraId="5E2C8559" w14:textId="085BBE50" w:rsidR="00395B72" w:rsidRPr="00E94981" w:rsidRDefault="00395B72" w:rsidP="00E94981">
            <w:pPr>
              <w:rPr>
                <w:color w:val="FFFFFF" w:themeColor="background1"/>
              </w:rPr>
            </w:pPr>
            <w:r w:rsidRPr="00E94981">
              <w:rPr>
                <w:color w:val="FFFFFF" w:themeColor="background1"/>
              </w:rPr>
              <w:t>Name</w:t>
            </w:r>
          </w:p>
        </w:tc>
        <w:tc>
          <w:tcPr>
            <w:tcW w:w="3151" w:type="dxa"/>
            <w:shd w:val="clear" w:color="auto" w:fill="0070C0"/>
          </w:tcPr>
          <w:p w14:paraId="6D047DB9" w14:textId="3AE5D9A7" w:rsidR="00395B72" w:rsidRPr="00E94981" w:rsidRDefault="00F85DF7" w:rsidP="00E94981">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E94981">
              <w:rPr>
                <w:color w:val="FFFFFF" w:themeColor="background1"/>
              </w:rPr>
              <w:t>Role</w:t>
            </w:r>
          </w:p>
        </w:tc>
        <w:tc>
          <w:tcPr>
            <w:tcW w:w="3151" w:type="dxa"/>
            <w:shd w:val="clear" w:color="auto" w:fill="0070C0"/>
          </w:tcPr>
          <w:p w14:paraId="60580C9B" w14:textId="23302DCC" w:rsidR="00395B72" w:rsidRPr="00E94981" w:rsidRDefault="00F85DF7" w:rsidP="00E94981">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E94981">
              <w:rPr>
                <w:color w:val="FFFFFF" w:themeColor="background1"/>
              </w:rPr>
              <w:t xml:space="preserve">Organisation </w:t>
            </w:r>
          </w:p>
        </w:tc>
      </w:tr>
      <w:tr w:rsidR="00395B72" w:rsidRPr="00395B72" w14:paraId="4106A68A" w14:textId="0D09DF62" w:rsidTr="00D36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4" w:type="dxa"/>
          </w:tcPr>
          <w:p w14:paraId="34E49A77" w14:textId="6512104B" w:rsidR="00395B72" w:rsidRPr="00395B72" w:rsidRDefault="00395B72" w:rsidP="006648A1">
            <w:pPr>
              <w:ind w:left="360"/>
              <w:rPr>
                <w:b w:val="0"/>
                <w:bCs w:val="0"/>
              </w:rPr>
            </w:pPr>
            <w:r w:rsidRPr="00395B72">
              <w:rPr>
                <w:b w:val="0"/>
                <w:bCs w:val="0"/>
              </w:rPr>
              <w:t xml:space="preserve">Georgina Clarke-Green </w:t>
            </w:r>
            <w:r w:rsidR="006648A1">
              <w:rPr>
                <w:b w:val="0"/>
                <w:bCs w:val="0"/>
              </w:rPr>
              <w:t>(Chair)</w:t>
            </w:r>
          </w:p>
        </w:tc>
        <w:tc>
          <w:tcPr>
            <w:tcW w:w="3151" w:type="dxa"/>
          </w:tcPr>
          <w:p w14:paraId="5C32BFE1" w14:textId="71DD0C1F" w:rsidR="00395B72" w:rsidRPr="0092412A" w:rsidRDefault="00537D44" w:rsidP="00395B72">
            <w:pPr>
              <w:ind w:left="360"/>
              <w:cnfStyle w:val="000000100000" w:firstRow="0" w:lastRow="0" w:firstColumn="0" w:lastColumn="0" w:oddVBand="0" w:evenVBand="0" w:oddHBand="1" w:evenHBand="0" w:firstRowFirstColumn="0" w:firstRowLastColumn="0" w:lastRowFirstColumn="0" w:lastRowLastColumn="0"/>
            </w:pPr>
            <w:r w:rsidRPr="0092412A">
              <w:t>Director of Education and Learning (Chair)</w:t>
            </w:r>
          </w:p>
        </w:tc>
        <w:tc>
          <w:tcPr>
            <w:tcW w:w="3151" w:type="dxa"/>
          </w:tcPr>
          <w:p w14:paraId="4ECB7570" w14:textId="3109941C" w:rsidR="00395B72" w:rsidRPr="00395B72" w:rsidRDefault="00537D44" w:rsidP="00395B72">
            <w:pPr>
              <w:ind w:left="360"/>
              <w:cnfStyle w:val="000000100000" w:firstRow="0" w:lastRow="0" w:firstColumn="0" w:lastColumn="0" w:oddVBand="0" w:evenVBand="0" w:oddHBand="1" w:evenHBand="0" w:firstRowFirstColumn="0" w:firstRowLastColumn="0" w:lastRowFirstColumn="0" w:lastRowLastColumn="0"/>
            </w:pPr>
            <w:r>
              <w:t xml:space="preserve">Brighton </w:t>
            </w:r>
            <w:r w:rsidR="005155B1">
              <w:t xml:space="preserve">&amp; Hove City Council </w:t>
            </w:r>
          </w:p>
        </w:tc>
      </w:tr>
      <w:tr w:rsidR="00395B72" w:rsidRPr="00395B72" w14:paraId="41758006" w14:textId="7E7E13B4" w:rsidTr="00D366D4">
        <w:tc>
          <w:tcPr>
            <w:cnfStyle w:val="001000000000" w:firstRow="0" w:lastRow="0" w:firstColumn="1" w:lastColumn="0" w:oddVBand="0" w:evenVBand="0" w:oddHBand="0" w:evenHBand="0" w:firstRowFirstColumn="0" w:firstRowLastColumn="0" w:lastRowFirstColumn="0" w:lastRowLastColumn="0"/>
            <w:tcW w:w="3434" w:type="dxa"/>
          </w:tcPr>
          <w:p w14:paraId="372FD7C5" w14:textId="77777777" w:rsidR="00395B72" w:rsidRPr="00FF45A0" w:rsidRDefault="00395B72" w:rsidP="006648A1">
            <w:pPr>
              <w:ind w:left="360"/>
            </w:pPr>
            <w:r w:rsidRPr="00FF45A0">
              <w:t xml:space="preserve">Carolyn Bristow </w:t>
            </w:r>
          </w:p>
        </w:tc>
        <w:tc>
          <w:tcPr>
            <w:tcW w:w="3151" w:type="dxa"/>
          </w:tcPr>
          <w:p w14:paraId="4DDBFA16" w14:textId="0E7A32FA" w:rsidR="00395B72" w:rsidRPr="003626B7" w:rsidRDefault="005155B1" w:rsidP="00395B72">
            <w:pPr>
              <w:ind w:left="360"/>
              <w:cnfStyle w:val="000000000000" w:firstRow="0" w:lastRow="0" w:firstColumn="0" w:lastColumn="0" w:oddVBand="0" w:evenVBand="0" w:oddHBand="0" w:evenHBand="0" w:firstRowFirstColumn="0" w:firstRowLastColumn="0" w:lastRowFirstColumn="0" w:lastRowLastColumn="0"/>
            </w:pPr>
            <w:r w:rsidRPr="003626B7">
              <w:t>Service Manager - Policy</w:t>
            </w:r>
          </w:p>
        </w:tc>
        <w:tc>
          <w:tcPr>
            <w:tcW w:w="3151" w:type="dxa"/>
          </w:tcPr>
          <w:p w14:paraId="45C6E769" w14:textId="768D7910" w:rsidR="00395B72" w:rsidRPr="00395B72" w:rsidRDefault="005155B1" w:rsidP="00395B72">
            <w:pPr>
              <w:ind w:left="360"/>
              <w:cnfStyle w:val="000000000000" w:firstRow="0" w:lastRow="0" w:firstColumn="0" w:lastColumn="0" w:oddVBand="0" w:evenVBand="0" w:oddHBand="0" w:evenHBand="0" w:firstRowFirstColumn="0" w:firstRowLastColumn="0" w:lastRowFirstColumn="0" w:lastRowLastColumn="0"/>
            </w:pPr>
            <w:r>
              <w:t>Brighton &amp; Hove City Council</w:t>
            </w:r>
          </w:p>
        </w:tc>
      </w:tr>
      <w:tr w:rsidR="00395B72" w:rsidRPr="00395B72" w14:paraId="20A97655" w14:textId="587BB4F3" w:rsidTr="00D36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4" w:type="dxa"/>
          </w:tcPr>
          <w:p w14:paraId="53BD4FC1" w14:textId="77777777" w:rsidR="00395B72" w:rsidRPr="00FF45A0" w:rsidRDefault="00395B72" w:rsidP="006648A1">
            <w:pPr>
              <w:ind w:left="360"/>
            </w:pPr>
            <w:r w:rsidRPr="00FF45A0">
              <w:t xml:space="preserve">Bernadette Alves </w:t>
            </w:r>
          </w:p>
        </w:tc>
        <w:tc>
          <w:tcPr>
            <w:tcW w:w="3151" w:type="dxa"/>
          </w:tcPr>
          <w:p w14:paraId="5034B854" w14:textId="414206A2" w:rsidR="00395B72" w:rsidRPr="003626B7" w:rsidRDefault="005155B1" w:rsidP="00395B72">
            <w:pPr>
              <w:ind w:left="360"/>
              <w:cnfStyle w:val="000000100000" w:firstRow="0" w:lastRow="0" w:firstColumn="0" w:lastColumn="0" w:oddVBand="0" w:evenVBand="0" w:oddHBand="1" w:evenHBand="0" w:firstRowFirstColumn="0" w:firstRowLastColumn="0" w:lastRowFirstColumn="0" w:lastRowLastColumn="0"/>
            </w:pPr>
            <w:r w:rsidRPr="003626B7">
              <w:t>Lead Consultant in Public Health</w:t>
            </w:r>
          </w:p>
        </w:tc>
        <w:tc>
          <w:tcPr>
            <w:tcW w:w="3151" w:type="dxa"/>
          </w:tcPr>
          <w:p w14:paraId="1CD9C185" w14:textId="2C6A4763" w:rsidR="00395B72" w:rsidRPr="00395B72" w:rsidRDefault="005155B1" w:rsidP="00395B72">
            <w:pPr>
              <w:ind w:left="360"/>
              <w:cnfStyle w:val="000000100000" w:firstRow="0" w:lastRow="0" w:firstColumn="0" w:lastColumn="0" w:oddVBand="0" w:evenVBand="0" w:oddHBand="1" w:evenHBand="0" w:firstRowFirstColumn="0" w:firstRowLastColumn="0" w:lastRowFirstColumn="0" w:lastRowLastColumn="0"/>
            </w:pPr>
            <w:r>
              <w:t>Brighton &amp; Hove City Council</w:t>
            </w:r>
          </w:p>
        </w:tc>
      </w:tr>
      <w:tr w:rsidR="00E620D1" w:rsidRPr="00395B72" w14:paraId="5AB96A23" w14:textId="77777777" w:rsidTr="00D366D4">
        <w:tc>
          <w:tcPr>
            <w:cnfStyle w:val="001000000000" w:firstRow="0" w:lastRow="0" w:firstColumn="1" w:lastColumn="0" w:oddVBand="0" w:evenVBand="0" w:oddHBand="0" w:evenHBand="0" w:firstRowFirstColumn="0" w:firstRowLastColumn="0" w:lastRowFirstColumn="0" w:lastRowLastColumn="0"/>
            <w:tcW w:w="3434" w:type="dxa"/>
          </w:tcPr>
          <w:p w14:paraId="22BB1EF0" w14:textId="77777777" w:rsidR="00E620D1" w:rsidRPr="00395B72" w:rsidRDefault="00E620D1">
            <w:pPr>
              <w:ind w:left="360"/>
              <w:rPr>
                <w:b w:val="0"/>
                <w:bCs w:val="0"/>
              </w:rPr>
            </w:pPr>
            <w:r w:rsidRPr="00395B72">
              <w:rPr>
                <w:b w:val="0"/>
                <w:bCs w:val="0"/>
              </w:rPr>
              <w:t xml:space="preserve">Caroline Tozzi </w:t>
            </w:r>
          </w:p>
        </w:tc>
        <w:tc>
          <w:tcPr>
            <w:tcW w:w="3151" w:type="dxa"/>
          </w:tcPr>
          <w:p w14:paraId="7F9E9A66" w14:textId="77777777" w:rsidR="00E620D1" w:rsidRPr="003B1870" w:rsidRDefault="00E620D1">
            <w:pPr>
              <w:ind w:left="360"/>
              <w:cnfStyle w:val="000000000000" w:firstRow="0" w:lastRow="0" w:firstColumn="0" w:lastColumn="0" w:oddVBand="0" w:evenVBand="0" w:oddHBand="0" w:evenHBand="0" w:firstRowFirstColumn="0" w:firstRowLastColumn="0" w:lastRowFirstColumn="0" w:lastRowLastColumn="0"/>
            </w:pPr>
            <w:r w:rsidRPr="003B1870">
              <w:t>Joint Director for Children and Young People</w:t>
            </w:r>
          </w:p>
        </w:tc>
        <w:tc>
          <w:tcPr>
            <w:tcW w:w="3151" w:type="dxa"/>
          </w:tcPr>
          <w:p w14:paraId="02964A9F" w14:textId="77777777" w:rsidR="00E620D1" w:rsidRPr="00395B72" w:rsidRDefault="00E620D1">
            <w:pPr>
              <w:ind w:left="360"/>
              <w:cnfStyle w:val="000000000000" w:firstRow="0" w:lastRow="0" w:firstColumn="0" w:lastColumn="0" w:oddVBand="0" w:evenVBand="0" w:oddHBand="0" w:evenHBand="0" w:firstRowFirstColumn="0" w:firstRowLastColumn="0" w:lastRowFirstColumn="0" w:lastRowLastColumn="0"/>
            </w:pPr>
            <w:r>
              <w:t>NHS Sussex</w:t>
            </w:r>
          </w:p>
        </w:tc>
      </w:tr>
      <w:tr w:rsidR="00395B72" w:rsidRPr="00395B72" w14:paraId="0ADCC7FD" w14:textId="256E36CD" w:rsidTr="00D36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4" w:type="dxa"/>
          </w:tcPr>
          <w:p w14:paraId="0DA84146" w14:textId="77777777" w:rsidR="00395B72" w:rsidRPr="00395B72" w:rsidRDefault="00395B72" w:rsidP="006648A1">
            <w:pPr>
              <w:ind w:left="360"/>
              <w:rPr>
                <w:b w:val="0"/>
                <w:bCs w:val="0"/>
              </w:rPr>
            </w:pPr>
            <w:r w:rsidRPr="00395B72">
              <w:rPr>
                <w:b w:val="0"/>
                <w:bCs w:val="0"/>
              </w:rPr>
              <w:t xml:space="preserve">Nicole Nair </w:t>
            </w:r>
          </w:p>
        </w:tc>
        <w:tc>
          <w:tcPr>
            <w:tcW w:w="3151" w:type="dxa"/>
          </w:tcPr>
          <w:p w14:paraId="72E539C6" w14:textId="137E7EFB" w:rsidR="00180C8E" w:rsidRPr="00180C8E" w:rsidRDefault="00180C8E" w:rsidP="00180C8E">
            <w:pPr>
              <w:ind w:left="360"/>
              <w:cnfStyle w:val="000000100000" w:firstRow="0" w:lastRow="0" w:firstColumn="0" w:lastColumn="0" w:oddVBand="0" w:evenVBand="0" w:oddHBand="1" w:evenHBand="0" w:firstRowFirstColumn="0" w:firstRowLastColumn="0" w:lastRowFirstColumn="0" w:lastRowLastColumn="0"/>
            </w:pPr>
            <w:r w:rsidRPr="00180C8E">
              <w:t>Head of Health,</w:t>
            </w:r>
            <w:r>
              <w:t xml:space="preserve"> </w:t>
            </w:r>
            <w:r w:rsidRPr="00180C8E">
              <w:t>Wellbeing, Partnerships &amp; Integration – Brighton and Hove</w:t>
            </w:r>
          </w:p>
          <w:p w14:paraId="31465454" w14:textId="77777777" w:rsidR="00395B72" w:rsidRPr="00395B72" w:rsidRDefault="00395B72" w:rsidP="00395B72">
            <w:pPr>
              <w:ind w:left="360"/>
              <w:cnfStyle w:val="000000100000" w:firstRow="0" w:lastRow="0" w:firstColumn="0" w:lastColumn="0" w:oddVBand="0" w:evenVBand="0" w:oddHBand="1" w:evenHBand="0" w:firstRowFirstColumn="0" w:firstRowLastColumn="0" w:lastRowFirstColumn="0" w:lastRowLastColumn="0"/>
            </w:pPr>
          </w:p>
        </w:tc>
        <w:tc>
          <w:tcPr>
            <w:tcW w:w="3151" w:type="dxa"/>
          </w:tcPr>
          <w:p w14:paraId="10391CC2" w14:textId="591FF8EC" w:rsidR="00395B72" w:rsidRPr="00395B72" w:rsidRDefault="00180C8E" w:rsidP="00395B72">
            <w:pPr>
              <w:ind w:left="360"/>
              <w:cnfStyle w:val="000000100000" w:firstRow="0" w:lastRow="0" w:firstColumn="0" w:lastColumn="0" w:oddVBand="0" w:evenVBand="0" w:oddHBand="1" w:evenHBand="0" w:firstRowFirstColumn="0" w:firstRowLastColumn="0" w:lastRowFirstColumn="0" w:lastRowLastColumn="0"/>
            </w:pPr>
            <w:r>
              <w:t>NHS Sussex</w:t>
            </w:r>
          </w:p>
        </w:tc>
      </w:tr>
      <w:tr w:rsidR="00395B72" w:rsidRPr="00395B72" w14:paraId="0193D2AC" w14:textId="0A2BE83F" w:rsidTr="00D366D4">
        <w:tc>
          <w:tcPr>
            <w:cnfStyle w:val="001000000000" w:firstRow="0" w:lastRow="0" w:firstColumn="1" w:lastColumn="0" w:oddVBand="0" w:evenVBand="0" w:oddHBand="0" w:evenHBand="0" w:firstRowFirstColumn="0" w:firstRowLastColumn="0" w:lastRowFirstColumn="0" w:lastRowLastColumn="0"/>
            <w:tcW w:w="3434" w:type="dxa"/>
          </w:tcPr>
          <w:p w14:paraId="52F0F92B" w14:textId="77777777" w:rsidR="00395B72" w:rsidRPr="00395B72" w:rsidRDefault="00395B72" w:rsidP="006648A1">
            <w:pPr>
              <w:ind w:left="360"/>
              <w:rPr>
                <w:b w:val="0"/>
                <w:bCs w:val="0"/>
              </w:rPr>
            </w:pPr>
            <w:r w:rsidRPr="00395B72">
              <w:rPr>
                <w:b w:val="0"/>
                <w:bCs w:val="0"/>
              </w:rPr>
              <w:t xml:space="preserve">Tanya Brown-Griffith </w:t>
            </w:r>
          </w:p>
        </w:tc>
        <w:tc>
          <w:tcPr>
            <w:tcW w:w="3151" w:type="dxa"/>
          </w:tcPr>
          <w:p w14:paraId="75C4E618" w14:textId="6619579D" w:rsidR="00395B72" w:rsidRPr="00C4439A" w:rsidRDefault="00C4439A" w:rsidP="00395B72">
            <w:pPr>
              <w:ind w:left="360"/>
              <w:cnfStyle w:val="000000000000" w:firstRow="0" w:lastRow="0" w:firstColumn="0" w:lastColumn="0" w:oddVBand="0" w:evenVBand="0" w:oddHBand="0" w:evenHBand="0" w:firstRowFirstColumn="0" w:firstRowLastColumn="0" w:lastRowFirstColumn="0" w:lastRowLastColumn="0"/>
            </w:pPr>
            <w:r w:rsidRPr="00C4439A">
              <w:t>Director for Joint Commissioning and Integrated Community Teams</w:t>
            </w:r>
          </w:p>
        </w:tc>
        <w:tc>
          <w:tcPr>
            <w:tcW w:w="3151" w:type="dxa"/>
          </w:tcPr>
          <w:p w14:paraId="51795CC7" w14:textId="6A02202E" w:rsidR="00395B72" w:rsidRPr="00395B72" w:rsidRDefault="00C4439A" w:rsidP="00395B72">
            <w:pPr>
              <w:ind w:left="360"/>
              <w:cnfStyle w:val="000000000000" w:firstRow="0" w:lastRow="0" w:firstColumn="0" w:lastColumn="0" w:oddVBand="0" w:evenVBand="0" w:oddHBand="0" w:evenHBand="0" w:firstRowFirstColumn="0" w:firstRowLastColumn="0" w:lastRowFirstColumn="0" w:lastRowLastColumn="0"/>
            </w:pPr>
            <w:r>
              <w:t>NHS Sussex</w:t>
            </w:r>
          </w:p>
        </w:tc>
      </w:tr>
      <w:tr w:rsidR="00395B72" w:rsidRPr="00395B72" w14:paraId="3ACE4AF5" w14:textId="48DAD73E" w:rsidTr="00D36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4" w:type="dxa"/>
          </w:tcPr>
          <w:p w14:paraId="1F05C11D" w14:textId="77777777" w:rsidR="00395B72" w:rsidRPr="00395B72" w:rsidRDefault="00395B72" w:rsidP="006648A1">
            <w:pPr>
              <w:ind w:left="360"/>
              <w:rPr>
                <w:b w:val="0"/>
                <w:bCs w:val="0"/>
              </w:rPr>
            </w:pPr>
            <w:r w:rsidRPr="00395B72">
              <w:rPr>
                <w:b w:val="0"/>
                <w:bCs w:val="0"/>
              </w:rPr>
              <w:t xml:space="preserve">Ros Cook </w:t>
            </w:r>
          </w:p>
        </w:tc>
        <w:tc>
          <w:tcPr>
            <w:tcW w:w="3151" w:type="dxa"/>
          </w:tcPr>
          <w:p w14:paraId="7E893D02" w14:textId="167EF121" w:rsidR="00395B72" w:rsidRPr="00395B72" w:rsidRDefault="00BA7B5D" w:rsidP="00BA7B5D">
            <w:pPr>
              <w:ind w:left="360"/>
              <w:cnfStyle w:val="000000100000" w:firstRow="0" w:lastRow="0" w:firstColumn="0" w:lastColumn="0" w:oddVBand="0" w:evenVBand="0" w:oddHBand="1" w:evenHBand="0" w:firstRowFirstColumn="0" w:firstRowLastColumn="0" w:lastRowFirstColumn="0" w:lastRowLastColumn="0"/>
            </w:pPr>
            <w:r w:rsidRPr="0038640A">
              <w:t>Head of Services  </w:t>
            </w:r>
          </w:p>
        </w:tc>
        <w:tc>
          <w:tcPr>
            <w:tcW w:w="3151" w:type="dxa"/>
          </w:tcPr>
          <w:p w14:paraId="0E8034E0" w14:textId="62F0105E" w:rsidR="00395B72" w:rsidRPr="00395B72" w:rsidRDefault="00C4439A" w:rsidP="00395B72">
            <w:pPr>
              <w:ind w:left="360"/>
              <w:cnfStyle w:val="000000100000" w:firstRow="0" w:lastRow="0" w:firstColumn="0" w:lastColumn="0" w:oddVBand="0" w:evenVBand="0" w:oddHBand="1" w:evenHBand="0" w:firstRowFirstColumn="0" w:firstRowLastColumn="0" w:lastRowFirstColumn="0" w:lastRowLastColumn="0"/>
            </w:pPr>
            <w:r>
              <w:t>A</w:t>
            </w:r>
            <w:r w:rsidR="00D12648">
              <w:t xml:space="preserve">maze </w:t>
            </w:r>
          </w:p>
        </w:tc>
      </w:tr>
      <w:tr w:rsidR="00395B72" w:rsidRPr="00395B72" w14:paraId="028993E4" w14:textId="181A4408" w:rsidTr="00D366D4">
        <w:tc>
          <w:tcPr>
            <w:cnfStyle w:val="001000000000" w:firstRow="0" w:lastRow="0" w:firstColumn="1" w:lastColumn="0" w:oddVBand="0" w:evenVBand="0" w:oddHBand="0" w:evenHBand="0" w:firstRowFirstColumn="0" w:firstRowLastColumn="0" w:lastRowFirstColumn="0" w:lastRowLastColumn="0"/>
            <w:tcW w:w="3434" w:type="dxa"/>
          </w:tcPr>
          <w:p w14:paraId="171E5AAE" w14:textId="77777777" w:rsidR="00395B72" w:rsidRPr="00395B72" w:rsidRDefault="00395B72" w:rsidP="006648A1">
            <w:pPr>
              <w:ind w:left="360"/>
              <w:rPr>
                <w:b w:val="0"/>
                <w:bCs w:val="0"/>
              </w:rPr>
            </w:pPr>
            <w:r w:rsidRPr="00395B72">
              <w:rPr>
                <w:b w:val="0"/>
                <w:bCs w:val="0"/>
              </w:rPr>
              <w:t xml:space="preserve">Becky Robinson </w:t>
            </w:r>
          </w:p>
        </w:tc>
        <w:tc>
          <w:tcPr>
            <w:tcW w:w="3151" w:type="dxa"/>
          </w:tcPr>
          <w:p w14:paraId="03DD6207" w14:textId="19F15CCD" w:rsidR="00395B72" w:rsidRPr="00395B72" w:rsidRDefault="00E17DB1" w:rsidP="00395B72">
            <w:pPr>
              <w:ind w:left="360"/>
              <w:cnfStyle w:val="000000000000" w:firstRow="0" w:lastRow="0" w:firstColumn="0" w:lastColumn="0" w:oddVBand="0" w:evenVBand="0" w:oddHBand="0" w:evenHBand="0" w:firstRowFirstColumn="0" w:firstRowLastColumn="0" w:lastRowFirstColumn="0" w:lastRowLastColumn="0"/>
            </w:pPr>
            <w:r>
              <w:t>Co-Chair</w:t>
            </w:r>
          </w:p>
        </w:tc>
        <w:tc>
          <w:tcPr>
            <w:tcW w:w="3151" w:type="dxa"/>
          </w:tcPr>
          <w:p w14:paraId="42B0ACF7" w14:textId="72955792" w:rsidR="00395B72" w:rsidRPr="00395B72" w:rsidRDefault="00D12648" w:rsidP="00395B72">
            <w:pPr>
              <w:ind w:left="360"/>
              <w:cnfStyle w:val="000000000000" w:firstRow="0" w:lastRow="0" w:firstColumn="0" w:lastColumn="0" w:oddVBand="0" w:evenVBand="0" w:oddHBand="0" w:evenHBand="0" w:firstRowFirstColumn="0" w:firstRowLastColumn="0" w:lastRowFirstColumn="0" w:lastRowLastColumn="0"/>
            </w:pPr>
            <w:r>
              <w:t>Parent and Carers Council</w:t>
            </w:r>
          </w:p>
        </w:tc>
      </w:tr>
      <w:tr w:rsidR="00395B72" w:rsidRPr="00395B72" w14:paraId="2B066560" w14:textId="24F081CD" w:rsidTr="0092412A">
        <w:trPr>
          <w:cnfStyle w:val="000000100000" w:firstRow="0" w:lastRow="0" w:firstColumn="0" w:lastColumn="0" w:oddVBand="0" w:evenVBand="0" w:oddHBand="1"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3434" w:type="dxa"/>
          </w:tcPr>
          <w:p w14:paraId="72FB3AA9" w14:textId="77777777" w:rsidR="00395B72" w:rsidRPr="00395B72" w:rsidRDefault="00395B72" w:rsidP="006648A1">
            <w:pPr>
              <w:ind w:left="360"/>
              <w:rPr>
                <w:b w:val="0"/>
                <w:bCs w:val="0"/>
              </w:rPr>
            </w:pPr>
            <w:r w:rsidRPr="00395B72">
              <w:rPr>
                <w:b w:val="0"/>
                <w:bCs w:val="0"/>
              </w:rPr>
              <w:t xml:space="preserve">Sally Polanski </w:t>
            </w:r>
          </w:p>
        </w:tc>
        <w:tc>
          <w:tcPr>
            <w:tcW w:w="3151" w:type="dxa"/>
          </w:tcPr>
          <w:p w14:paraId="5BCDEA87" w14:textId="7739C509" w:rsidR="00395B72" w:rsidRPr="00395B72" w:rsidRDefault="00E17DB1" w:rsidP="00395B72">
            <w:pPr>
              <w:ind w:left="360"/>
              <w:cnfStyle w:val="000000100000" w:firstRow="0" w:lastRow="0" w:firstColumn="0" w:lastColumn="0" w:oddVBand="0" w:evenVBand="0" w:oddHBand="1" w:evenHBand="0" w:firstRowFirstColumn="0" w:firstRowLastColumn="0" w:lastRowFirstColumn="0" w:lastRowLastColumn="0"/>
            </w:pPr>
            <w:r>
              <w:t>Chief E</w:t>
            </w:r>
            <w:r w:rsidR="00CC3BC8">
              <w:t>xecutive</w:t>
            </w:r>
          </w:p>
        </w:tc>
        <w:tc>
          <w:tcPr>
            <w:tcW w:w="3151" w:type="dxa"/>
          </w:tcPr>
          <w:p w14:paraId="39B06A38" w14:textId="64D986CD" w:rsidR="00395B72" w:rsidRPr="00395B72" w:rsidRDefault="00E17DB1" w:rsidP="00395B72">
            <w:pPr>
              <w:ind w:left="360"/>
              <w:cnfStyle w:val="000000100000" w:firstRow="0" w:lastRow="0" w:firstColumn="0" w:lastColumn="0" w:oddVBand="0" w:evenVBand="0" w:oddHBand="1" w:evenHBand="0" w:firstRowFirstColumn="0" w:firstRowLastColumn="0" w:lastRowFirstColumn="0" w:lastRowLastColumn="0"/>
            </w:pPr>
            <w:r>
              <w:t>Amaze</w:t>
            </w:r>
          </w:p>
        </w:tc>
      </w:tr>
      <w:tr w:rsidR="00395B72" w:rsidRPr="00395B72" w14:paraId="59A5617F" w14:textId="2AB196CF" w:rsidTr="00D366D4">
        <w:tc>
          <w:tcPr>
            <w:cnfStyle w:val="001000000000" w:firstRow="0" w:lastRow="0" w:firstColumn="1" w:lastColumn="0" w:oddVBand="0" w:evenVBand="0" w:oddHBand="0" w:evenHBand="0" w:firstRowFirstColumn="0" w:firstRowLastColumn="0" w:lastRowFirstColumn="0" w:lastRowLastColumn="0"/>
            <w:tcW w:w="3434" w:type="dxa"/>
          </w:tcPr>
          <w:p w14:paraId="2F6BE7B9" w14:textId="77777777" w:rsidR="00395B72" w:rsidRPr="00395B72" w:rsidRDefault="00395B72" w:rsidP="006648A1">
            <w:pPr>
              <w:ind w:left="360"/>
              <w:rPr>
                <w:b w:val="0"/>
                <w:bCs w:val="0"/>
              </w:rPr>
            </w:pPr>
            <w:r w:rsidRPr="00395B72">
              <w:rPr>
                <w:b w:val="0"/>
                <w:bCs w:val="0"/>
              </w:rPr>
              <w:t xml:space="preserve">Jacqui Parfitt </w:t>
            </w:r>
          </w:p>
        </w:tc>
        <w:tc>
          <w:tcPr>
            <w:tcW w:w="3151" w:type="dxa"/>
          </w:tcPr>
          <w:p w14:paraId="2088971F" w14:textId="46DAA4A1" w:rsidR="00395B72" w:rsidRPr="00395B72" w:rsidRDefault="00CC3BC8" w:rsidP="00395B72">
            <w:pPr>
              <w:ind w:left="360"/>
              <w:cnfStyle w:val="000000000000" w:firstRow="0" w:lastRow="0" w:firstColumn="0" w:lastColumn="0" w:oddVBand="0" w:evenVBand="0" w:oddHBand="0" w:evenHBand="0" w:firstRowFirstColumn="0" w:firstRowLastColumn="0" w:lastRowFirstColumn="0" w:lastRowLastColumn="0"/>
            </w:pPr>
            <w:r>
              <w:t xml:space="preserve">Head of Commissioning </w:t>
            </w:r>
          </w:p>
        </w:tc>
        <w:tc>
          <w:tcPr>
            <w:tcW w:w="3151" w:type="dxa"/>
          </w:tcPr>
          <w:p w14:paraId="79F3582A" w14:textId="151C8F3C" w:rsidR="00395B72" w:rsidRPr="00395B72" w:rsidRDefault="00CC3BC8" w:rsidP="00395B72">
            <w:pPr>
              <w:ind w:left="360"/>
              <w:cnfStyle w:val="000000000000" w:firstRow="0" w:lastRow="0" w:firstColumn="0" w:lastColumn="0" w:oddVBand="0" w:evenVBand="0" w:oddHBand="0" w:evenHBand="0" w:firstRowFirstColumn="0" w:firstRowLastColumn="0" w:lastRowFirstColumn="0" w:lastRowLastColumn="0"/>
            </w:pPr>
            <w:r>
              <w:t>Brighton &amp; Hove City Council</w:t>
            </w:r>
          </w:p>
        </w:tc>
      </w:tr>
      <w:tr w:rsidR="00395B72" w:rsidRPr="00395B72" w14:paraId="0EFBC7F5" w14:textId="297E5F7D" w:rsidTr="00D36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4" w:type="dxa"/>
          </w:tcPr>
          <w:p w14:paraId="389A354E" w14:textId="77777777" w:rsidR="00395B72" w:rsidRPr="00395B72" w:rsidRDefault="00395B72" w:rsidP="006648A1">
            <w:pPr>
              <w:ind w:left="360"/>
              <w:rPr>
                <w:b w:val="0"/>
                <w:bCs w:val="0"/>
              </w:rPr>
            </w:pPr>
            <w:r w:rsidRPr="00395B72">
              <w:rPr>
                <w:b w:val="0"/>
                <w:bCs w:val="0"/>
              </w:rPr>
              <w:t xml:space="preserve">Ratna Sundrum </w:t>
            </w:r>
          </w:p>
        </w:tc>
        <w:tc>
          <w:tcPr>
            <w:tcW w:w="3151" w:type="dxa"/>
          </w:tcPr>
          <w:p w14:paraId="4E8C74F7" w14:textId="5D5A69D3" w:rsidR="00395B72" w:rsidRPr="00395B72" w:rsidRDefault="00247B54" w:rsidP="00395B72">
            <w:pPr>
              <w:ind w:left="360"/>
              <w:cnfStyle w:val="000000100000" w:firstRow="0" w:lastRow="0" w:firstColumn="0" w:lastColumn="0" w:oddVBand="0" w:evenVBand="0" w:oddHBand="1" w:evenHBand="0" w:firstRowFirstColumn="0" w:firstRowLastColumn="0" w:lastRowFirstColumn="0" w:lastRowLastColumn="0"/>
            </w:pPr>
            <w:r w:rsidRPr="00247B54">
              <w:t xml:space="preserve">Consultant Paediatrician- </w:t>
            </w:r>
            <w:r>
              <w:t>Designated Medical Officer</w:t>
            </w:r>
          </w:p>
        </w:tc>
        <w:tc>
          <w:tcPr>
            <w:tcW w:w="3151" w:type="dxa"/>
          </w:tcPr>
          <w:p w14:paraId="702204C4" w14:textId="541E4257" w:rsidR="00395B72" w:rsidRPr="00395B72" w:rsidRDefault="00E553F2" w:rsidP="00395B72">
            <w:pPr>
              <w:ind w:left="360"/>
              <w:cnfStyle w:val="000000100000" w:firstRow="0" w:lastRow="0" w:firstColumn="0" w:lastColumn="0" w:oddVBand="0" w:evenVBand="0" w:oddHBand="1" w:evenHBand="0" w:firstRowFirstColumn="0" w:firstRowLastColumn="0" w:lastRowFirstColumn="0" w:lastRowLastColumn="0"/>
            </w:pPr>
            <w:r w:rsidRPr="00E553F2">
              <w:t>Sussex Community NHS Trust</w:t>
            </w:r>
          </w:p>
        </w:tc>
      </w:tr>
      <w:tr w:rsidR="00395B72" w:rsidRPr="00395B72" w14:paraId="704682E8" w14:textId="4D0DFFDF" w:rsidTr="00D366D4">
        <w:tc>
          <w:tcPr>
            <w:cnfStyle w:val="001000000000" w:firstRow="0" w:lastRow="0" w:firstColumn="1" w:lastColumn="0" w:oddVBand="0" w:evenVBand="0" w:oddHBand="0" w:evenHBand="0" w:firstRowFirstColumn="0" w:firstRowLastColumn="0" w:lastRowFirstColumn="0" w:lastRowLastColumn="0"/>
            <w:tcW w:w="3434" w:type="dxa"/>
          </w:tcPr>
          <w:p w14:paraId="6C32B494" w14:textId="77777777" w:rsidR="00395B72" w:rsidRPr="00395B72" w:rsidRDefault="00395B72" w:rsidP="006648A1">
            <w:pPr>
              <w:ind w:left="360"/>
              <w:rPr>
                <w:b w:val="0"/>
                <w:bCs w:val="0"/>
              </w:rPr>
            </w:pPr>
            <w:r w:rsidRPr="00395B72">
              <w:rPr>
                <w:b w:val="0"/>
                <w:bCs w:val="0"/>
              </w:rPr>
              <w:lastRenderedPageBreak/>
              <w:t xml:space="preserve">Deborah Wilson </w:t>
            </w:r>
          </w:p>
        </w:tc>
        <w:tc>
          <w:tcPr>
            <w:tcW w:w="3151" w:type="dxa"/>
          </w:tcPr>
          <w:p w14:paraId="085594D2" w14:textId="45E6A377" w:rsidR="00395B72" w:rsidRPr="00395B72" w:rsidRDefault="00266341" w:rsidP="00395B72">
            <w:pPr>
              <w:ind w:left="360"/>
              <w:cnfStyle w:val="000000000000" w:firstRow="0" w:lastRow="0" w:firstColumn="0" w:lastColumn="0" w:oddVBand="0" w:evenVBand="0" w:oddHBand="0" w:evenHBand="0" w:firstRowFirstColumn="0" w:firstRowLastColumn="0" w:lastRowFirstColumn="0" w:lastRowLastColumn="0"/>
            </w:pPr>
            <w:r w:rsidRPr="00266341">
              <w:t xml:space="preserve">Deputy head of </w:t>
            </w:r>
            <w:r w:rsidR="00B8424E" w:rsidRPr="00266341">
              <w:t>children’s</w:t>
            </w:r>
            <w:r w:rsidR="00021C38">
              <w:t xml:space="preserve"> </w:t>
            </w:r>
            <w:r w:rsidRPr="00266341">
              <w:t>commissioning</w:t>
            </w:r>
          </w:p>
        </w:tc>
        <w:tc>
          <w:tcPr>
            <w:tcW w:w="3151" w:type="dxa"/>
          </w:tcPr>
          <w:p w14:paraId="2D1DF2CB" w14:textId="4C045584" w:rsidR="00395B72" w:rsidRPr="00395B72" w:rsidRDefault="00E02FDA" w:rsidP="00395B72">
            <w:pPr>
              <w:ind w:left="360"/>
              <w:cnfStyle w:val="000000000000" w:firstRow="0" w:lastRow="0" w:firstColumn="0" w:lastColumn="0" w:oddVBand="0" w:evenVBand="0" w:oddHBand="0" w:evenHBand="0" w:firstRowFirstColumn="0" w:firstRowLastColumn="0" w:lastRowFirstColumn="0" w:lastRowLastColumn="0"/>
            </w:pPr>
            <w:r>
              <w:t>NHS Sussex</w:t>
            </w:r>
          </w:p>
        </w:tc>
      </w:tr>
      <w:tr w:rsidR="00395B72" w:rsidRPr="00395B72" w14:paraId="41C5DC63" w14:textId="4718D089" w:rsidTr="00D36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4" w:type="dxa"/>
          </w:tcPr>
          <w:p w14:paraId="5C18E2E9" w14:textId="77777777" w:rsidR="00395B72" w:rsidRPr="00395B72" w:rsidRDefault="00395B72" w:rsidP="006648A1">
            <w:pPr>
              <w:ind w:left="360"/>
              <w:rPr>
                <w:b w:val="0"/>
                <w:bCs w:val="0"/>
              </w:rPr>
            </w:pPr>
            <w:r w:rsidRPr="00395B72">
              <w:rPr>
                <w:b w:val="0"/>
                <w:bCs w:val="0"/>
              </w:rPr>
              <w:t xml:space="preserve">Fiona Streeter </w:t>
            </w:r>
          </w:p>
        </w:tc>
        <w:tc>
          <w:tcPr>
            <w:tcW w:w="3151" w:type="dxa"/>
          </w:tcPr>
          <w:p w14:paraId="4F7EE9FC" w14:textId="1CACF077" w:rsidR="00395B72" w:rsidRPr="00395B72" w:rsidRDefault="00C74F33" w:rsidP="00395B72">
            <w:pPr>
              <w:ind w:left="360"/>
              <w:cnfStyle w:val="000000100000" w:firstRow="0" w:lastRow="0" w:firstColumn="0" w:lastColumn="0" w:oddVBand="0" w:evenVBand="0" w:oddHBand="1" w:evenHBand="0" w:firstRowFirstColumn="0" w:firstRowLastColumn="0" w:lastRowFirstColumn="0" w:lastRowLastColumn="0"/>
            </w:pPr>
            <w:r w:rsidRPr="00C74F33">
              <w:t>Associate Director Commissioning and Partnerships</w:t>
            </w:r>
          </w:p>
        </w:tc>
        <w:tc>
          <w:tcPr>
            <w:tcW w:w="3151" w:type="dxa"/>
          </w:tcPr>
          <w:p w14:paraId="1E05017F" w14:textId="3B2A2BBC" w:rsidR="00395B72" w:rsidRPr="00395B72" w:rsidRDefault="00C74F33" w:rsidP="00395B72">
            <w:pPr>
              <w:ind w:left="360"/>
              <w:cnfStyle w:val="000000100000" w:firstRow="0" w:lastRow="0" w:firstColumn="0" w:lastColumn="0" w:oddVBand="0" w:evenVBand="0" w:oddHBand="1" w:evenHBand="0" w:firstRowFirstColumn="0" w:firstRowLastColumn="0" w:lastRowFirstColumn="0" w:lastRowLastColumn="0"/>
            </w:pPr>
            <w:r>
              <w:t>NHS Sussex</w:t>
            </w:r>
          </w:p>
        </w:tc>
      </w:tr>
      <w:tr w:rsidR="00395B72" w:rsidRPr="00395B72" w14:paraId="6A42334B" w14:textId="77CE3EA1" w:rsidTr="00D366D4">
        <w:tc>
          <w:tcPr>
            <w:cnfStyle w:val="001000000000" w:firstRow="0" w:lastRow="0" w:firstColumn="1" w:lastColumn="0" w:oddVBand="0" w:evenVBand="0" w:oddHBand="0" w:evenHBand="0" w:firstRowFirstColumn="0" w:firstRowLastColumn="0" w:lastRowFirstColumn="0" w:lastRowLastColumn="0"/>
            <w:tcW w:w="3434" w:type="dxa"/>
          </w:tcPr>
          <w:p w14:paraId="5EA49057" w14:textId="77777777" w:rsidR="00395B72" w:rsidRPr="00395B72" w:rsidRDefault="00395B72" w:rsidP="006648A1">
            <w:pPr>
              <w:ind w:left="360"/>
              <w:rPr>
                <w:b w:val="0"/>
                <w:bCs w:val="0"/>
              </w:rPr>
            </w:pPr>
            <w:r w:rsidRPr="00395B72">
              <w:rPr>
                <w:b w:val="0"/>
                <w:bCs w:val="0"/>
              </w:rPr>
              <w:t>Toby Silverman</w:t>
            </w:r>
          </w:p>
        </w:tc>
        <w:tc>
          <w:tcPr>
            <w:tcW w:w="3151" w:type="dxa"/>
          </w:tcPr>
          <w:p w14:paraId="647A8E84" w14:textId="77777777" w:rsidR="00897EB1" w:rsidRPr="00897EB1" w:rsidRDefault="00897EB1" w:rsidP="00897EB1">
            <w:pPr>
              <w:ind w:left="360"/>
              <w:cnfStyle w:val="000000000000" w:firstRow="0" w:lastRow="0" w:firstColumn="0" w:lastColumn="0" w:oddVBand="0" w:evenVBand="0" w:oddHBand="0" w:evenHBand="0" w:firstRowFirstColumn="0" w:firstRowLastColumn="0" w:lastRowFirstColumn="0" w:lastRowLastColumn="0"/>
            </w:pPr>
            <w:r w:rsidRPr="0092412A">
              <w:t>SEND Improvement Manager  </w:t>
            </w:r>
          </w:p>
          <w:p w14:paraId="78F740DC" w14:textId="77777777" w:rsidR="00395B72" w:rsidRPr="00897EB1" w:rsidRDefault="00395B72" w:rsidP="00897EB1">
            <w:pPr>
              <w:ind w:left="360"/>
              <w:cnfStyle w:val="000000000000" w:firstRow="0" w:lastRow="0" w:firstColumn="0" w:lastColumn="0" w:oddVBand="0" w:evenVBand="0" w:oddHBand="0" w:evenHBand="0" w:firstRowFirstColumn="0" w:firstRowLastColumn="0" w:lastRowFirstColumn="0" w:lastRowLastColumn="0"/>
            </w:pPr>
          </w:p>
        </w:tc>
        <w:tc>
          <w:tcPr>
            <w:tcW w:w="3151" w:type="dxa"/>
          </w:tcPr>
          <w:p w14:paraId="3E4DD760" w14:textId="77777777" w:rsidR="00897EB1" w:rsidRPr="00897EB1" w:rsidRDefault="00897EB1" w:rsidP="00897EB1">
            <w:pPr>
              <w:ind w:left="360"/>
              <w:cnfStyle w:val="000000000000" w:firstRow="0" w:lastRow="0" w:firstColumn="0" w:lastColumn="0" w:oddVBand="0" w:evenVBand="0" w:oddHBand="0" w:evenHBand="0" w:firstRowFirstColumn="0" w:firstRowLastColumn="0" w:lastRowFirstColumn="0" w:lastRowLastColumn="0"/>
            </w:pPr>
            <w:r w:rsidRPr="0092412A">
              <w:t>NHS Sussex</w:t>
            </w:r>
          </w:p>
          <w:p w14:paraId="3E45AD49" w14:textId="77777777" w:rsidR="00395B72" w:rsidRPr="00897EB1" w:rsidRDefault="00395B72" w:rsidP="00395B72">
            <w:pPr>
              <w:ind w:left="360"/>
              <w:cnfStyle w:val="000000000000" w:firstRow="0" w:lastRow="0" w:firstColumn="0" w:lastColumn="0" w:oddVBand="0" w:evenVBand="0" w:oddHBand="0" w:evenHBand="0" w:firstRowFirstColumn="0" w:firstRowLastColumn="0" w:lastRowFirstColumn="0" w:lastRowLastColumn="0"/>
            </w:pPr>
          </w:p>
        </w:tc>
      </w:tr>
      <w:tr w:rsidR="00FF45A0" w:rsidRPr="00395B72" w14:paraId="5716EF4A" w14:textId="77777777" w:rsidTr="00D36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4" w:type="dxa"/>
          </w:tcPr>
          <w:p w14:paraId="7264C81A" w14:textId="77777777" w:rsidR="00FF45A0" w:rsidRPr="00395B72" w:rsidRDefault="00FF45A0" w:rsidP="006648A1">
            <w:pPr>
              <w:ind w:left="360"/>
              <w:rPr>
                <w:b w:val="0"/>
                <w:bCs w:val="0"/>
              </w:rPr>
            </w:pPr>
            <w:r w:rsidRPr="00395B72">
              <w:rPr>
                <w:b w:val="0"/>
                <w:bCs w:val="0"/>
              </w:rPr>
              <w:t xml:space="preserve">Francesca Marcelline </w:t>
            </w:r>
          </w:p>
        </w:tc>
        <w:tc>
          <w:tcPr>
            <w:tcW w:w="3151" w:type="dxa"/>
          </w:tcPr>
          <w:p w14:paraId="1F5D9106" w14:textId="22D32D7A" w:rsidR="00FF45A0" w:rsidRPr="00395B72" w:rsidRDefault="00BE5A0D" w:rsidP="00FC3C49">
            <w:pPr>
              <w:ind w:left="360"/>
              <w:cnfStyle w:val="000000100000" w:firstRow="0" w:lastRow="0" w:firstColumn="0" w:lastColumn="0" w:oddVBand="0" w:evenVBand="0" w:oddHBand="1" w:evenHBand="0" w:firstRowFirstColumn="0" w:firstRowLastColumn="0" w:lastRowFirstColumn="0" w:lastRowLastColumn="0"/>
            </w:pPr>
            <w:r w:rsidRPr="00BE5A0D">
              <w:t>Public Health and Commissioning Knowledge Specialist  </w:t>
            </w:r>
          </w:p>
        </w:tc>
        <w:tc>
          <w:tcPr>
            <w:tcW w:w="3151" w:type="dxa"/>
          </w:tcPr>
          <w:p w14:paraId="63914528" w14:textId="20178425" w:rsidR="00FF45A0" w:rsidRPr="00395B72" w:rsidRDefault="00AC231F" w:rsidP="00FC3C49">
            <w:pPr>
              <w:ind w:left="360"/>
              <w:cnfStyle w:val="000000100000" w:firstRow="0" w:lastRow="0" w:firstColumn="0" w:lastColumn="0" w:oddVBand="0" w:evenVBand="0" w:oddHBand="1" w:evenHBand="0" w:firstRowFirstColumn="0" w:firstRowLastColumn="0" w:lastRowFirstColumn="0" w:lastRowLastColumn="0"/>
            </w:pPr>
            <w:r w:rsidRPr="00AC231F">
              <w:t>Sussex Health Knowledge and Libraries</w:t>
            </w:r>
            <w:r w:rsidR="00615853">
              <w:t xml:space="preserve">, </w:t>
            </w:r>
            <w:r w:rsidR="00B8424E">
              <w:t>NHS University</w:t>
            </w:r>
            <w:r w:rsidR="00615853">
              <w:t xml:space="preserve"> Hospitals Sussex</w:t>
            </w:r>
          </w:p>
        </w:tc>
      </w:tr>
      <w:tr w:rsidR="00395B72" w:rsidRPr="00395B72" w14:paraId="72272E11" w14:textId="50EF4B02" w:rsidTr="00D366D4">
        <w:tc>
          <w:tcPr>
            <w:cnfStyle w:val="001000000000" w:firstRow="0" w:lastRow="0" w:firstColumn="1" w:lastColumn="0" w:oddVBand="0" w:evenVBand="0" w:oddHBand="0" w:evenHBand="0" w:firstRowFirstColumn="0" w:firstRowLastColumn="0" w:lastRowFirstColumn="0" w:lastRowLastColumn="0"/>
            <w:tcW w:w="3434" w:type="dxa"/>
          </w:tcPr>
          <w:p w14:paraId="331CC7BB" w14:textId="77777777" w:rsidR="00395B72" w:rsidRPr="00FF45A0" w:rsidRDefault="00395B72" w:rsidP="006648A1">
            <w:pPr>
              <w:ind w:left="360"/>
            </w:pPr>
            <w:r w:rsidRPr="00FF45A0">
              <w:t xml:space="preserve">Sarah Colombo </w:t>
            </w:r>
          </w:p>
        </w:tc>
        <w:tc>
          <w:tcPr>
            <w:tcW w:w="3151" w:type="dxa"/>
          </w:tcPr>
          <w:p w14:paraId="3168AF4E" w14:textId="77777777" w:rsidR="007C6D80" w:rsidRPr="007C6D80" w:rsidRDefault="007C6D80" w:rsidP="007C6D80">
            <w:pPr>
              <w:ind w:left="360"/>
              <w:cnfStyle w:val="000000000000" w:firstRow="0" w:lastRow="0" w:firstColumn="0" w:lastColumn="0" w:oddVBand="0" w:evenVBand="0" w:oddHBand="0" w:evenHBand="0" w:firstRowFirstColumn="0" w:firstRowLastColumn="0" w:lastRowFirstColumn="0" w:lastRowLastColumn="0"/>
            </w:pPr>
            <w:r w:rsidRPr="007C6D80">
              <w:t>Programme Manager for Starting Well</w:t>
            </w:r>
          </w:p>
          <w:p w14:paraId="7A767DF3" w14:textId="77777777" w:rsidR="00395B72" w:rsidRPr="00395B72" w:rsidRDefault="00395B72" w:rsidP="00395B72">
            <w:pPr>
              <w:ind w:left="360"/>
              <w:cnfStyle w:val="000000000000" w:firstRow="0" w:lastRow="0" w:firstColumn="0" w:lastColumn="0" w:oddVBand="0" w:evenVBand="0" w:oddHBand="0" w:evenHBand="0" w:firstRowFirstColumn="0" w:firstRowLastColumn="0" w:lastRowFirstColumn="0" w:lastRowLastColumn="0"/>
            </w:pPr>
          </w:p>
        </w:tc>
        <w:tc>
          <w:tcPr>
            <w:tcW w:w="3151" w:type="dxa"/>
          </w:tcPr>
          <w:p w14:paraId="071D6A97" w14:textId="061A584D" w:rsidR="00395B72" w:rsidRPr="00395B72" w:rsidRDefault="007C6D80" w:rsidP="00395B72">
            <w:pPr>
              <w:ind w:left="360"/>
              <w:cnfStyle w:val="000000000000" w:firstRow="0" w:lastRow="0" w:firstColumn="0" w:lastColumn="0" w:oddVBand="0" w:evenVBand="0" w:oddHBand="0" w:evenHBand="0" w:firstRowFirstColumn="0" w:firstRowLastColumn="0" w:lastRowFirstColumn="0" w:lastRowLastColumn="0"/>
            </w:pPr>
            <w:r>
              <w:t>Brighton &amp; Hove City Council</w:t>
            </w:r>
          </w:p>
        </w:tc>
      </w:tr>
      <w:tr w:rsidR="0043224D" w:rsidRPr="00395B72" w14:paraId="3F9588E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4" w:type="dxa"/>
          </w:tcPr>
          <w:p w14:paraId="5442A52A" w14:textId="77777777" w:rsidR="0043224D" w:rsidRPr="00FF45A0" w:rsidRDefault="0043224D">
            <w:pPr>
              <w:ind w:left="360"/>
            </w:pPr>
            <w:r w:rsidRPr="00FF45A0">
              <w:t xml:space="preserve">Sinead Odwyer </w:t>
            </w:r>
          </w:p>
        </w:tc>
        <w:tc>
          <w:tcPr>
            <w:tcW w:w="3151" w:type="dxa"/>
          </w:tcPr>
          <w:p w14:paraId="1BC713C7" w14:textId="77777777" w:rsidR="0043224D" w:rsidRPr="00395B72" w:rsidRDefault="0043224D">
            <w:pPr>
              <w:ind w:left="360"/>
              <w:cnfStyle w:val="000000100000" w:firstRow="0" w:lastRow="0" w:firstColumn="0" w:lastColumn="0" w:oddVBand="0" w:evenVBand="0" w:oddHBand="1" w:evenHBand="0" w:firstRowFirstColumn="0" w:firstRowLastColumn="0" w:lastRowFirstColumn="0" w:lastRowLastColumn="0"/>
            </w:pPr>
            <w:r w:rsidRPr="000F32C6">
              <w:t>Public Health Registrar  </w:t>
            </w:r>
          </w:p>
        </w:tc>
        <w:tc>
          <w:tcPr>
            <w:tcW w:w="3151" w:type="dxa"/>
          </w:tcPr>
          <w:p w14:paraId="3F4E72C3" w14:textId="77777777" w:rsidR="0043224D" w:rsidRPr="0092412A" w:rsidRDefault="0043224D">
            <w:pPr>
              <w:ind w:left="360"/>
              <w:cnfStyle w:val="000000100000" w:firstRow="0" w:lastRow="0" w:firstColumn="0" w:lastColumn="0" w:oddVBand="0" w:evenVBand="0" w:oddHBand="1" w:evenHBand="0" w:firstRowFirstColumn="0" w:firstRowLastColumn="0" w:lastRowFirstColumn="0" w:lastRowLastColumn="0"/>
              <w:rPr>
                <w:b/>
                <w:bCs/>
              </w:rPr>
            </w:pPr>
            <w:r>
              <w:t>Brighton &amp; Hove City Council</w:t>
            </w:r>
          </w:p>
        </w:tc>
      </w:tr>
      <w:tr w:rsidR="00A639DD" w:rsidRPr="00395B72" w14:paraId="66B9A701" w14:textId="77777777">
        <w:tc>
          <w:tcPr>
            <w:cnfStyle w:val="001000000000" w:firstRow="0" w:lastRow="0" w:firstColumn="1" w:lastColumn="0" w:oddVBand="0" w:evenVBand="0" w:oddHBand="0" w:evenHBand="0" w:firstRowFirstColumn="0" w:firstRowLastColumn="0" w:lastRowFirstColumn="0" w:lastRowLastColumn="0"/>
            <w:tcW w:w="3434" w:type="dxa"/>
          </w:tcPr>
          <w:p w14:paraId="6869AB72" w14:textId="77777777" w:rsidR="00A639DD" w:rsidRPr="00FF45A0" w:rsidRDefault="00A639DD">
            <w:pPr>
              <w:ind w:left="360"/>
            </w:pPr>
            <w:r w:rsidRPr="00FF45A0">
              <w:t xml:space="preserve">Kate Gilchrist </w:t>
            </w:r>
          </w:p>
        </w:tc>
        <w:tc>
          <w:tcPr>
            <w:tcW w:w="3151" w:type="dxa"/>
          </w:tcPr>
          <w:p w14:paraId="38E33332" w14:textId="5B44524E" w:rsidR="00A639DD" w:rsidRPr="0043224D" w:rsidRDefault="0043224D">
            <w:pPr>
              <w:ind w:left="360"/>
              <w:cnfStyle w:val="000000000000" w:firstRow="0" w:lastRow="0" w:firstColumn="0" w:lastColumn="0" w:oddVBand="0" w:evenVBand="0" w:oddHBand="0" w:evenHBand="0" w:firstRowFirstColumn="0" w:firstRowLastColumn="0" w:lastRowFirstColumn="0" w:lastRowLastColumn="0"/>
            </w:pPr>
            <w:r w:rsidRPr="0043224D">
              <w:t>Head of Public Health Intelligence and Research</w:t>
            </w:r>
          </w:p>
        </w:tc>
        <w:tc>
          <w:tcPr>
            <w:tcW w:w="3151" w:type="dxa"/>
          </w:tcPr>
          <w:p w14:paraId="7F2FC586" w14:textId="77777777" w:rsidR="00A639DD" w:rsidRPr="00395B72" w:rsidRDefault="00A639DD">
            <w:pPr>
              <w:ind w:left="360"/>
              <w:cnfStyle w:val="000000000000" w:firstRow="0" w:lastRow="0" w:firstColumn="0" w:lastColumn="0" w:oddVBand="0" w:evenVBand="0" w:oddHBand="0" w:evenHBand="0" w:firstRowFirstColumn="0" w:firstRowLastColumn="0" w:lastRowFirstColumn="0" w:lastRowLastColumn="0"/>
            </w:pPr>
            <w:r>
              <w:t>Brighton &amp; Hove City Council</w:t>
            </w:r>
          </w:p>
        </w:tc>
      </w:tr>
      <w:tr w:rsidR="0043224D" w:rsidRPr="00395B72" w14:paraId="076B07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4" w:type="dxa"/>
          </w:tcPr>
          <w:p w14:paraId="60DB169E" w14:textId="77777777" w:rsidR="0043224D" w:rsidRPr="00FF45A0" w:rsidRDefault="0043224D">
            <w:pPr>
              <w:ind w:left="360"/>
            </w:pPr>
            <w:r w:rsidRPr="00FF45A0">
              <w:t xml:space="preserve">Muna Mohamed </w:t>
            </w:r>
          </w:p>
        </w:tc>
        <w:tc>
          <w:tcPr>
            <w:tcW w:w="3151" w:type="dxa"/>
          </w:tcPr>
          <w:p w14:paraId="4FFF93B3" w14:textId="77777777" w:rsidR="0043224D" w:rsidRPr="00566CC9" w:rsidRDefault="0043224D">
            <w:pPr>
              <w:ind w:left="360"/>
              <w:cnfStyle w:val="000000100000" w:firstRow="0" w:lastRow="0" w:firstColumn="0" w:lastColumn="0" w:oddVBand="0" w:evenVBand="0" w:oddHBand="1" w:evenHBand="0" w:firstRowFirstColumn="0" w:firstRowLastColumn="0" w:lastRowFirstColumn="0" w:lastRowLastColumn="0"/>
            </w:pPr>
            <w:r w:rsidRPr="0092412A">
              <w:t>Public Health Specialist – JSNA Lead/Manager</w:t>
            </w:r>
          </w:p>
        </w:tc>
        <w:tc>
          <w:tcPr>
            <w:tcW w:w="3151" w:type="dxa"/>
          </w:tcPr>
          <w:p w14:paraId="1AD20DE0" w14:textId="77777777" w:rsidR="0043224D" w:rsidRPr="00395B72" w:rsidRDefault="0043224D">
            <w:pPr>
              <w:ind w:left="360"/>
              <w:cnfStyle w:val="000000100000" w:firstRow="0" w:lastRow="0" w:firstColumn="0" w:lastColumn="0" w:oddVBand="0" w:evenVBand="0" w:oddHBand="1" w:evenHBand="0" w:firstRowFirstColumn="0" w:firstRowLastColumn="0" w:lastRowFirstColumn="0" w:lastRowLastColumn="0"/>
            </w:pPr>
            <w:r>
              <w:t>Brighton &amp; Hove City Council</w:t>
            </w:r>
          </w:p>
        </w:tc>
      </w:tr>
      <w:tr w:rsidR="0043224D" w:rsidRPr="00395B72" w14:paraId="375E7903" w14:textId="77777777">
        <w:tc>
          <w:tcPr>
            <w:cnfStyle w:val="001000000000" w:firstRow="0" w:lastRow="0" w:firstColumn="1" w:lastColumn="0" w:oddVBand="0" w:evenVBand="0" w:oddHBand="0" w:evenHBand="0" w:firstRowFirstColumn="0" w:firstRowLastColumn="0" w:lastRowFirstColumn="0" w:lastRowLastColumn="0"/>
            <w:tcW w:w="3434" w:type="dxa"/>
          </w:tcPr>
          <w:p w14:paraId="3011F4ED" w14:textId="77777777" w:rsidR="0043224D" w:rsidRPr="00FF45A0" w:rsidRDefault="0043224D">
            <w:pPr>
              <w:ind w:left="360"/>
            </w:pPr>
            <w:r w:rsidRPr="00FF45A0">
              <w:t xml:space="preserve">Grace Odiai </w:t>
            </w:r>
          </w:p>
        </w:tc>
        <w:tc>
          <w:tcPr>
            <w:tcW w:w="3151" w:type="dxa"/>
          </w:tcPr>
          <w:p w14:paraId="3BEDFEB7" w14:textId="77777777" w:rsidR="0043224D" w:rsidRPr="00395B72" w:rsidRDefault="0043224D">
            <w:pPr>
              <w:ind w:left="360"/>
              <w:cnfStyle w:val="000000000000" w:firstRow="0" w:lastRow="0" w:firstColumn="0" w:lastColumn="0" w:oddVBand="0" w:evenVBand="0" w:oddHBand="0" w:evenHBand="0" w:firstRowFirstColumn="0" w:firstRowLastColumn="0" w:lastRowFirstColumn="0" w:lastRowLastColumn="0"/>
            </w:pPr>
            <w:r w:rsidRPr="00E93325">
              <w:t>Public Health Information Analyst</w:t>
            </w:r>
          </w:p>
        </w:tc>
        <w:tc>
          <w:tcPr>
            <w:tcW w:w="3151" w:type="dxa"/>
          </w:tcPr>
          <w:p w14:paraId="34518B6C" w14:textId="77777777" w:rsidR="0043224D" w:rsidRPr="00395B72" w:rsidRDefault="0043224D">
            <w:pPr>
              <w:ind w:left="360"/>
              <w:cnfStyle w:val="000000000000" w:firstRow="0" w:lastRow="0" w:firstColumn="0" w:lastColumn="0" w:oddVBand="0" w:evenVBand="0" w:oddHBand="0" w:evenHBand="0" w:firstRowFirstColumn="0" w:firstRowLastColumn="0" w:lastRowFirstColumn="0" w:lastRowLastColumn="0"/>
            </w:pPr>
            <w:r>
              <w:t>Brighton &amp; Hove City Council</w:t>
            </w:r>
          </w:p>
        </w:tc>
      </w:tr>
      <w:tr w:rsidR="00395B72" w:rsidRPr="00395B72" w14:paraId="1CFD83AD" w14:textId="50957D04" w:rsidTr="00D36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4" w:type="dxa"/>
          </w:tcPr>
          <w:p w14:paraId="641F39E9" w14:textId="77777777" w:rsidR="00395B72" w:rsidRPr="00FF45A0" w:rsidRDefault="00395B72" w:rsidP="006648A1">
            <w:pPr>
              <w:ind w:left="360"/>
            </w:pPr>
            <w:r w:rsidRPr="00FF45A0">
              <w:t xml:space="preserve">Louise Knight </w:t>
            </w:r>
          </w:p>
        </w:tc>
        <w:tc>
          <w:tcPr>
            <w:tcW w:w="3151" w:type="dxa"/>
          </w:tcPr>
          <w:p w14:paraId="51CC9E46" w14:textId="61023248" w:rsidR="00395B72" w:rsidRPr="00395B72" w:rsidRDefault="0045394A" w:rsidP="00395B72">
            <w:pPr>
              <w:ind w:left="360"/>
              <w:cnfStyle w:val="000000100000" w:firstRow="0" w:lastRow="0" w:firstColumn="0" w:lastColumn="0" w:oddVBand="0" w:evenVBand="0" w:oddHBand="1" w:evenHBand="0" w:firstRowFirstColumn="0" w:firstRowLastColumn="0" w:lastRowFirstColumn="0" w:lastRowLastColumn="0"/>
            </w:pPr>
            <w:r w:rsidRPr="0045394A">
              <w:t>Senior Public Health Intelligence and Research Specialist</w:t>
            </w:r>
          </w:p>
        </w:tc>
        <w:tc>
          <w:tcPr>
            <w:tcW w:w="3151" w:type="dxa"/>
          </w:tcPr>
          <w:p w14:paraId="11E9EECD" w14:textId="6D134D89" w:rsidR="00395B72" w:rsidRPr="00395B72" w:rsidRDefault="007C6D80" w:rsidP="00395B72">
            <w:pPr>
              <w:ind w:left="360"/>
              <w:cnfStyle w:val="000000100000" w:firstRow="0" w:lastRow="0" w:firstColumn="0" w:lastColumn="0" w:oddVBand="0" w:evenVBand="0" w:oddHBand="1" w:evenHBand="0" w:firstRowFirstColumn="0" w:firstRowLastColumn="0" w:lastRowFirstColumn="0" w:lastRowLastColumn="0"/>
            </w:pPr>
            <w:r>
              <w:t>Brighton &amp; Hove City Council</w:t>
            </w:r>
          </w:p>
        </w:tc>
      </w:tr>
      <w:tr w:rsidR="00395B72" w:rsidRPr="00395B72" w14:paraId="396ADFEA" w14:textId="756FB079" w:rsidTr="00D366D4">
        <w:tc>
          <w:tcPr>
            <w:cnfStyle w:val="001000000000" w:firstRow="0" w:lastRow="0" w:firstColumn="1" w:lastColumn="0" w:oddVBand="0" w:evenVBand="0" w:oddHBand="0" w:evenHBand="0" w:firstRowFirstColumn="0" w:firstRowLastColumn="0" w:lastRowFirstColumn="0" w:lastRowLastColumn="0"/>
            <w:tcW w:w="3434" w:type="dxa"/>
          </w:tcPr>
          <w:p w14:paraId="6D8C461E" w14:textId="77777777" w:rsidR="00395B72" w:rsidRPr="00FF45A0" w:rsidRDefault="00395B72" w:rsidP="006648A1">
            <w:pPr>
              <w:ind w:left="360"/>
            </w:pPr>
            <w:r w:rsidRPr="00FF45A0">
              <w:t xml:space="preserve">Ryan Weedon </w:t>
            </w:r>
          </w:p>
        </w:tc>
        <w:tc>
          <w:tcPr>
            <w:tcW w:w="3151" w:type="dxa"/>
          </w:tcPr>
          <w:p w14:paraId="6D57CB91" w14:textId="06BA1662" w:rsidR="00395B72" w:rsidRPr="00395B72" w:rsidRDefault="009D56FE" w:rsidP="009D56FE">
            <w:pPr>
              <w:ind w:left="360"/>
              <w:cnfStyle w:val="000000000000" w:firstRow="0" w:lastRow="0" w:firstColumn="0" w:lastColumn="0" w:oddVBand="0" w:evenVBand="0" w:oddHBand="0" w:evenHBand="0" w:firstRowFirstColumn="0" w:firstRowLastColumn="0" w:lastRowFirstColumn="0" w:lastRowLastColumn="0"/>
            </w:pPr>
            <w:r w:rsidRPr="009D56FE">
              <w:t>Community Safety &amp; Public Health Information Analyst</w:t>
            </w:r>
          </w:p>
        </w:tc>
        <w:tc>
          <w:tcPr>
            <w:tcW w:w="3151" w:type="dxa"/>
          </w:tcPr>
          <w:p w14:paraId="58D20426" w14:textId="49B4ECA5" w:rsidR="00395B72" w:rsidRPr="0092412A" w:rsidRDefault="007C6D80" w:rsidP="00395B72">
            <w:pPr>
              <w:ind w:left="360"/>
              <w:cnfStyle w:val="000000000000" w:firstRow="0" w:lastRow="0" w:firstColumn="0" w:lastColumn="0" w:oddVBand="0" w:evenVBand="0" w:oddHBand="0" w:evenHBand="0" w:firstRowFirstColumn="0" w:firstRowLastColumn="0" w:lastRowFirstColumn="0" w:lastRowLastColumn="0"/>
              <w:rPr>
                <w:b/>
                <w:bCs/>
              </w:rPr>
            </w:pPr>
            <w:r>
              <w:t>Brighton &amp; Hove City Council</w:t>
            </w:r>
          </w:p>
        </w:tc>
      </w:tr>
      <w:tr w:rsidR="00395B72" w:rsidRPr="00395B72" w14:paraId="73D4FB66" w14:textId="2B84087C" w:rsidTr="00D36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4" w:type="dxa"/>
          </w:tcPr>
          <w:p w14:paraId="541CE6F4" w14:textId="77777777" w:rsidR="00395B72" w:rsidRPr="00395B72" w:rsidRDefault="00395B72" w:rsidP="006648A1">
            <w:pPr>
              <w:ind w:left="360"/>
              <w:rPr>
                <w:b w:val="0"/>
                <w:bCs w:val="0"/>
              </w:rPr>
            </w:pPr>
            <w:r w:rsidRPr="00395B72">
              <w:rPr>
                <w:b w:val="0"/>
                <w:bCs w:val="0"/>
              </w:rPr>
              <w:t xml:space="preserve">Clare Langford  </w:t>
            </w:r>
          </w:p>
        </w:tc>
        <w:tc>
          <w:tcPr>
            <w:tcW w:w="3151" w:type="dxa"/>
          </w:tcPr>
          <w:p w14:paraId="29F182AF" w14:textId="6C751331" w:rsidR="00395B72" w:rsidRPr="009B19E4" w:rsidRDefault="004D44FE" w:rsidP="00395B72">
            <w:pPr>
              <w:ind w:left="360"/>
              <w:cnfStyle w:val="000000100000" w:firstRow="0" w:lastRow="0" w:firstColumn="0" w:lastColumn="0" w:oddVBand="0" w:evenVBand="0" w:oddHBand="1" w:evenHBand="0" w:firstRowFirstColumn="0" w:firstRowLastColumn="0" w:lastRowFirstColumn="0" w:lastRowLastColumn="0"/>
            </w:pPr>
            <w:r w:rsidRPr="0092412A">
              <w:t>Business Support Officer</w:t>
            </w:r>
          </w:p>
        </w:tc>
        <w:tc>
          <w:tcPr>
            <w:tcW w:w="3151" w:type="dxa"/>
          </w:tcPr>
          <w:p w14:paraId="03464F3F" w14:textId="7E1CB53C" w:rsidR="00395B72" w:rsidRPr="00395B72" w:rsidRDefault="007C6D80" w:rsidP="00395B72">
            <w:pPr>
              <w:ind w:left="360"/>
              <w:cnfStyle w:val="000000100000" w:firstRow="0" w:lastRow="0" w:firstColumn="0" w:lastColumn="0" w:oddVBand="0" w:evenVBand="0" w:oddHBand="1" w:evenHBand="0" w:firstRowFirstColumn="0" w:firstRowLastColumn="0" w:lastRowFirstColumn="0" w:lastRowLastColumn="0"/>
            </w:pPr>
            <w:r>
              <w:t>Brighton &amp; Hove City Council</w:t>
            </w:r>
          </w:p>
        </w:tc>
      </w:tr>
      <w:tr w:rsidR="004D44FE" w:rsidRPr="00395B72" w14:paraId="147CE495" w14:textId="77777777" w:rsidTr="00D366D4">
        <w:tc>
          <w:tcPr>
            <w:cnfStyle w:val="001000000000" w:firstRow="0" w:lastRow="0" w:firstColumn="1" w:lastColumn="0" w:oddVBand="0" w:evenVBand="0" w:oddHBand="0" w:evenHBand="0" w:firstRowFirstColumn="0" w:firstRowLastColumn="0" w:lastRowFirstColumn="0" w:lastRowLastColumn="0"/>
            <w:tcW w:w="3434" w:type="dxa"/>
          </w:tcPr>
          <w:p w14:paraId="76F209B3" w14:textId="5B7E8662" w:rsidR="004D44FE" w:rsidRPr="0092412A" w:rsidRDefault="009B19E4" w:rsidP="006648A1">
            <w:pPr>
              <w:ind w:left="360"/>
              <w:rPr>
                <w:b w:val="0"/>
                <w:bCs w:val="0"/>
              </w:rPr>
            </w:pPr>
            <w:r w:rsidRPr="009B19E4">
              <w:t>Andy Close</w:t>
            </w:r>
          </w:p>
        </w:tc>
        <w:tc>
          <w:tcPr>
            <w:tcW w:w="3151" w:type="dxa"/>
          </w:tcPr>
          <w:p w14:paraId="3E6B0785" w14:textId="77E9AE74" w:rsidR="004D44FE" w:rsidRPr="0092412A" w:rsidRDefault="00D60E02" w:rsidP="00395B72">
            <w:pPr>
              <w:ind w:left="360"/>
              <w:cnfStyle w:val="000000000000" w:firstRow="0" w:lastRow="0" w:firstColumn="0" w:lastColumn="0" w:oddVBand="0" w:evenVBand="0" w:oddHBand="0" w:evenHBand="0" w:firstRowFirstColumn="0" w:firstRowLastColumn="0" w:lastRowFirstColumn="0" w:lastRowLastColumn="0"/>
            </w:pPr>
            <w:r w:rsidRPr="0092412A">
              <w:t>Public Health Office Manager</w:t>
            </w:r>
          </w:p>
        </w:tc>
        <w:tc>
          <w:tcPr>
            <w:tcW w:w="3151" w:type="dxa"/>
          </w:tcPr>
          <w:p w14:paraId="2B0C5DF2" w14:textId="5C0B401F" w:rsidR="004D44FE" w:rsidRDefault="009B19E4" w:rsidP="00395B72">
            <w:pPr>
              <w:ind w:left="360"/>
              <w:cnfStyle w:val="000000000000" w:firstRow="0" w:lastRow="0" w:firstColumn="0" w:lastColumn="0" w:oddVBand="0" w:evenVBand="0" w:oddHBand="0" w:evenHBand="0" w:firstRowFirstColumn="0" w:firstRowLastColumn="0" w:lastRowFirstColumn="0" w:lastRowLastColumn="0"/>
            </w:pPr>
            <w:r>
              <w:t>Brighton &amp; Hove City Council</w:t>
            </w:r>
          </w:p>
        </w:tc>
      </w:tr>
    </w:tbl>
    <w:p w14:paraId="766D477A" w14:textId="58D7344B" w:rsidR="00997311" w:rsidRDefault="00997311" w:rsidP="00951F99">
      <w:pPr>
        <w:rPr>
          <w:b/>
          <w:bCs/>
        </w:rPr>
      </w:pPr>
      <w:r w:rsidRPr="00997311">
        <w:rPr>
          <w:b/>
          <w:bCs/>
        </w:rPr>
        <w:t>In addition, we would like to thank all of those who provided evidence for and gave feedback on the needs assessment.</w:t>
      </w:r>
    </w:p>
    <w:p w14:paraId="3563A08F" w14:textId="7209FDAA" w:rsidR="00004AB2" w:rsidRPr="00004AB2" w:rsidRDefault="006C6088" w:rsidP="00004AB2">
      <w:r w:rsidRPr="00386116">
        <w:rPr>
          <w:b/>
          <w:bCs/>
          <w:color w:val="0070C0"/>
        </w:rPr>
        <w:t>Children, young people and parent carer</w:t>
      </w:r>
      <w:r w:rsidR="00D90F42" w:rsidRPr="00386116">
        <w:rPr>
          <w:b/>
          <w:bCs/>
          <w:color w:val="0070C0"/>
        </w:rPr>
        <w:t xml:space="preserve"> acknowledgement</w:t>
      </w:r>
      <w:r w:rsidR="001C3545" w:rsidRPr="00386116">
        <w:rPr>
          <w:b/>
          <w:bCs/>
          <w:color w:val="0070C0"/>
        </w:rPr>
        <w:t xml:space="preserve">: </w:t>
      </w:r>
      <w:r w:rsidR="00C57457" w:rsidRPr="00B77E41">
        <w:t xml:space="preserve">We would like to thank the </w:t>
      </w:r>
      <w:r w:rsidR="00355F55">
        <w:t>p</w:t>
      </w:r>
      <w:r w:rsidR="001C3545">
        <w:t>rimary and seconda</w:t>
      </w:r>
      <w:r w:rsidR="00355F55">
        <w:t xml:space="preserve">ry </w:t>
      </w:r>
      <w:r w:rsidR="00820F5D">
        <w:t xml:space="preserve">school </w:t>
      </w:r>
      <w:r w:rsidR="00C57457" w:rsidRPr="00B77E41">
        <w:t xml:space="preserve">children </w:t>
      </w:r>
      <w:r w:rsidR="00B77E41" w:rsidRPr="00B77E41">
        <w:t xml:space="preserve">who completed the Safe and Well at School </w:t>
      </w:r>
      <w:r w:rsidR="00991067">
        <w:t>S</w:t>
      </w:r>
      <w:r w:rsidR="00B77E41" w:rsidRPr="00B77E41">
        <w:t>urvey 2023</w:t>
      </w:r>
      <w:r w:rsidR="00B77E41">
        <w:t xml:space="preserve">, </w:t>
      </w:r>
      <w:r w:rsidR="00EC1ED9">
        <w:t xml:space="preserve">and </w:t>
      </w:r>
      <w:r w:rsidR="00B77E41">
        <w:t xml:space="preserve">the young </w:t>
      </w:r>
      <w:r w:rsidR="00820F5D">
        <w:t>residents</w:t>
      </w:r>
      <w:r w:rsidR="00991067">
        <w:t xml:space="preserve"> aged </w:t>
      </w:r>
      <w:r w:rsidR="00355F55">
        <w:t>18 to 24 who completed the Health Counts survey 2024</w:t>
      </w:r>
      <w:r w:rsidR="001C1DAD">
        <w:t xml:space="preserve"> – without your participation we would not have th</w:t>
      </w:r>
      <w:r w:rsidR="004E33A9">
        <w:t>is</w:t>
      </w:r>
      <w:r w:rsidR="001C1DAD">
        <w:t xml:space="preserve"> </w:t>
      </w:r>
      <w:r w:rsidR="000941D8">
        <w:t>vital</w:t>
      </w:r>
      <w:r w:rsidR="001C1DAD">
        <w:t xml:space="preserve"> </w:t>
      </w:r>
      <w:r w:rsidR="003E056A">
        <w:t>information on</w:t>
      </w:r>
      <w:r w:rsidR="001C1DAD">
        <w:t xml:space="preserve"> </w:t>
      </w:r>
      <w:r w:rsidR="001D31E8">
        <w:t xml:space="preserve">the health and </w:t>
      </w:r>
      <w:r w:rsidR="001D31E8">
        <w:lastRenderedPageBreak/>
        <w:t xml:space="preserve">wellbeing of </w:t>
      </w:r>
      <w:r w:rsidR="000941D8">
        <w:t>children and you</w:t>
      </w:r>
      <w:r w:rsidR="00670B49">
        <w:t>ng peopl</w:t>
      </w:r>
      <w:r w:rsidR="00D153D6">
        <w:t>e</w:t>
      </w:r>
      <w:r w:rsidR="00670B49">
        <w:t xml:space="preserve"> across the city. </w:t>
      </w:r>
      <w:r w:rsidR="00004AB2" w:rsidRPr="00004AB2">
        <w:t xml:space="preserve">We also </w:t>
      </w:r>
      <w:r w:rsidR="00BF24F7">
        <w:t xml:space="preserve">would like to </w:t>
      </w:r>
      <w:r w:rsidR="00004AB2" w:rsidRPr="00004AB2">
        <w:t>thank the parents and carers whose feedback, captured by our CVS partners, provided valuable perspectives that informed the needs assessment recommendations.</w:t>
      </w:r>
    </w:p>
    <w:p w14:paraId="4FD49109" w14:textId="4A134B3E" w:rsidR="00004AB2" w:rsidRPr="008A57DD" w:rsidRDefault="00004AB2" w:rsidP="00951F99"/>
    <w:p w14:paraId="17967F36" w14:textId="41AD790A" w:rsidR="00F32363" w:rsidRDefault="0035330D" w:rsidP="00D9246A">
      <w:pPr>
        <w:pStyle w:val="Heading1"/>
        <w:spacing w:before="0"/>
      </w:pPr>
      <w:r>
        <w:t>Background</w:t>
      </w:r>
      <w:bookmarkEnd w:id="4"/>
      <w:r>
        <w:t xml:space="preserve"> </w:t>
      </w:r>
    </w:p>
    <w:p w14:paraId="7FDE9EDD" w14:textId="67A73158" w:rsidR="00611C0B" w:rsidRPr="005A56CE" w:rsidRDefault="00483966" w:rsidP="00D9246A">
      <w:pPr>
        <w:spacing w:line="240" w:lineRule="auto"/>
        <w:rPr>
          <w:rFonts w:cs="Arial"/>
          <w:szCs w:val="24"/>
        </w:rPr>
      </w:pPr>
      <w:r w:rsidRPr="00652C21">
        <w:t>Improving s</w:t>
      </w:r>
      <w:r w:rsidR="00F63E21" w:rsidRPr="00652C21">
        <w:t xml:space="preserve">upport for children and young </w:t>
      </w:r>
      <w:r w:rsidR="008D1F6B" w:rsidRPr="00652C21">
        <w:t>p</w:t>
      </w:r>
      <w:r w:rsidR="00FA16FD" w:rsidRPr="00652C21">
        <w:t>eople with special educational needs and disabilities</w:t>
      </w:r>
      <w:r w:rsidR="00362F1F" w:rsidRPr="00652C21">
        <w:t xml:space="preserve"> (SEND)</w:t>
      </w:r>
      <w:r w:rsidR="00FA16FD" w:rsidRPr="00652C21">
        <w:t>, learning disabilities</w:t>
      </w:r>
      <w:r w:rsidRPr="00652C21">
        <w:t xml:space="preserve"> and neurodivergent conditions is a priority for the city.</w:t>
      </w:r>
      <w:r w:rsidR="00611C0B" w:rsidRPr="00611C0B">
        <w:rPr>
          <w:rFonts w:cs="Arial"/>
          <w:szCs w:val="24"/>
        </w:rPr>
        <w:t xml:space="preserve"> </w:t>
      </w:r>
      <w:r w:rsidR="004F2C31">
        <w:rPr>
          <w:rFonts w:cs="Arial"/>
          <w:szCs w:val="24"/>
        </w:rPr>
        <w:t>This</w:t>
      </w:r>
      <w:r w:rsidR="00611C0B" w:rsidRPr="005A56CE">
        <w:rPr>
          <w:rFonts w:cs="Arial"/>
          <w:szCs w:val="24"/>
        </w:rPr>
        <w:t xml:space="preserve"> includes children and young people who have an Education, Health and Care Plan or receive SEN support or both. </w:t>
      </w:r>
    </w:p>
    <w:p w14:paraId="00D234A8" w14:textId="6306EB89" w:rsidR="00483966" w:rsidRPr="00652C21" w:rsidRDefault="00483966" w:rsidP="00D9246A">
      <w:pPr>
        <w:spacing w:line="240" w:lineRule="auto"/>
      </w:pPr>
      <w:r w:rsidRPr="00652C21">
        <w:t xml:space="preserve">Over the last decade, the number of </w:t>
      </w:r>
      <w:r w:rsidR="001F2DE9" w:rsidRPr="00652C21">
        <w:t xml:space="preserve">children and young people </w:t>
      </w:r>
      <w:r w:rsidRPr="00652C21">
        <w:t xml:space="preserve">with SEND has risen both nationally and </w:t>
      </w:r>
      <w:r w:rsidRPr="002566B0">
        <w:rPr>
          <w:rFonts w:cs="Arial"/>
          <w:szCs w:val="24"/>
        </w:rPr>
        <w:t>locally</w:t>
      </w:r>
      <w:r w:rsidRPr="00652C21">
        <w:t>. In England, 18% of pupils had SEND in 2023/24, up from 14% in 2015/16.</w:t>
      </w:r>
      <w:r w:rsidR="00277218">
        <w:t xml:space="preserve"> </w:t>
      </w:r>
      <w:r w:rsidR="001B0CFC" w:rsidRPr="00652C21">
        <w:t xml:space="preserve">Numbers of children diagnosed with neurodivergence, </w:t>
      </w:r>
      <w:r w:rsidR="0032145E" w:rsidRPr="00652C21">
        <w:t xml:space="preserve">in particular </w:t>
      </w:r>
      <w:r w:rsidR="00CC0253" w:rsidRPr="00652C21">
        <w:t xml:space="preserve">autism </w:t>
      </w:r>
      <w:r w:rsidR="0032145E" w:rsidRPr="00652C21">
        <w:t>and</w:t>
      </w:r>
      <w:r w:rsidR="0032145E">
        <w:t xml:space="preserve"> </w:t>
      </w:r>
      <w:r w:rsidR="000C3D54" w:rsidRPr="004E3E65">
        <w:t>attention deficit hyperactivity disorder</w:t>
      </w:r>
      <w:r w:rsidR="004E3E65">
        <w:t xml:space="preserve"> (</w:t>
      </w:r>
      <w:r w:rsidR="003116A1" w:rsidRPr="00652C21">
        <w:t>ADHD</w:t>
      </w:r>
      <w:r w:rsidR="004E3E65">
        <w:t>)</w:t>
      </w:r>
      <w:r w:rsidR="0032145E" w:rsidRPr="00652C21">
        <w:t>, ha</w:t>
      </w:r>
      <w:r w:rsidR="00EF5C28" w:rsidRPr="00652C21">
        <w:t>s</w:t>
      </w:r>
      <w:r w:rsidR="00CC0253" w:rsidRPr="00652C21">
        <w:t xml:space="preserve"> </w:t>
      </w:r>
      <w:r w:rsidR="0032145E" w:rsidRPr="00652C21">
        <w:t>increased</w:t>
      </w:r>
      <w:r w:rsidR="00467876" w:rsidRPr="00652C21">
        <w:t xml:space="preserve"> significantly</w:t>
      </w:r>
      <w:r w:rsidR="002832F4" w:rsidRPr="00652C21">
        <w:t xml:space="preserve">, with </w:t>
      </w:r>
      <w:r w:rsidR="008D36A9" w:rsidRPr="00652C21">
        <w:t xml:space="preserve">over a </w:t>
      </w:r>
      <w:r w:rsidR="0044124F" w:rsidRPr="00652C21">
        <w:t>10-fold</w:t>
      </w:r>
      <w:r w:rsidR="00CC0253" w:rsidRPr="00652C21">
        <w:t xml:space="preserve"> increase over recent years. W</w:t>
      </w:r>
      <w:r w:rsidR="00D63701" w:rsidRPr="00652C21">
        <w:t xml:space="preserve">aiting lists </w:t>
      </w:r>
      <w:r w:rsidR="00F94D46" w:rsidRPr="00652C21">
        <w:t xml:space="preserve">for assessment and for support for </w:t>
      </w:r>
      <w:r w:rsidR="008437C7" w:rsidRPr="00652C21">
        <w:t xml:space="preserve">children and young people with </w:t>
      </w:r>
      <w:r w:rsidR="00F94D46" w:rsidRPr="00652C21">
        <w:t>these conditions are growing</w:t>
      </w:r>
      <w:r w:rsidR="00CC0253" w:rsidRPr="00652C21">
        <w:t>.</w:t>
      </w:r>
    </w:p>
    <w:p w14:paraId="48E0233C" w14:textId="63E5397D" w:rsidR="005064DE" w:rsidRPr="00C6437F" w:rsidRDefault="00F94D46" w:rsidP="00D9246A">
      <w:pPr>
        <w:spacing w:line="240" w:lineRule="auto"/>
      </w:pPr>
      <w:r w:rsidRPr="00652C21">
        <w:t xml:space="preserve">Children and young people with </w:t>
      </w:r>
      <w:r w:rsidR="002832F4" w:rsidRPr="00652C21">
        <w:t>s</w:t>
      </w:r>
      <w:r w:rsidR="00245537" w:rsidRPr="00652C21">
        <w:t>pecial educational needs, neurodivergence</w:t>
      </w:r>
      <w:r w:rsidR="00F074E9" w:rsidRPr="00652C21">
        <w:t xml:space="preserve"> and</w:t>
      </w:r>
      <w:r w:rsidR="00130BBC" w:rsidRPr="00652C21">
        <w:t>/or</w:t>
      </w:r>
      <w:r w:rsidR="00F074E9" w:rsidRPr="00652C21">
        <w:t xml:space="preserve"> </w:t>
      </w:r>
      <w:r w:rsidR="00B675CE">
        <w:t xml:space="preserve">learning </w:t>
      </w:r>
      <w:r w:rsidR="00F074E9" w:rsidRPr="00652C21">
        <w:t xml:space="preserve">disability often experience poorer outcomes in education, </w:t>
      </w:r>
      <w:r w:rsidR="00DD1E02" w:rsidRPr="00652C21">
        <w:t xml:space="preserve">care and </w:t>
      </w:r>
      <w:r w:rsidR="00F074E9" w:rsidRPr="00652C21">
        <w:t>health</w:t>
      </w:r>
      <w:r w:rsidR="00DD1E02" w:rsidRPr="00652C21">
        <w:t>. They have</w:t>
      </w:r>
      <w:r w:rsidR="00C41847" w:rsidRPr="00652C21">
        <w:t xml:space="preserve"> lower levels of wellbeing, </w:t>
      </w:r>
      <w:r w:rsidR="005E1337" w:rsidRPr="00652C21">
        <w:t>have</w:t>
      </w:r>
      <w:r w:rsidR="00DD1E02" w:rsidRPr="00652C21">
        <w:t xml:space="preserve"> </w:t>
      </w:r>
      <w:r w:rsidR="00F074E9" w:rsidRPr="00652C21">
        <w:t xml:space="preserve">higher rates of </w:t>
      </w:r>
      <w:r w:rsidR="005E1337" w:rsidRPr="00652C21">
        <w:t xml:space="preserve">school </w:t>
      </w:r>
      <w:r w:rsidR="00F074E9" w:rsidRPr="00652C21">
        <w:t>absence</w:t>
      </w:r>
      <w:r w:rsidR="00DD1E02" w:rsidRPr="00652C21">
        <w:t xml:space="preserve"> and </w:t>
      </w:r>
      <w:r w:rsidR="0061237A" w:rsidRPr="00652C21">
        <w:t xml:space="preserve">are </w:t>
      </w:r>
      <w:r w:rsidR="003768CB" w:rsidRPr="00652C21">
        <w:t>more likely</w:t>
      </w:r>
      <w:r w:rsidR="0061237A" w:rsidRPr="00652C21">
        <w:t xml:space="preserve"> not to be education, employment or training from the ages of 16.</w:t>
      </w:r>
      <w:r w:rsidR="003768CB" w:rsidRPr="00652C21">
        <w:t xml:space="preserve"> </w:t>
      </w:r>
      <w:r w:rsidR="00CE43A5" w:rsidRPr="00652C21">
        <w:t xml:space="preserve">Caring for a child with Special Educational Needs </w:t>
      </w:r>
      <w:r w:rsidR="00490404" w:rsidRPr="00652C21">
        <w:t xml:space="preserve">(SEN) or disabilities </w:t>
      </w:r>
      <w:r w:rsidR="00CE43A5" w:rsidRPr="00652C21">
        <w:t>can have a significant impact on parent</w:t>
      </w:r>
      <w:r w:rsidR="00A75D27" w:rsidRPr="00652C21">
        <w:t xml:space="preserve">s and </w:t>
      </w:r>
      <w:r w:rsidR="00CE43A5" w:rsidRPr="00652C21">
        <w:t>carer</w:t>
      </w:r>
      <w:r w:rsidR="00A75D27" w:rsidRPr="00652C21">
        <w:t>s</w:t>
      </w:r>
      <w:r w:rsidR="00CE43A5" w:rsidRPr="00652C21">
        <w:t xml:space="preserve"> including financial </w:t>
      </w:r>
      <w:r w:rsidR="00EE4CD5" w:rsidRPr="00652C21">
        <w:t>difficulties</w:t>
      </w:r>
      <w:r w:rsidR="00CE43A5" w:rsidRPr="00652C21">
        <w:t xml:space="preserve">, </w:t>
      </w:r>
      <w:r w:rsidR="00362F1F" w:rsidRPr="00652C21">
        <w:t xml:space="preserve">lower </w:t>
      </w:r>
      <w:r w:rsidR="005A3AAC" w:rsidRPr="00652C21">
        <w:t>physical an</w:t>
      </w:r>
      <w:r w:rsidR="00362F1F" w:rsidRPr="00652C21">
        <w:t xml:space="preserve">d mental health and social isolation. </w:t>
      </w:r>
      <w:r w:rsidR="005064DE" w:rsidRPr="00652C21">
        <w:t>There is evidence of widening inequalities in access to support and outcomes between children and young</w:t>
      </w:r>
      <w:r w:rsidR="005064DE">
        <w:t xml:space="preserve"> </w:t>
      </w:r>
      <w:r w:rsidR="00B2271D">
        <w:t>people</w:t>
      </w:r>
      <w:r w:rsidR="005064DE" w:rsidRPr="00652C21">
        <w:t xml:space="preserve"> with SEN or disabilities </w:t>
      </w:r>
      <w:r w:rsidR="005064DE" w:rsidRPr="00C6437F">
        <w:t xml:space="preserve">and those without. </w:t>
      </w:r>
    </w:p>
    <w:p w14:paraId="68D08113" w14:textId="77777777" w:rsidR="0094041A" w:rsidRDefault="00AE1DDB" w:rsidP="00D9246A">
      <w:pPr>
        <w:spacing w:line="240" w:lineRule="auto"/>
        <w:rPr>
          <w:rFonts w:cs="Arial"/>
          <w:szCs w:val="24"/>
        </w:rPr>
      </w:pPr>
      <w:r w:rsidRPr="00315888">
        <w:t>Support for children and young people with SEN</w:t>
      </w:r>
      <w:r w:rsidR="00A0734D" w:rsidRPr="00315888">
        <w:t xml:space="preserve"> or disabilities </w:t>
      </w:r>
      <w:r w:rsidR="00DD42EC" w:rsidRPr="00315888">
        <w:t xml:space="preserve">is </w:t>
      </w:r>
      <w:r w:rsidR="00826A96" w:rsidRPr="00315888">
        <w:t xml:space="preserve">provided by a range of partners across the system </w:t>
      </w:r>
      <w:r w:rsidR="00CE277E" w:rsidRPr="00315888">
        <w:t>including health</w:t>
      </w:r>
      <w:r w:rsidR="00DD42EC" w:rsidRPr="00315888">
        <w:t>, education</w:t>
      </w:r>
      <w:r w:rsidR="00CE277E" w:rsidRPr="00315888">
        <w:t>, social care</w:t>
      </w:r>
      <w:r w:rsidR="00DD42EC" w:rsidRPr="00315888">
        <w:t xml:space="preserve"> and </w:t>
      </w:r>
      <w:r w:rsidR="00DB04B9" w:rsidRPr="00DB04B9">
        <w:t>Voluntary,</w:t>
      </w:r>
      <w:r w:rsidR="00C86EB9">
        <w:t xml:space="preserve"> </w:t>
      </w:r>
      <w:r w:rsidR="00DD42EC" w:rsidRPr="00DB04B9">
        <w:t>C</w:t>
      </w:r>
      <w:r w:rsidR="00C86EB9">
        <w:t xml:space="preserve">ommunity </w:t>
      </w:r>
      <w:r w:rsidR="00DB04B9" w:rsidRPr="00DB04B9">
        <w:t>and Social Enterprise</w:t>
      </w:r>
      <w:r w:rsidR="00DB04B9" w:rsidRPr="00DB04B9" w:rsidDel="00C86EB9">
        <w:t xml:space="preserve"> </w:t>
      </w:r>
      <w:r w:rsidR="00DB04B9">
        <w:t>(</w:t>
      </w:r>
      <w:r w:rsidR="00DD42EC" w:rsidRPr="00315888">
        <w:t>VCSE</w:t>
      </w:r>
      <w:r w:rsidR="00DB04B9">
        <w:t>)</w:t>
      </w:r>
      <w:r w:rsidR="00BA19E0">
        <w:t xml:space="preserve"> </w:t>
      </w:r>
      <w:r w:rsidR="00DD42EC" w:rsidRPr="00315888">
        <w:t xml:space="preserve">organisations. </w:t>
      </w:r>
      <w:r w:rsidR="00826A96" w:rsidRPr="00315888">
        <w:rPr>
          <w:rFonts w:cs="Arial"/>
          <w:szCs w:val="24"/>
        </w:rPr>
        <w:t>S</w:t>
      </w:r>
      <w:r w:rsidR="00CE277E" w:rsidRPr="00315888">
        <w:rPr>
          <w:rFonts w:cs="Arial"/>
          <w:szCs w:val="24"/>
        </w:rPr>
        <w:t xml:space="preserve">tatutory guidance </w:t>
      </w:r>
      <w:r w:rsidR="00462D51" w:rsidRPr="00315888">
        <w:rPr>
          <w:rFonts w:cs="Arial"/>
          <w:szCs w:val="24"/>
        </w:rPr>
        <w:t>sets out the duties</w:t>
      </w:r>
      <w:r w:rsidR="005C5CAC" w:rsidRPr="00315888">
        <w:rPr>
          <w:rFonts w:cs="Arial"/>
          <w:szCs w:val="24"/>
        </w:rPr>
        <w:t xml:space="preserve">, policies and procedures </w:t>
      </w:r>
      <w:r w:rsidR="001C15B7" w:rsidRPr="00315888">
        <w:rPr>
          <w:rFonts w:cs="Arial"/>
          <w:szCs w:val="24"/>
        </w:rPr>
        <w:t>for many of the bodies that provide support</w:t>
      </w:r>
      <w:r w:rsidR="00C05136">
        <w:rPr>
          <w:rFonts w:cs="Arial"/>
          <w:szCs w:val="24"/>
        </w:rPr>
        <w:t>.</w:t>
      </w:r>
      <w:r w:rsidR="00556460" w:rsidRPr="00315888">
        <w:rPr>
          <w:rFonts w:cs="Arial"/>
          <w:szCs w:val="24"/>
        </w:rPr>
        <w:t xml:space="preserve"> </w:t>
      </w:r>
      <w:r w:rsidR="00627768">
        <w:rPr>
          <w:rFonts w:cs="Arial"/>
          <w:szCs w:val="24"/>
        </w:rPr>
        <w:t>T</w:t>
      </w:r>
      <w:r w:rsidR="00556460" w:rsidRPr="00315888">
        <w:rPr>
          <w:rFonts w:cs="Arial"/>
          <w:szCs w:val="24"/>
        </w:rPr>
        <w:t xml:space="preserve">here is a </w:t>
      </w:r>
      <w:r w:rsidR="00C903AC" w:rsidRPr="00315888">
        <w:rPr>
          <w:rFonts w:cs="Arial"/>
          <w:szCs w:val="24"/>
        </w:rPr>
        <w:t xml:space="preserve">requirement that local authorities work with partner bodies across education, health and social care to make joint commissioning arrangements for the provision of services for children and young people with SEN and disabilities up to 25 years. </w:t>
      </w:r>
    </w:p>
    <w:p w14:paraId="5B6C2BA0" w14:textId="09B4D994" w:rsidR="008607DF" w:rsidRPr="006E6C5A" w:rsidRDefault="00426475" w:rsidP="00D9246A">
      <w:pPr>
        <w:spacing w:line="240" w:lineRule="auto"/>
      </w:pPr>
      <w:r w:rsidRPr="00315888">
        <w:rPr>
          <w:rFonts w:cs="Arial"/>
          <w:szCs w:val="24"/>
        </w:rPr>
        <w:t xml:space="preserve">A joint </w:t>
      </w:r>
      <w:r w:rsidR="00C903AC" w:rsidRPr="00315888">
        <w:rPr>
          <w:rFonts w:cs="Arial"/>
          <w:szCs w:val="24"/>
        </w:rPr>
        <w:t xml:space="preserve">comprehensive assessment of local needs </w:t>
      </w:r>
      <w:r w:rsidR="00C61B4D" w:rsidRPr="00315888">
        <w:rPr>
          <w:rFonts w:cs="Arial"/>
          <w:szCs w:val="24"/>
        </w:rPr>
        <w:t xml:space="preserve">such as a </w:t>
      </w:r>
      <w:r w:rsidR="00C903AC" w:rsidRPr="00315888">
        <w:rPr>
          <w:rFonts w:cs="Arial"/>
          <w:szCs w:val="24"/>
        </w:rPr>
        <w:t xml:space="preserve">Joint Strategic Needs Assessment </w:t>
      </w:r>
      <w:r w:rsidR="00CC0224" w:rsidRPr="00315888">
        <w:rPr>
          <w:rFonts w:cs="Arial"/>
          <w:szCs w:val="24"/>
        </w:rPr>
        <w:t xml:space="preserve">(JSNA) </w:t>
      </w:r>
      <w:r w:rsidR="000052A9" w:rsidRPr="00315888">
        <w:rPr>
          <w:rFonts w:cs="Arial"/>
          <w:szCs w:val="24"/>
        </w:rPr>
        <w:t xml:space="preserve">can </w:t>
      </w:r>
      <w:r w:rsidR="00785E89" w:rsidRPr="00315888">
        <w:rPr>
          <w:rFonts w:cs="Arial"/>
          <w:szCs w:val="24"/>
        </w:rPr>
        <w:t xml:space="preserve">support the system to deliver better </w:t>
      </w:r>
      <w:r w:rsidR="000052A9" w:rsidRPr="00315888">
        <w:rPr>
          <w:rFonts w:cs="Arial"/>
          <w:szCs w:val="24"/>
        </w:rPr>
        <w:t>outcomes</w:t>
      </w:r>
      <w:r w:rsidR="00785E89" w:rsidRPr="00315888">
        <w:rPr>
          <w:rFonts w:cs="Arial"/>
          <w:szCs w:val="24"/>
        </w:rPr>
        <w:t>.</w:t>
      </w:r>
      <w:r w:rsidR="0094041A">
        <w:rPr>
          <w:rFonts w:cs="Arial"/>
          <w:szCs w:val="24"/>
        </w:rPr>
        <w:t xml:space="preserve"> </w:t>
      </w:r>
      <w:r w:rsidR="000052A9" w:rsidRPr="00315888">
        <w:rPr>
          <w:rFonts w:cs="Arial"/>
          <w:szCs w:val="24"/>
        </w:rPr>
        <w:t>JSNA</w:t>
      </w:r>
      <w:r w:rsidR="00BB540E" w:rsidRPr="00315888">
        <w:rPr>
          <w:rFonts w:cs="Arial"/>
          <w:szCs w:val="24"/>
        </w:rPr>
        <w:t>s</w:t>
      </w:r>
      <w:r w:rsidR="00A15AED">
        <w:rPr>
          <w:rFonts w:cs="Arial"/>
          <w:szCs w:val="24"/>
        </w:rPr>
        <w:t>,</w:t>
      </w:r>
      <w:r w:rsidR="000052A9" w:rsidRPr="00315888">
        <w:rPr>
          <w:rFonts w:cs="Arial"/>
          <w:szCs w:val="24"/>
        </w:rPr>
        <w:t xml:space="preserve"> a </w:t>
      </w:r>
      <w:r w:rsidR="00CC0224" w:rsidRPr="00315888">
        <w:rPr>
          <w:rFonts w:cs="Arial"/>
          <w:szCs w:val="24"/>
        </w:rPr>
        <w:t>statutory</w:t>
      </w:r>
      <w:r w:rsidR="000052A9" w:rsidRPr="00315888">
        <w:rPr>
          <w:rFonts w:cs="Arial"/>
          <w:szCs w:val="24"/>
        </w:rPr>
        <w:t xml:space="preserve"> </w:t>
      </w:r>
      <w:r w:rsidR="009C3AD6" w:rsidRPr="00315888">
        <w:rPr>
          <w:rFonts w:cs="Arial"/>
          <w:szCs w:val="24"/>
        </w:rPr>
        <w:t xml:space="preserve">responsibility of </w:t>
      </w:r>
      <w:r w:rsidR="00475C8C" w:rsidRPr="00315888">
        <w:rPr>
          <w:rFonts w:cs="Arial"/>
          <w:szCs w:val="24"/>
        </w:rPr>
        <w:t>Health and Wellbeing Boards</w:t>
      </w:r>
      <w:r w:rsidR="00A15AED">
        <w:rPr>
          <w:rFonts w:cs="Arial"/>
          <w:szCs w:val="24"/>
        </w:rPr>
        <w:t xml:space="preserve">, </w:t>
      </w:r>
      <w:r w:rsidR="006A48F0">
        <w:rPr>
          <w:rFonts w:cs="Arial"/>
          <w:szCs w:val="24"/>
        </w:rPr>
        <w:t>aim</w:t>
      </w:r>
      <w:r w:rsidR="0002542C" w:rsidRPr="00315888">
        <w:rPr>
          <w:rFonts w:cs="Arial"/>
          <w:szCs w:val="24"/>
        </w:rPr>
        <w:t xml:space="preserve"> to improve health and wellbeing and reduce inequalities </w:t>
      </w:r>
      <w:r w:rsidR="00193C21" w:rsidRPr="00315888">
        <w:rPr>
          <w:rFonts w:cs="Arial"/>
          <w:szCs w:val="24"/>
        </w:rPr>
        <w:t>through developing local evidence-based priorities for commissioning and strategy development.</w:t>
      </w:r>
      <w:r w:rsidR="00F87BB6" w:rsidRPr="00315888">
        <w:rPr>
          <w:rStyle w:val="EndnoteReference"/>
          <w:szCs w:val="24"/>
        </w:rPr>
        <w:endnoteReference w:id="2"/>
      </w:r>
      <w:r w:rsidR="00AC3911">
        <w:rPr>
          <w:rFonts w:cs="Arial"/>
          <w:szCs w:val="24"/>
        </w:rPr>
        <w:t xml:space="preserve"> </w:t>
      </w:r>
      <w:r w:rsidR="006A48F0">
        <w:rPr>
          <w:rFonts w:cs="Arial"/>
          <w:szCs w:val="24"/>
        </w:rPr>
        <w:t>T</w:t>
      </w:r>
      <w:r w:rsidR="00AC3911">
        <w:t>he city’s</w:t>
      </w:r>
      <w:r w:rsidR="00AC3911" w:rsidRPr="006E6C5A">
        <w:t xml:space="preserve"> </w:t>
      </w:r>
      <w:r w:rsidR="00AC3911" w:rsidRPr="006E6C5A">
        <w:rPr>
          <w:rFonts w:cs="Arial"/>
          <w:szCs w:val="24"/>
        </w:rPr>
        <w:t xml:space="preserve">Health and Wellbeing Board </w:t>
      </w:r>
      <w:r w:rsidR="00AC3911" w:rsidRPr="006E6C5A">
        <w:t xml:space="preserve">approved </w:t>
      </w:r>
      <w:r w:rsidR="00A305C6">
        <w:t>this needs assessment</w:t>
      </w:r>
      <w:r w:rsidR="008607DF" w:rsidRPr="006E6C5A">
        <w:t xml:space="preserve"> a priority topic for an in depth JSNA</w:t>
      </w:r>
      <w:r w:rsidR="001037DD" w:rsidRPr="006E6C5A">
        <w:t xml:space="preserve">. </w:t>
      </w:r>
      <w:r w:rsidR="00AC3911">
        <w:t>More information</w:t>
      </w:r>
      <w:r w:rsidR="001037DD" w:rsidRPr="006E6C5A">
        <w:t xml:space="preserve"> on the JSNA prioritisation and</w:t>
      </w:r>
      <w:r w:rsidR="00B245DA" w:rsidRPr="006E6C5A">
        <w:t xml:space="preserve"> </w:t>
      </w:r>
      <w:r w:rsidR="00C07BF0" w:rsidRPr="006E6C5A">
        <w:t xml:space="preserve">programme </w:t>
      </w:r>
      <w:r w:rsidR="00AC3911">
        <w:t>at</w:t>
      </w:r>
      <w:r w:rsidR="006E6C5A">
        <w:t>:</w:t>
      </w:r>
      <w:r w:rsidR="00DE59F3" w:rsidRPr="006E6C5A">
        <w:t xml:space="preserve"> </w:t>
      </w:r>
      <w:hyperlink r:id="rId14" w:history="1">
        <w:r w:rsidR="00AC4C86" w:rsidRPr="006E6C5A">
          <w:rPr>
            <w:rStyle w:val="Hyperlink"/>
            <w:rFonts w:cstheme="minorBidi"/>
          </w:rPr>
          <w:t>Joint Strategic Needs Assessment JSNA Review.pdf</w:t>
        </w:r>
      </w:hyperlink>
      <w:r w:rsidR="006E6C5A" w:rsidRPr="006E6C5A">
        <w:t>.</w:t>
      </w:r>
    </w:p>
    <w:p w14:paraId="38FF86B8" w14:textId="56DDAC3A" w:rsidR="00BB540E" w:rsidRDefault="008F691C" w:rsidP="00D9246A">
      <w:pPr>
        <w:spacing w:line="240" w:lineRule="auto"/>
        <w:rPr>
          <w:rFonts w:cs="Arial"/>
          <w:szCs w:val="24"/>
        </w:rPr>
      </w:pPr>
      <w:r w:rsidRPr="00315888">
        <w:t xml:space="preserve">There are many national and local strategies </w:t>
      </w:r>
      <w:r w:rsidR="00B454DF" w:rsidRPr="00315888">
        <w:t>that set out priorities for support for children with SEN or disabilities</w:t>
      </w:r>
      <w:r w:rsidR="00661FB5" w:rsidRPr="00315888">
        <w:t xml:space="preserve">. The overarching local strategy is the </w:t>
      </w:r>
      <w:r w:rsidR="00527944" w:rsidRPr="00315888">
        <w:t>Brighton &amp; Hove Special Educational Needs and Disability (SEND) Strategy 2021 to 2026</w:t>
      </w:r>
      <w:r w:rsidR="00490AEB" w:rsidRPr="00315888">
        <w:t>. T</w:t>
      </w:r>
      <w:r w:rsidR="00B454DF" w:rsidRPr="00315888">
        <w:rPr>
          <w:rFonts w:cs="Arial"/>
          <w:szCs w:val="24"/>
        </w:rPr>
        <w:t xml:space="preserve">his needs assessment </w:t>
      </w:r>
      <w:r w:rsidR="00902C89" w:rsidRPr="00315888">
        <w:rPr>
          <w:rFonts w:cs="Arial"/>
          <w:szCs w:val="24"/>
        </w:rPr>
        <w:t>will</w:t>
      </w:r>
      <w:r w:rsidR="008607DF" w:rsidRPr="00315888">
        <w:rPr>
          <w:rFonts w:cs="Arial"/>
          <w:szCs w:val="24"/>
        </w:rPr>
        <w:t xml:space="preserve"> be used to </w:t>
      </w:r>
      <w:r w:rsidR="000E6C5B" w:rsidRPr="00315888">
        <w:rPr>
          <w:rFonts w:cs="Arial"/>
          <w:szCs w:val="24"/>
        </w:rPr>
        <w:t xml:space="preserve">inform </w:t>
      </w:r>
      <w:r w:rsidR="00BF5CCF" w:rsidRPr="00315888">
        <w:rPr>
          <w:rFonts w:cs="Arial"/>
          <w:szCs w:val="24"/>
        </w:rPr>
        <w:t>joint commissioning</w:t>
      </w:r>
      <w:r w:rsidR="00C33C8A" w:rsidRPr="00315888">
        <w:rPr>
          <w:rFonts w:cs="Arial"/>
          <w:szCs w:val="24"/>
        </w:rPr>
        <w:t xml:space="preserve"> priorities and </w:t>
      </w:r>
      <w:r w:rsidR="00490AEB" w:rsidRPr="00315888">
        <w:rPr>
          <w:rFonts w:cs="Arial"/>
          <w:szCs w:val="24"/>
        </w:rPr>
        <w:t xml:space="preserve">the </w:t>
      </w:r>
      <w:r w:rsidR="000E6C5B" w:rsidRPr="00315888">
        <w:rPr>
          <w:rFonts w:cs="Arial"/>
          <w:szCs w:val="24"/>
        </w:rPr>
        <w:t>development of a new city SEND strategy</w:t>
      </w:r>
      <w:r w:rsidR="008607DF" w:rsidRPr="00315888">
        <w:rPr>
          <w:rFonts w:cs="Arial"/>
          <w:szCs w:val="24"/>
        </w:rPr>
        <w:t>.</w:t>
      </w:r>
      <w:r w:rsidR="008607DF">
        <w:rPr>
          <w:rFonts w:cs="Arial"/>
          <w:szCs w:val="24"/>
        </w:rPr>
        <w:t xml:space="preserve"> </w:t>
      </w:r>
    </w:p>
    <w:p w14:paraId="050E5774" w14:textId="4800180E" w:rsidR="00D54602" w:rsidRPr="00595FE6" w:rsidRDefault="00D54602" w:rsidP="00D9246A">
      <w:pPr>
        <w:pStyle w:val="Heading1"/>
        <w:spacing w:before="0"/>
      </w:pPr>
      <w:bookmarkStart w:id="5" w:name="_Toc218690639"/>
      <w:r w:rsidRPr="00595FE6">
        <w:lastRenderedPageBreak/>
        <w:t>About this needs assessment</w:t>
      </w:r>
      <w:bookmarkEnd w:id="5"/>
    </w:p>
    <w:p w14:paraId="54F9E524" w14:textId="43AC5354" w:rsidR="000E6C5B" w:rsidRDefault="00E65DBF" w:rsidP="00D9246A">
      <w:pPr>
        <w:pStyle w:val="Heading2"/>
        <w:spacing w:before="0" w:after="120"/>
      </w:pPr>
      <w:r>
        <w:t>Aim and objectives</w:t>
      </w:r>
    </w:p>
    <w:p w14:paraId="2A64C055" w14:textId="00C60090" w:rsidR="006C3451" w:rsidRPr="00315888" w:rsidRDefault="00E65DBF" w:rsidP="00D9246A">
      <w:pPr>
        <w:spacing w:line="240" w:lineRule="auto"/>
        <w:rPr>
          <w:rFonts w:cs="Arial"/>
          <w:szCs w:val="24"/>
        </w:rPr>
      </w:pPr>
      <w:r w:rsidRPr="00315888">
        <w:rPr>
          <w:rFonts w:cs="Arial"/>
          <w:szCs w:val="24"/>
        </w:rPr>
        <w:t xml:space="preserve">The </w:t>
      </w:r>
      <w:r w:rsidR="006C3451" w:rsidRPr="00315888">
        <w:rPr>
          <w:rFonts w:cs="Arial"/>
          <w:szCs w:val="24"/>
        </w:rPr>
        <w:t xml:space="preserve">aim of this </w:t>
      </w:r>
      <w:r w:rsidRPr="00315888">
        <w:rPr>
          <w:rFonts w:cs="Arial"/>
          <w:szCs w:val="24"/>
        </w:rPr>
        <w:t xml:space="preserve">needs assessment </w:t>
      </w:r>
      <w:r w:rsidR="006C3451" w:rsidRPr="00315888">
        <w:rPr>
          <w:rFonts w:cs="Arial"/>
          <w:szCs w:val="24"/>
        </w:rPr>
        <w:t xml:space="preserve">is </w:t>
      </w:r>
      <w:r w:rsidR="00125727" w:rsidRPr="00315888">
        <w:rPr>
          <w:rFonts w:cs="Arial"/>
          <w:szCs w:val="24"/>
        </w:rPr>
        <w:t xml:space="preserve">to </w:t>
      </w:r>
      <w:r w:rsidRPr="00315888">
        <w:rPr>
          <w:rFonts w:cs="Arial"/>
          <w:szCs w:val="24"/>
        </w:rPr>
        <w:t>describe the current and future health, learning and care needs of children and young people (up to age 25 years) in Brighton &amp; Hove with Special Educational Needs and Disabilities (SEND)/ Learning Disabilities (LD) / or Neurodiversity (ND). It aims to identify barriers to support and recognis</w:t>
      </w:r>
      <w:r w:rsidR="004766F1" w:rsidRPr="00315888">
        <w:rPr>
          <w:rFonts w:cs="Arial"/>
          <w:szCs w:val="24"/>
        </w:rPr>
        <w:t>e</w:t>
      </w:r>
      <w:r w:rsidRPr="00315888">
        <w:rPr>
          <w:rFonts w:cs="Arial"/>
          <w:szCs w:val="24"/>
        </w:rPr>
        <w:t xml:space="preserve"> the strengths and assets of children and young people in the context of parents/carers, families and wider community settings. </w:t>
      </w:r>
      <w:r w:rsidR="006C3451" w:rsidRPr="00315888">
        <w:rPr>
          <w:rFonts w:cs="Arial"/>
          <w:szCs w:val="24"/>
        </w:rPr>
        <w:t>The objectives are:</w:t>
      </w:r>
    </w:p>
    <w:p w14:paraId="19487C2B" w14:textId="33C8B2AB" w:rsidR="00495B54" w:rsidRPr="00315888" w:rsidRDefault="00495B54" w:rsidP="009858E3">
      <w:pPr>
        <w:numPr>
          <w:ilvl w:val="0"/>
          <w:numId w:val="28"/>
        </w:numPr>
        <w:spacing w:line="240" w:lineRule="auto"/>
        <w:rPr>
          <w:rFonts w:cs="Arial"/>
          <w:szCs w:val="24"/>
          <w:lang w:val="en-US"/>
        </w:rPr>
      </w:pPr>
      <w:r w:rsidRPr="00315888">
        <w:rPr>
          <w:rFonts w:cs="Arial"/>
          <w:szCs w:val="24"/>
        </w:rPr>
        <w:t>To describe and show what is known about the prevalence, inequalities, risk factors and protective factors influencing health and wellbeing, learning, and care outcomes among SEND/LD/ND children and young people and their families</w:t>
      </w:r>
    </w:p>
    <w:p w14:paraId="0CD0311A" w14:textId="77777777" w:rsidR="00495B54" w:rsidRPr="00315888" w:rsidRDefault="00495B54" w:rsidP="009858E3">
      <w:pPr>
        <w:numPr>
          <w:ilvl w:val="0"/>
          <w:numId w:val="28"/>
        </w:numPr>
        <w:spacing w:line="240" w:lineRule="auto"/>
        <w:rPr>
          <w:rFonts w:cs="Arial"/>
          <w:szCs w:val="24"/>
          <w:lang w:val="en-US"/>
        </w:rPr>
      </w:pPr>
      <w:r w:rsidRPr="00315888">
        <w:rPr>
          <w:rFonts w:cs="Arial"/>
          <w:szCs w:val="24"/>
        </w:rPr>
        <w:t>To understand the national evidence on intersectionality and consider how it applies locally </w:t>
      </w:r>
      <w:r w:rsidRPr="00315888">
        <w:rPr>
          <w:rFonts w:cs="Arial"/>
          <w:szCs w:val="24"/>
          <w:lang w:val="en-US"/>
        </w:rPr>
        <w:t>​</w:t>
      </w:r>
    </w:p>
    <w:p w14:paraId="29F85DC1" w14:textId="77777777" w:rsidR="00495B54" w:rsidRPr="00315888" w:rsidRDefault="00495B54" w:rsidP="009858E3">
      <w:pPr>
        <w:numPr>
          <w:ilvl w:val="0"/>
          <w:numId w:val="28"/>
        </w:numPr>
        <w:spacing w:line="240" w:lineRule="auto"/>
        <w:rPr>
          <w:rFonts w:cs="Arial"/>
          <w:szCs w:val="24"/>
          <w:lang w:val="en-US"/>
        </w:rPr>
      </w:pPr>
      <w:r w:rsidRPr="00315888">
        <w:rPr>
          <w:rFonts w:cs="Arial"/>
          <w:szCs w:val="24"/>
        </w:rPr>
        <w:t>To describe outcomes in Brighton &amp; Hove and how they compare to other areas including national data </w:t>
      </w:r>
      <w:r w:rsidRPr="00315888">
        <w:rPr>
          <w:rFonts w:cs="Arial"/>
          <w:szCs w:val="24"/>
          <w:lang w:val="en-US"/>
        </w:rPr>
        <w:t>​</w:t>
      </w:r>
    </w:p>
    <w:p w14:paraId="38318E81" w14:textId="636B8534" w:rsidR="00495B54" w:rsidRPr="00315888" w:rsidRDefault="00495B54" w:rsidP="009858E3">
      <w:pPr>
        <w:numPr>
          <w:ilvl w:val="0"/>
          <w:numId w:val="28"/>
        </w:numPr>
        <w:spacing w:line="240" w:lineRule="auto"/>
        <w:rPr>
          <w:rFonts w:cs="Arial"/>
          <w:szCs w:val="24"/>
          <w:lang w:val="en-US"/>
        </w:rPr>
      </w:pPr>
      <w:r w:rsidRPr="00315888">
        <w:rPr>
          <w:rFonts w:cs="Arial"/>
          <w:szCs w:val="24"/>
        </w:rPr>
        <w:t>To describe current trends and anticipated needs for health, learning and care needs for children and young</w:t>
      </w:r>
      <w:r w:rsidR="002550E7" w:rsidRPr="00315888">
        <w:rPr>
          <w:rFonts w:cs="Arial"/>
          <w:szCs w:val="24"/>
        </w:rPr>
        <w:t xml:space="preserve"> </w:t>
      </w:r>
      <w:r w:rsidRPr="00315888">
        <w:rPr>
          <w:rFonts w:cs="Arial"/>
          <w:szCs w:val="24"/>
        </w:rPr>
        <w:t>people and families with SEND/LD/ND in Brighton &amp; Hove</w:t>
      </w:r>
      <w:r w:rsidRPr="00315888">
        <w:rPr>
          <w:rFonts w:cs="Arial"/>
          <w:szCs w:val="24"/>
          <w:lang w:val="en-US"/>
        </w:rPr>
        <w:t>​</w:t>
      </w:r>
    </w:p>
    <w:p w14:paraId="6034B916" w14:textId="77777777" w:rsidR="00495B54" w:rsidRPr="00315888" w:rsidRDefault="00495B54" w:rsidP="009858E3">
      <w:pPr>
        <w:numPr>
          <w:ilvl w:val="0"/>
          <w:numId w:val="28"/>
        </w:numPr>
        <w:spacing w:line="240" w:lineRule="auto"/>
        <w:rPr>
          <w:rFonts w:cs="Arial"/>
          <w:szCs w:val="24"/>
          <w:lang w:val="en-US"/>
        </w:rPr>
      </w:pPr>
      <w:r w:rsidRPr="00315888">
        <w:rPr>
          <w:rFonts w:cs="Arial"/>
          <w:szCs w:val="24"/>
        </w:rPr>
        <w:t>To understand the views and experiences of parents and carers locally using existing voice data</w:t>
      </w:r>
      <w:r w:rsidRPr="00315888">
        <w:rPr>
          <w:rFonts w:cs="Arial"/>
          <w:szCs w:val="24"/>
          <w:lang w:val="en-US"/>
        </w:rPr>
        <w:t>​</w:t>
      </w:r>
    </w:p>
    <w:p w14:paraId="61AD731B" w14:textId="2EE20025" w:rsidR="00495B54" w:rsidRPr="00315888" w:rsidRDefault="00495B54" w:rsidP="009858E3">
      <w:pPr>
        <w:numPr>
          <w:ilvl w:val="0"/>
          <w:numId w:val="28"/>
        </w:numPr>
        <w:spacing w:line="240" w:lineRule="auto"/>
        <w:rPr>
          <w:rFonts w:cs="Arial"/>
          <w:szCs w:val="24"/>
          <w:lang w:val="en-US"/>
        </w:rPr>
      </w:pPr>
      <w:r w:rsidRPr="00315888">
        <w:rPr>
          <w:rFonts w:cs="Arial"/>
          <w:szCs w:val="24"/>
        </w:rPr>
        <w:t>To make recommendations based on the findings to inform future service provision, joint commissioning</w:t>
      </w:r>
      <w:r w:rsidR="002550E7" w:rsidRPr="00315888">
        <w:rPr>
          <w:rFonts w:cs="Arial"/>
          <w:szCs w:val="24"/>
        </w:rPr>
        <w:t xml:space="preserve"> </w:t>
      </w:r>
      <w:r w:rsidRPr="00315888">
        <w:rPr>
          <w:rFonts w:cs="Arial"/>
          <w:szCs w:val="24"/>
        </w:rPr>
        <w:t>and strategic direction. </w:t>
      </w:r>
    </w:p>
    <w:p w14:paraId="3F544E39" w14:textId="77777777" w:rsidR="005D6A38" w:rsidRPr="00FE7317" w:rsidRDefault="005D6A38" w:rsidP="00D9246A">
      <w:pPr>
        <w:pStyle w:val="Heading2"/>
        <w:spacing w:before="0" w:after="120"/>
      </w:pPr>
      <w:r w:rsidRPr="00FE7317">
        <w:t>Governance</w:t>
      </w:r>
    </w:p>
    <w:p w14:paraId="1E28E803" w14:textId="76D83792" w:rsidR="00B77ACD" w:rsidRPr="00D366DB" w:rsidRDefault="002074C3" w:rsidP="0096012C">
      <w:pPr>
        <w:pStyle w:val="Heading3"/>
      </w:pPr>
      <w:r w:rsidRPr="00D366DB">
        <w:t xml:space="preserve">Steering </w:t>
      </w:r>
      <w:r w:rsidR="00F53DC7">
        <w:t>g</w:t>
      </w:r>
      <w:r w:rsidRPr="00D366DB">
        <w:t>roup</w:t>
      </w:r>
    </w:p>
    <w:p w14:paraId="41C81066" w14:textId="1F722F62" w:rsidR="00B77ACD" w:rsidRPr="00D366DB" w:rsidRDefault="00354C1D" w:rsidP="00D9246A">
      <w:pPr>
        <w:spacing w:after="0" w:line="240" w:lineRule="auto"/>
      </w:pPr>
      <w:r w:rsidRPr="00D366DB">
        <w:t>T</w:t>
      </w:r>
      <w:r w:rsidR="001D72B0" w:rsidRPr="00D366DB">
        <w:t xml:space="preserve">he city’s </w:t>
      </w:r>
      <w:r w:rsidR="00B77ACD" w:rsidRPr="00D366DB">
        <w:t>SEND and Alternative Provision Partnership Board</w:t>
      </w:r>
      <w:r w:rsidRPr="00D366DB">
        <w:t xml:space="preserve"> </w:t>
      </w:r>
      <w:r w:rsidR="007552A8">
        <w:t>was</w:t>
      </w:r>
      <w:r w:rsidRPr="00D366DB">
        <w:t xml:space="preserve"> the steering group for the needs assessment</w:t>
      </w:r>
      <w:r w:rsidR="001D72B0" w:rsidRPr="00D366DB">
        <w:t xml:space="preserve">. </w:t>
      </w:r>
      <w:r w:rsidR="00237D95" w:rsidRPr="00D366DB">
        <w:t>It is j</w:t>
      </w:r>
      <w:r w:rsidR="00B77ACD" w:rsidRPr="00D366DB">
        <w:t xml:space="preserve">ointly chaired by the local authority’s Director </w:t>
      </w:r>
      <w:r w:rsidR="006B7B92" w:rsidRPr="00D366DB">
        <w:t>for</w:t>
      </w:r>
      <w:r w:rsidR="00B77ACD" w:rsidRPr="00D366DB">
        <w:t xml:space="preserve"> Education and Learning in Brighton &amp; Hove City Council and the Joint Director for Children and Young People</w:t>
      </w:r>
      <w:r w:rsidR="00392543">
        <w:t>, NHS Sussex</w:t>
      </w:r>
      <w:r w:rsidR="006D5B91" w:rsidRPr="00D366DB">
        <w:t xml:space="preserve">. </w:t>
      </w:r>
      <w:r w:rsidR="00887FF5" w:rsidRPr="00D366DB">
        <w:t>Its</w:t>
      </w:r>
      <w:r w:rsidR="006D5B91" w:rsidRPr="00D366DB">
        <w:t xml:space="preserve"> members include</w:t>
      </w:r>
      <w:r w:rsidR="00B77ACD" w:rsidRPr="00D366DB">
        <w:t xml:space="preserve"> </w:t>
      </w:r>
      <w:r w:rsidR="006D5B91" w:rsidRPr="00D366DB">
        <w:t>senior representation from across the system including education, social care, NHS Sussex</w:t>
      </w:r>
      <w:r w:rsidR="007B64F9" w:rsidRPr="00D366DB">
        <w:t xml:space="preserve"> ICB, health providers</w:t>
      </w:r>
      <w:r w:rsidR="006D5B91" w:rsidRPr="00D366DB">
        <w:t xml:space="preserve">, </w:t>
      </w:r>
      <w:r w:rsidR="00366161" w:rsidRPr="00D366DB">
        <w:t>community and voluntary sector partners and parent carer</w:t>
      </w:r>
      <w:r w:rsidR="007B64F9" w:rsidRPr="00D366DB">
        <w:t xml:space="preserve"> </w:t>
      </w:r>
      <w:r w:rsidR="00C06178" w:rsidRPr="00D366DB">
        <w:t>representation.</w:t>
      </w:r>
      <w:r w:rsidR="007552A8">
        <w:t xml:space="preserve"> </w:t>
      </w:r>
      <w:r w:rsidR="00B77ACD" w:rsidRPr="00D366DB">
        <w:t>Th</w:t>
      </w:r>
      <w:r w:rsidR="00404EE9" w:rsidRPr="00D366DB">
        <w:t>e</w:t>
      </w:r>
      <w:r w:rsidR="00B77ACD" w:rsidRPr="00D366DB">
        <w:t xml:space="preserve"> Steering Group provided strategic oversight and accountability for the needs assessment</w:t>
      </w:r>
      <w:r w:rsidR="00C06178" w:rsidRPr="00D366DB">
        <w:t xml:space="preserve"> and </w:t>
      </w:r>
      <w:r w:rsidR="00B77ACD" w:rsidRPr="00D366DB">
        <w:t>ensured that the work aligned with city-wide strategies, including the SEND Strategy. Key responsibilities included:</w:t>
      </w:r>
    </w:p>
    <w:p w14:paraId="3329E66B" w14:textId="15D9FF93" w:rsidR="00B77ACD" w:rsidRPr="008C5206" w:rsidRDefault="00B77ACD" w:rsidP="009858E3">
      <w:pPr>
        <w:pStyle w:val="ListParagraph"/>
        <w:numPr>
          <w:ilvl w:val="0"/>
          <w:numId w:val="35"/>
        </w:numPr>
        <w:spacing w:line="240" w:lineRule="auto"/>
      </w:pPr>
      <w:r w:rsidRPr="008C5206">
        <w:t xml:space="preserve">Approving </w:t>
      </w:r>
      <w:r w:rsidRPr="00562B5B">
        <w:rPr>
          <w:rFonts w:cs="Arial"/>
          <w:szCs w:val="24"/>
        </w:rPr>
        <w:t>the</w:t>
      </w:r>
      <w:r w:rsidRPr="008C5206">
        <w:t xml:space="preserve"> scope and approach of the assessment</w:t>
      </w:r>
    </w:p>
    <w:p w14:paraId="6979726E" w14:textId="77777777" w:rsidR="00B77ACD" w:rsidRPr="008C5206" w:rsidRDefault="00B77ACD" w:rsidP="009858E3">
      <w:pPr>
        <w:pStyle w:val="ListParagraph"/>
        <w:numPr>
          <w:ilvl w:val="0"/>
          <w:numId w:val="35"/>
        </w:numPr>
        <w:spacing w:line="240" w:lineRule="auto"/>
      </w:pPr>
      <w:r w:rsidRPr="008C5206">
        <w:t xml:space="preserve">Reviewing emerging </w:t>
      </w:r>
      <w:r w:rsidRPr="00562B5B">
        <w:rPr>
          <w:rFonts w:cs="Arial"/>
          <w:szCs w:val="24"/>
        </w:rPr>
        <w:t>findings</w:t>
      </w:r>
    </w:p>
    <w:p w14:paraId="5C81ED42" w14:textId="311983A4" w:rsidR="00B77ACD" w:rsidRPr="008C5206" w:rsidRDefault="00B77ACD" w:rsidP="009858E3">
      <w:pPr>
        <w:pStyle w:val="ListParagraph"/>
        <w:numPr>
          <w:ilvl w:val="0"/>
          <w:numId w:val="35"/>
        </w:numPr>
        <w:spacing w:line="240" w:lineRule="auto"/>
      </w:pPr>
      <w:r w:rsidRPr="008C5206">
        <w:t xml:space="preserve">Providing </w:t>
      </w:r>
      <w:r w:rsidRPr="00562B5B">
        <w:rPr>
          <w:rFonts w:cs="Arial"/>
          <w:szCs w:val="24"/>
        </w:rPr>
        <w:t>sign</w:t>
      </w:r>
      <w:r w:rsidRPr="008C5206">
        <w:t>-off on the final report and recommendations.</w:t>
      </w:r>
    </w:p>
    <w:p w14:paraId="484E149B" w14:textId="5EC72CA2" w:rsidR="002074C3" w:rsidRPr="008C5206" w:rsidRDefault="002074C3" w:rsidP="0096012C">
      <w:pPr>
        <w:pStyle w:val="Heading3"/>
      </w:pPr>
      <w:r w:rsidRPr="008C5206">
        <w:t xml:space="preserve">Project </w:t>
      </w:r>
      <w:r w:rsidR="00F53DC7">
        <w:t>g</w:t>
      </w:r>
      <w:r w:rsidRPr="008C5206">
        <w:t>roup</w:t>
      </w:r>
    </w:p>
    <w:p w14:paraId="3305E6C6" w14:textId="789C9490" w:rsidR="00B77ACD" w:rsidRPr="008C5206" w:rsidRDefault="00B77ACD" w:rsidP="00D9246A">
      <w:pPr>
        <w:spacing w:after="0" w:line="240" w:lineRule="auto"/>
      </w:pPr>
      <w:r w:rsidRPr="008C5206">
        <w:t>A project group was convened to contribute detailed knowledge, data, lived experience and service-level insight. This group included public health, service providers, health professionals, community and voluntary sector partners and parent carers. This group met approximately once every two months to discuss progress, address challenges, make strategic decisions and escalate issues. Key responsibilities included:</w:t>
      </w:r>
    </w:p>
    <w:p w14:paraId="5CC8CB31" w14:textId="77777777" w:rsidR="00C84DAB" w:rsidRPr="00562B5B" w:rsidRDefault="00C84DAB" w:rsidP="009858E3">
      <w:pPr>
        <w:pStyle w:val="ListParagraph"/>
        <w:numPr>
          <w:ilvl w:val="0"/>
          <w:numId w:val="35"/>
        </w:numPr>
        <w:spacing w:line="240" w:lineRule="auto"/>
        <w:rPr>
          <w:rFonts w:cs="Arial"/>
          <w:szCs w:val="24"/>
        </w:rPr>
      </w:pPr>
      <w:r w:rsidRPr="008C5206">
        <w:t xml:space="preserve">Developing </w:t>
      </w:r>
      <w:r w:rsidRPr="00562B5B">
        <w:rPr>
          <w:rFonts w:cs="Arial"/>
          <w:szCs w:val="24"/>
        </w:rPr>
        <w:t>the scope</w:t>
      </w:r>
    </w:p>
    <w:p w14:paraId="21E3CE46" w14:textId="6E700ADE" w:rsidR="00C84DAB" w:rsidRPr="00562B5B" w:rsidRDefault="00C84DAB" w:rsidP="009858E3">
      <w:pPr>
        <w:pStyle w:val="ListParagraph"/>
        <w:numPr>
          <w:ilvl w:val="0"/>
          <w:numId w:val="35"/>
        </w:numPr>
        <w:spacing w:line="240" w:lineRule="auto"/>
        <w:rPr>
          <w:rFonts w:cs="Arial"/>
          <w:szCs w:val="24"/>
        </w:rPr>
      </w:pPr>
      <w:r w:rsidRPr="00562B5B">
        <w:rPr>
          <w:rFonts w:cs="Arial"/>
          <w:szCs w:val="24"/>
        </w:rPr>
        <w:t>Guiding implementation</w:t>
      </w:r>
    </w:p>
    <w:p w14:paraId="66629C7F" w14:textId="1605E07A" w:rsidR="00C84DAB" w:rsidRPr="00562B5B" w:rsidRDefault="00C84DAB" w:rsidP="009858E3">
      <w:pPr>
        <w:pStyle w:val="ListParagraph"/>
        <w:numPr>
          <w:ilvl w:val="0"/>
          <w:numId w:val="35"/>
        </w:numPr>
        <w:spacing w:line="240" w:lineRule="auto"/>
        <w:rPr>
          <w:rFonts w:cs="Arial"/>
          <w:szCs w:val="24"/>
        </w:rPr>
      </w:pPr>
      <w:r w:rsidRPr="00562B5B">
        <w:rPr>
          <w:rFonts w:cs="Arial"/>
          <w:szCs w:val="24"/>
        </w:rPr>
        <w:t>Supporting the collection of data and intelligence</w:t>
      </w:r>
    </w:p>
    <w:p w14:paraId="0472F880" w14:textId="07B04357" w:rsidR="00B77ACD" w:rsidRPr="00562B5B" w:rsidRDefault="00EF4862" w:rsidP="009858E3">
      <w:pPr>
        <w:pStyle w:val="ListParagraph"/>
        <w:numPr>
          <w:ilvl w:val="0"/>
          <w:numId w:val="35"/>
        </w:numPr>
        <w:spacing w:line="240" w:lineRule="auto"/>
        <w:rPr>
          <w:rFonts w:cs="Arial"/>
          <w:szCs w:val="24"/>
        </w:rPr>
      </w:pPr>
      <w:r w:rsidRPr="00562B5B">
        <w:rPr>
          <w:rFonts w:cs="Arial"/>
          <w:szCs w:val="24"/>
        </w:rPr>
        <w:lastRenderedPageBreak/>
        <w:t>Reviewing and interpreting findings</w:t>
      </w:r>
    </w:p>
    <w:p w14:paraId="16A3F35A" w14:textId="4347A8AF" w:rsidR="00B77ACD" w:rsidRPr="008C5206" w:rsidRDefault="00B77ACD" w:rsidP="009858E3">
      <w:pPr>
        <w:pStyle w:val="ListParagraph"/>
        <w:numPr>
          <w:ilvl w:val="0"/>
          <w:numId w:val="35"/>
        </w:numPr>
        <w:spacing w:line="240" w:lineRule="auto"/>
      </w:pPr>
      <w:r w:rsidRPr="00562B5B">
        <w:rPr>
          <w:rFonts w:cs="Arial"/>
          <w:szCs w:val="24"/>
        </w:rPr>
        <w:t>Development</w:t>
      </w:r>
      <w:r w:rsidR="0006792F" w:rsidRPr="00562B5B">
        <w:rPr>
          <w:rFonts w:cs="Arial"/>
          <w:szCs w:val="24"/>
        </w:rPr>
        <w:t xml:space="preserve"> </w:t>
      </w:r>
      <w:r w:rsidR="003A79A6" w:rsidRPr="00562B5B">
        <w:rPr>
          <w:rFonts w:cs="Arial"/>
          <w:szCs w:val="24"/>
        </w:rPr>
        <w:t>of</w:t>
      </w:r>
      <w:r w:rsidR="00A27542">
        <w:t xml:space="preserve"> </w:t>
      </w:r>
      <w:r w:rsidR="006A3060">
        <w:t xml:space="preserve">workshops to </w:t>
      </w:r>
      <w:r w:rsidR="003263FA">
        <w:t xml:space="preserve">generate </w:t>
      </w:r>
      <w:r w:rsidRPr="008C5206">
        <w:t>actionable recommendations.</w:t>
      </w:r>
    </w:p>
    <w:p w14:paraId="2160659C" w14:textId="472A027A" w:rsidR="002074C3" w:rsidRPr="008C5206" w:rsidRDefault="002074C3" w:rsidP="0096012C">
      <w:pPr>
        <w:pStyle w:val="Heading3"/>
      </w:pPr>
      <w:r w:rsidRPr="008C5206">
        <w:t xml:space="preserve">Working </w:t>
      </w:r>
      <w:r w:rsidR="00F53DC7">
        <w:t>g</w:t>
      </w:r>
      <w:r w:rsidRPr="008C5206">
        <w:t>roup</w:t>
      </w:r>
    </w:p>
    <w:p w14:paraId="5AF7CE69" w14:textId="76707EB7" w:rsidR="00B77ACD" w:rsidRPr="008C5206" w:rsidRDefault="00B77ACD" w:rsidP="00D9246A">
      <w:pPr>
        <w:spacing w:after="0" w:line="240" w:lineRule="auto"/>
      </w:pPr>
      <w:r w:rsidRPr="008C5206">
        <w:t>The working group was responsible for the day-to-day delivery of the needs assessment. The group met weekly and consisted of leads from public health, children services, commissioners and data and intelligence teams. Key responsibilities included:</w:t>
      </w:r>
    </w:p>
    <w:p w14:paraId="6FB6774C" w14:textId="26B16AF9" w:rsidR="00B77ACD" w:rsidRPr="00562B5B" w:rsidRDefault="00B77ACD" w:rsidP="009858E3">
      <w:pPr>
        <w:pStyle w:val="ListParagraph"/>
        <w:numPr>
          <w:ilvl w:val="0"/>
          <w:numId w:val="35"/>
        </w:numPr>
        <w:spacing w:line="240" w:lineRule="auto"/>
        <w:rPr>
          <w:rFonts w:cs="Arial"/>
          <w:szCs w:val="24"/>
        </w:rPr>
      </w:pPr>
      <w:r w:rsidRPr="008C5206">
        <w:t>Co-</w:t>
      </w:r>
      <w:r w:rsidRPr="00562B5B">
        <w:rPr>
          <w:rFonts w:cs="Arial"/>
          <w:szCs w:val="24"/>
        </w:rPr>
        <w:t xml:space="preserve">ordinating </w:t>
      </w:r>
      <w:r w:rsidR="00D85218">
        <w:rPr>
          <w:rFonts w:cs="Arial"/>
          <w:szCs w:val="24"/>
        </w:rPr>
        <w:t xml:space="preserve">and undertaking </w:t>
      </w:r>
      <w:r w:rsidRPr="00562B5B">
        <w:rPr>
          <w:rFonts w:cs="Arial"/>
          <w:szCs w:val="24"/>
        </w:rPr>
        <w:t>data collection and analysis</w:t>
      </w:r>
    </w:p>
    <w:p w14:paraId="460B97B2" w14:textId="77777777" w:rsidR="00B77ACD" w:rsidRPr="00562B5B" w:rsidRDefault="00B77ACD" w:rsidP="009858E3">
      <w:pPr>
        <w:pStyle w:val="ListParagraph"/>
        <w:numPr>
          <w:ilvl w:val="0"/>
          <w:numId w:val="35"/>
        </w:numPr>
        <w:spacing w:line="240" w:lineRule="auto"/>
        <w:rPr>
          <w:rFonts w:cs="Arial"/>
          <w:szCs w:val="24"/>
        </w:rPr>
      </w:pPr>
      <w:r w:rsidRPr="00562B5B">
        <w:rPr>
          <w:rFonts w:cs="Arial"/>
          <w:szCs w:val="24"/>
        </w:rPr>
        <w:t>Drafting report sections, including findings, recommendations and priorities</w:t>
      </w:r>
    </w:p>
    <w:p w14:paraId="45C74F85" w14:textId="77777777" w:rsidR="00B77ACD" w:rsidRPr="00562B5B" w:rsidRDefault="00B77ACD" w:rsidP="009858E3">
      <w:pPr>
        <w:pStyle w:val="ListParagraph"/>
        <w:numPr>
          <w:ilvl w:val="0"/>
          <w:numId w:val="35"/>
        </w:numPr>
        <w:spacing w:line="240" w:lineRule="auto"/>
        <w:rPr>
          <w:rFonts w:cs="Arial"/>
          <w:szCs w:val="24"/>
        </w:rPr>
      </w:pPr>
      <w:r w:rsidRPr="00562B5B">
        <w:rPr>
          <w:rFonts w:cs="Arial"/>
          <w:szCs w:val="24"/>
        </w:rPr>
        <w:t>Ensuring quality assurance</w:t>
      </w:r>
    </w:p>
    <w:p w14:paraId="0A428294" w14:textId="77777777" w:rsidR="00B77ACD" w:rsidRPr="008C5206" w:rsidRDefault="00B77ACD" w:rsidP="009858E3">
      <w:pPr>
        <w:pStyle w:val="ListParagraph"/>
        <w:numPr>
          <w:ilvl w:val="0"/>
          <w:numId w:val="35"/>
        </w:numPr>
        <w:spacing w:line="240" w:lineRule="auto"/>
      </w:pPr>
      <w:r w:rsidRPr="00562B5B">
        <w:rPr>
          <w:rFonts w:cs="Arial"/>
          <w:szCs w:val="24"/>
        </w:rPr>
        <w:t>Liaising with</w:t>
      </w:r>
      <w:r w:rsidRPr="008C5206">
        <w:t xml:space="preserve"> external contributors and analysts.  </w:t>
      </w:r>
    </w:p>
    <w:p w14:paraId="46D257D9" w14:textId="0379D4E1" w:rsidR="00633F82" w:rsidRDefault="004C0156" w:rsidP="0096012C">
      <w:pPr>
        <w:pStyle w:val="Heading3"/>
      </w:pPr>
      <w:r>
        <w:t xml:space="preserve">Project </w:t>
      </w:r>
      <w:r w:rsidR="00026C75">
        <w:t>t</w:t>
      </w:r>
      <w:r>
        <w:t>imeline</w:t>
      </w:r>
    </w:p>
    <w:p w14:paraId="69877144" w14:textId="77777777" w:rsidR="00516E06" w:rsidRDefault="00516E06" w:rsidP="00516E06">
      <w:pPr>
        <w:pStyle w:val="Caption"/>
        <w:spacing w:after="0"/>
      </w:pPr>
    </w:p>
    <w:p w14:paraId="1F10B5C6" w14:textId="71190FFE" w:rsidR="00516E06" w:rsidRPr="00516E06" w:rsidRDefault="00516E06" w:rsidP="00516E06">
      <w:pPr>
        <w:pStyle w:val="Caption"/>
        <w:spacing w:after="0"/>
        <w:rPr>
          <w:color w:val="A65588"/>
        </w:rPr>
      </w:pPr>
      <w:r w:rsidRPr="00516E06">
        <w:rPr>
          <w:color w:val="A65588"/>
        </w:rPr>
        <w:t xml:space="preserve">Table </w:t>
      </w:r>
      <w:r w:rsidRPr="00516E06">
        <w:rPr>
          <w:color w:val="A65588"/>
        </w:rPr>
        <w:fldChar w:fldCharType="begin"/>
      </w:r>
      <w:r w:rsidRPr="00516E06">
        <w:rPr>
          <w:color w:val="A65588"/>
        </w:rPr>
        <w:instrText xml:space="preserve"> SEQ Table \* ARABIC </w:instrText>
      </w:r>
      <w:r w:rsidRPr="00516E06">
        <w:rPr>
          <w:color w:val="A65588"/>
        </w:rPr>
        <w:fldChar w:fldCharType="separate"/>
      </w:r>
      <w:r w:rsidR="009A41AE">
        <w:rPr>
          <w:noProof/>
          <w:color w:val="A65588"/>
        </w:rPr>
        <w:t>1</w:t>
      </w:r>
      <w:r w:rsidRPr="00516E06">
        <w:rPr>
          <w:color w:val="A65588"/>
        </w:rPr>
        <w:fldChar w:fldCharType="end"/>
      </w:r>
      <w:r w:rsidRPr="00516E06">
        <w:rPr>
          <w:color w:val="A65588"/>
        </w:rPr>
        <w:t>: Project timeline</w:t>
      </w:r>
    </w:p>
    <w:tbl>
      <w:tblPr>
        <w:tblStyle w:val="TableGrid"/>
        <w:tblW w:w="0" w:type="auto"/>
        <w:tblLook w:val="04A0" w:firstRow="1" w:lastRow="0" w:firstColumn="1" w:lastColumn="0" w:noHBand="0" w:noVBand="1"/>
      </w:tblPr>
      <w:tblGrid>
        <w:gridCol w:w="2263"/>
        <w:gridCol w:w="6946"/>
      </w:tblGrid>
      <w:tr w:rsidR="00D366DB" w:rsidRPr="00D366DB" w14:paraId="3E322763" w14:textId="77777777" w:rsidTr="00DD75F3">
        <w:tc>
          <w:tcPr>
            <w:tcW w:w="2263" w:type="dxa"/>
            <w:tcBorders>
              <w:top w:val="single" w:sz="4" w:space="0" w:color="auto"/>
              <w:left w:val="single" w:sz="4" w:space="0" w:color="auto"/>
              <w:bottom w:val="single" w:sz="4" w:space="0" w:color="auto"/>
              <w:right w:val="single" w:sz="4" w:space="0" w:color="auto"/>
            </w:tcBorders>
            <w:shd w:val="clear" w:color="auto" w:fill="086A76"/>
            <w:hideMark/>
          </w:tcPr>
          <w:p w14:paraId="77371235" w14:textId="77777777" w:rsidR="004C0156" w:rsidRPr="00D366DB" w:rsidRDefault="004C0156">
            <w:pPr>
              <w:rPr>
                <w:b/>
                <w:bCs/>
                <w:color w:val="FFFFFF" w:themeColor="background1"/>
              </w:rPr>
            </w:pPr>
            <w:r w:rsidRPr="00D366DB">
              <w:rPr>
                <w:b/>
                <w:bCs/>
                <w:color w:val="FFFFFF" w:themeColor="background1"/>
              </w:rPr>
              <w:t>Date</w:t>
            </w:r>
          </w:p>
        </w:tc>
        <w:tc>
          <w:tcPr>
            <w:tcW w:w="6946" w:type="dxa"/>
            <w:tcBorders>
              <w:top w:val="single" w:sz="4" w:space="0" w:color="auto"/>
              <w:left w:val="single" w:sz="4" w:space="0" w:color="auto"/>
              <w:bottom w:val="single" w:sz="4" w:space="0" w:color="auto"/>
              <w:right w:val="single" w:sz="4" w:space="0" w:color="auto"/>
            </w:tcBorders>
            <w:shd w:val="clear" w:color="auto" w:fill="086A76"/>
            <w:hideMark/>
          </w:tcPr>
          <w:p w14:paraId="16C27C95" w14:textId="77777777" w:rsidR="004C0156" w:rsidRPr="00D366DB" w:rsidRDefault="004C0156">
            <w:pPr>
              <w:rPr>
                <w:b/>
                <w:bCs/>
                <w:color w:val="FFFFFF" w:themeColor="background1"/>
              </w:rPr>
            </w:pPr>
            <w:r w:rsidRPr="00D366DB">
              <w:rPr>
                <w:b/>
                <w:bCs/>
                <w:color w:val="FFFFFF" w:themeColor="background1"/>
              </w:rPr>
              <w:t>Milestone</w:t>
            </w:r>
          </w:p>
        </w:tc>
      </w:tr>
      <w:tr w:rsidR="004C0156" w14:paraId="7FEC6B27" w14:textId="77777777" w:rsidTr="005E44DD">
        <w:tc>
          <w:tcPr>
            <w:tcW w:w="2263" w:type="dxa"/>
            <w:tcBorders>
              <w:top w:val="single" w:sz="4" w:space="0" w:color="auto"/>
              <w:left w:val="single" w:sz="4" w:space="0" w:color="auto"/>
              <w:bottom w:val="single" w:sz="4" w:space="0" w:color="auto"/>
              <w:right w:val="single" w:sz="4" w:space="0" w:color="auto"/>
            </w:tcBorders>
            <w:hideMark/>
          </w:tcPr>
          <w:p w14:paraId="251DD0D7" w14:textId="14EB35B7" w:rsidR="004C0156" w:rsidRDefault="004C0156">
            <w:r>
              <w:t>Sep</w:t>
            </w:r>
            <w:r w:rsidR="00095626">
              <w:t>t</w:t>
            </w:r>
            <w:r>
              <w:t xml:space="preserve"> 2023</w:t>
            </w:r>
            <w:r w:rsidR="00026C75">
              <w:t xml:space="preserve"> </w:t>
            </w:r>
            <w:r w:rsidR="003E14EE">
              <w:t xml:space="preserve">– </w:t>
            </w:r>
            <w:r w:rsidR="00026C75">
              <w:t>July 2024</w:t>
            </w:r>
          </w:p>
        </w:tc>
        <w:tc>
          <w:tcPr>
            <w:tcW w:w="6946" w:type="dxa"/>
            <w:tcBorders>
              <w:top w:val="single" w:sz="4" w:space="0" w:color="auto"/>
              <w:left w:val="single" w:sz="4" w:space="0" w:color="auto"/>
              <w:bottom w:val="single" w:sz="4" w:space="0" w:color="auto"/>
              <w:right w:val="single" w:sz="4" w:space="0" w:color="auto"/>
            </w:tcBorders>
            <w:hideMark/>
          </w:tcPr>
          <w:p w14:paraId="03E193B6" w14:textId="74D255A2" w:rsidR="004C0156" w:rsidRDefault="004C0156">
            <w:r>
              <w:t>Scoping</w:t>
            </w:r>
            <w:r w:rsidR="007D1CF5">
              <w:t xml:space="preserve"> phase</w:t>
            </w:r>
            <w:r>
              <w:br/>
            </w:r>
          </w:p>
        </w:tc>
      </w:tr>
      <w:tr w:rsidR="004C0156" w14:paraId="1B4E95A5" w14:textId="77777777" w:rsidTr="005E44DD">
        <w:tc>
          <w:tcPr>
            <w:tcW w:w="2263" w:type="dxa"/>
            <w:tcBorders>
              <w:top w:val="single" w:sz="4" w:space="0" w:color="auto"/>
              <w:left w:val="single" w:sz="4" w:space="0" w:color="auto"/>
              <w:bottom w:val="single" w:sz="4" w:space="0" w:color="auto"/>
              <w:right w:val="single" w:sz="4" w:space="0" w:color="auto"/>
            </w:tcBorders>
          </w:tcPr>
          <w:p w14:paraId="50D4423C" w14:textId="3E82CBB7" w:rsidR="004C0156" w:rsidRDefault="00294A01">
            <w:r>
              <w:t>July 2024</w:t>
            </w:r>
          </w:p>
        </w:tc>
        <w:tc>
          <w:tcPr>
            <w:tcW w:w="6946" w:type="dxa"/>
            <w:tcBorders>
              <w:top w:val="single" w:sz="4" w:space="0" w:color="auto"/>
              <w:left w:val="single" w:sz="4" w:space="0" w:color="auto"/>
              <w:bottom w:val="single" w:sz="4" w:space="0" w:color="auto"/>
              <w:right w:val="single" w:sz="4" w:space="0" w:color="auto"/>
            </w:tcBorders>
          </w:tcPr>
          <w:p w14:paraId="1E889C72" w14:textId="385B3518" w:rsidR="00624717" w:rsidRDefault="000722CF">
            <w:r>
              <w:t>JSNA i</w:t>
            </w:r>
            <w:r w:rsidR="00294A01">
              <w:t>nitiat</w:t>
            </w:r>
            <w:r>
              <w:t>ed</w:t>
            </w:r>
            <w:r w:rsidR="007D1CF5">
              <w:t xml:space="preserve"> </w:t>
            </w:r>
          </w:p>
          <w:p w14:paraId="79FDDE85" w14:textId="70FC6A58" w:rsidR="004C0156" w:rsidRDefault="004C0156">
            <w:r>
              <w:t>P</w:t>
            </w:r>
            <w:r w:rsidR="00191DA7">
              <w:t xml:space="preserve">roject Initiation </w:t>
            </w:r>
            <w:r>
              <w:t>D</w:t>
            </w:r>
            <w:r w:rsidR="00191DA7">
              <w:t>ocument</w:t>
            </w:r>
            <w:r w:rsidR="00EC238F">
              <w:t xml:space="preserve"> (PID)</w:t>
            </w:r>
            <w:r>
              <w:t xml:space="preserve"> signed off by Steering Group</w:t>
            </w:r>
          </w:p>
        </w:tc>
      </w:tr>
      <w:tr w:rsidR="00294A01" w14:paraId="2509061D" w14:textId="77777777" w:rsidTr="005E44DD">
        <w:tc>
          <w:tcPr>
            <w:tcW w:w="2263" w:type="dxa"/>
            <w:tcBorders>
              <w:top w:val="single" w:sz="4" w:space="0" w:color="auto"/>
              <w:left w:val="single" w:sz="4" w:space="0" w:color="auto"/>
              <w:bottom w:val="single" w:sz="4" w:space="0" w:color="auto"/>
              <w:right w:val="single" w:sz="4" w:space="0" w:color="auto"/>
            </w:tcBorders>
          </w:tcPr>
          <w:p w14:paraId="0AEE2489" w14:textId="4BB776FC" w:rsidR="00294A01" w:rsidRDefault="003E14EE">
            <w:r>
              <w:t xml:space="preserve">Aug 2025 – </w:t>
            </w:r>
            <w:r w:rsidR="00EB3D65">
              <w:t>July 2025</w:t>
            </w:r>
          </w:p>
        </w:tc>
        <w:tc>
          <w:tcPr>
            <w:tcW w:w="6946" w:type="dxa"/>
            <w:tcBorders>
              <w:top w:val="single" w:sz="4" w:space="0" w:color="auto"/>
              <w:left w:val="single" w:sz="4" w:space="0" w:color="auto"/>
              <w:bottom w:val="single" w:sz="4" w:space="0" w:color="auto"/>
              <w:right w:val="single" w:sz="4" w:space="0" w:color="auto"/>
            </w:tcBorders>
          </w:tcPr>
          <w:p w14:paraId="6CFC45A7" w14:textId="0B7C0AF8" w:rsidR="00EC238F" w:rsidRDefault="00294A01" w:rsidP="00EC238F">
            <w:r>
              <w:t>Evidence sections completed</w:t>
            </w:r>
            <w:r w:rsidR="00AA5C47">
              <w:t xml:space="preserve"> and presented to Project Group</w:t>
            </w:r>
            <w:r>
              <w:t>:</w:t>
            </w:r>
            <w:r>
              <w:br/>
              <w:t>• Data</w:t>
            </w:r>
            <w:r w:rsidR="002B515A">
              <w:t xml:space="preserve"> </w:t>
            </w:r>
            <w:r w:rsidR="00176615">
              <w:t xml:space="preserve">collation and </w:t>
            </w:r>
            <w:r w:rsidR="002B515A">
              <w:t>analysis</w:t>
            </w:r>
            <w:r>
              <w:br/>
              <w:t>• Parent carers</w:t>
            </w:r>
            <w:r w:rsidR="00935BCD">
              <w:t xml:space="preserve"> voice</w:t>
            </w:r>
            <w:r>
              <w:br/>
              <w:t>• Literature reviews</w:t>
            </w:r>
            <w:r w:rsidR="00935BCD">
              <w:t xml:space="preserve"> </w:t>
            </w:r>
          </w:p>
        </w:tc>
      </w:tr>
      <w:tr w:rsidR="00EB3D65" w14:paraId="204BB0F6" w14:textId="77777777" w:rsidTr="005E44DD">
        <w:tc>
          <w:tcPr>
            <w:tcW w:w="2263" w:type="dxa"/>
            <w:tcBorders>
              <w:top w:val="single" w:sz="4" w:space="0" w:color="auto"/>
              <w:left w:val="single" w:sz="4" w:space="0" w:color="auto"/>
              <w:bottom w:val="single" w:sz="4" w:space="0" w:color="auto"/>
              <w:right w:val="single" w:sz="4" w:space="0" w:color="auto"/>
            </w:tcBorders>
          </w:tcPr>
          <w:p w14:paraId="45ECB468" w14:textId="6142E847" w:rsidR="00EB3D65" w:rsidRDefault="0044365A">
            <w:r>
              <w:t>Aug</w:t>
            </w:r>
            <w:r w:rsidR="00931F8E">
              <w:t xml:space="preserve"> - Sept</w:t>
            </w:r>
            <w:r>
              <w:t xml:space="preserve"> 2025</w:t>
            </w:r>
          </w:p>
        </w:tc>
        <w:tc>
          <w:tcPr>
            <w:tcW w:w="6946" w:type="dxa"/>
            <w:tcBorders>
              <w:top w:val="single" w:sz="4" w:space="0" w:color="auto"/>
              <w:left w:val="single" w:sz="4" w:space="0" w:color="auto"/>
              <w:bottom w:val="single" w:sz="4" w:space="0" w:color="auto"/>
              <w:right w:val="single" w:sz="4" w:space="0" w:color="auto"/>
            </w:tcBorders>
          </w:tcPr>
          <w:p w14:paraId="7EF05BD5" w14:textId="4E0FC555" w:rsidR="00CD32FF" w:rsidRDefault="003060F7">
            <w:r>
              <w:t>Overarching t</w:t>
            </w:r>
            <w:r w:rsidR="007C1518">
              <w:t xml:space="preserve">hemes </w:t>
            </w:r>
            <w:r>
              <w:t xml:space="preserve">identified </w:t>
            </w:r>
            <w:r w:rsidR="00931F8E">
              <w:t>(</w:t>
            </w:r>
            <w:r w:rsidR="007C1518">
              <w:t>across all evidence</w:t>
            </w:r>
            <w:r w:rsidR="00931F8E">
              <w:t>)</w:t>
            </w:r>
          </w:p>
          <w:p w14:paraId="24D1D100" w14:textId="68617C74" w:rsidR="00EB3D65" w:rsidRDefault="00CD32FF">
            <w:r>
              <w:t>Key findings summarised</w:t>
            </w:r>
          </w:p>
        </w:tc>
      </w:tr>
      <w:tr w:rsidR="007C1518" w14:paraId="195A6B0F" w14:textId="77777777" w:rsidTr="005E44DD">
        <w:tc>
          <w:tcPr>
            <w:tcW w:w="2263" w:type="dxa"/>
            <w:tcBorders>
              <w:top w:val="single" w:sz="4" w:space="0" w:color="auto"/>
              <w:left w:val="single" w:sz="4" w:space="0" w:color="auto"/>
              <w:bottom w:val="single" w:sz="4" w:space="0" w:color="auto"/>
              <w:right w:val="single" w:sz="4" w:space="0" w:color="auto"/>
            </w:tcBorders>
          </w:tcPr>
          <w:p w14:paraId="115F5F0F" w14:textId="374E3436" w:rsidR="007C1518" w:rsidRDefault="005E44DD">
            <w:r>
              <w:t>Oct</w:t>
            </w:r>
            <w:r w:rsidR="007B2161">
              <w:t xml:space="preserve"> - Dec 2025</w:t>
            </w:r>
          </w:p>
        </w:tc>
        <w:tc>
          <w:tcPr>
            <w:tcW w:w="6946" w:type="dxa"/>
            <w:tcBorders>
              <w:top w:val="single" w:sz="4" w:space="0" w:color="auto"/>
              <w:left w:val="single" w:sz="4" w:space="0" w:color="auto"/>
              <w:bottom w:val="single" w:sz="4" w:space="0" w:color="auto"/>
              <w:right w:val="single" w:sz="4" w:space="0" w:color="auto"/>
            </w:tcBorders>
          </w:tcPr>
          <w:p w14:paraId="12CE8F41" w14:textId="44FD46C9" w:rsidR="007C1518" w:rsidRDefault="007C1518">
            <w:r>
              <w:t>Recommendations workshops</w:t>
            </w:r>
          </w:p>
        </w:tc>
      </w:tr>
      <w:tr w:rsidR="007C1518" w14:paraId="22CEFA46" w14:textId="77777777" w:rsidTr="005E44DD">
        <w:tc>
          <w:tcPr>
            <w:tcW w:w="2263" w:type="dxa"/>
            <w:tcBorders>
              <w:top w:val="single" w:sz="4" w:space="0" w:color="auto"/>
              <w:left w:val="single" w:sz="4" w:space="0" w:color="auto"/>
              <w:bottom w:val="single" w:sz="4" w:space="0" w:color="auto"/>
              <w:right w:val="single" w:sz="4" w:space="0" w:color="auto"/>
            </w:tcBorders>
          </w:tcPr>
          <w:p w14:paraId="68B028E7" w14:textId="46D18F7C" w:rsidR="007C1518" w:rsidRDefault="003A1B28">
            <w:r>
              <w:t xml:space="preserve">Jan </w:t>
            </w:r>
            <w:r w:rsidR="000D434F">
              <w:t>202</w:t>
            </w:r>
            <w:r>
              <w:t>6</w:t>
            </w:r>
          </w:p>
        </w:tc>
        <w:tc>
          <w:tcPr>
            <w:tcW w:w="6946" w:type="dxa"/>
            <w:tcBorders>
              <w:top w:val="single" w:sz="4" w:space="0" w:color="auto"/>
              <w:left w:val="single" w:sz="4" w:space="0" w:color="auto"/>
              <w:bottom w:val="single" w:sz="4" w:space="0" w:color="auto"/>
              <w:right w:val="single" w:sz="4" w:space="0" w:color="auto"/>
            </w:tcBorders>
          </w:tcPr>
          <w:p w14:paraId="491E19C2" w14:textId="1776F74D" w:rsidR="007C1518" w:rsidRDefault="007C1518">
            <w:r>
              <w:t>Report</w:t>
            </w:r>
            <w:r w:rsidR="00371693">
              <w:t xml:space="preserve"> completed</w:t>
            </w:r>
          </w:p>
        </w:tc>
      </w:tr>
      <w:tr w:rsidR="004C0156" w14:paraId="0F94EB08" w14:textId="77777777" w:rsidTr="005E44DD">
        <w:tc>
          <w:tcPr>
            <w:tcW w:w="2263" w:type="dxa"/>
            <w:tcBorders>
              <w:top w:val="single" w:sz="4" w:space="0" w:color="auto"/>
              <w:left w:val="single" w:sz="4" w:space="0" w:color="auto"/>
              <w:bottom w:val="single" w:sz="4" w:space="0" w:color="auto"/>
              <w:right w:val="single" w:sz="4" w:space="0" w:color="auto"/>
            </w:tcBorders>
            <w:hideMark/>
          </w:tcPr>
          <w:p w14:paraId="2BD7C6A8" w14:textId="707A60D6" w:rsidR="004C0156" w:rsidRDefault="00DB705B">
            <w:r>
              <w:t>Mar</w:t>
            </w:r>
            <w:r w:rsidR="00CE353C">
              <w:t xml:space="preserve"> </w:t>
            </w:r>
            <w:r w:rsidR="007D0B21">
              <w:t>2026</w:t>
            </w:r>
          </w:p>
        </w:tc>
        <w:tc>
          <w:tcPr>
            <w:tcW w:w="6946" w:type="dxa"/>
            <w:tcBorders>
              <w:top w:val="single" w:sz="4" w:space="0" w:color="auto"/>
              <w:left w:val="single" w:sz="4" w:space="0" w:color="auto"/>
              <w:bottom w:val="single" w:sz="4" w:space="0" w:color="auto"/>
              <w:right w:val="single" w:sz="4" w:space="0" w:color="auto"/>
            </w:tcBorders>
            <w:hideMark/>
          </w:tcPr>
          <w:p w14:paraId="0FECEEE1" w14:textId="0C83A808" w:rsidR="004C0156" w:rsidRDefault="00DB413A">
            <w:r>
              <w:t xml:space="preserve">JSNA </w:t>
            </w:r>
            <w:r w:rsidR="004C0156">
              <w:t>signed off by Steering Group</w:t>
            </w:r>
          </w:p>
        </w:tc>
      </w:tr>
    </w:tbl>
    <w:p w14:paraId="1A8A8630" w14:textId="77777777" w:rsidR="00257B13" w:rsidRPr="008C5206" w:rsidRDefault="00257B13" w:rsidP="00D9246A">
      <w:pPr>
        <w:pStyle w:val="Heading2"/>
        <w:spacing w:after="120"/>
        <w:ind w:left="425"/>
        <w:rPr>
          <w:lang w:eastAsia="en-GB"/>
        </w:rPr>
      </w:pPr>
      <w:r w:rsidRPr="008C5206">
        <w:rPr>
          <w:lang w:eastAsia="en-GB"/>
        </w:rPr>
        <w:t>Approach</w:t>
      </w:r>
    </w:p>
    <w:p w14:paraId="50C5E15D" w14:textId="15837D7A" w:rsidR="00257B13" w:rsidRPr="008C5206" w:rsidRDefault="005867A8" w:rsidP="00D9246A">
      <w:pPr>
        <w:spacing w:line="240" w:lineRule="auto"/>
        <w:rPr>
          <w:rFonts w:cs="Arial"/>
          <w:color w:val="000000" w:themeColor="text1"/>
          <w:szCs w:val="24"/>
        </w:rPr>
      </w:pPr>
      <w:r w:rsidRPr="008C5206">
        <w:rPr>
          <w:rFonts w:cs="Arial"/>
          <w:szCs w:val="24"/>
          <w:lang w:eastAsia="en-GB"/>
        </w:rPr>
        <w:t>The needs assessment</w:t>
      </w:r>
      <w:r w:rsidR="00257B13" w:rsidRPr="008C5206">
        <w:rPr>
          <w:rFonts w:cs="Arial"/>
          <w:szCs w:val="24"/>
          <w:lang w:eastAsia="en-GB"/>
        </w:rPr>
        <w:t xml:space="preserve"> drew on existing evidence</w:t>
      </w:r>
      <w:r w:rsidR="006F688D" w:rsidRPr="008C5206">
        <w:rPr>
          <w:rFonts w:cs="Arial"/>
          <w:szCs w:val="24"/>
          <w:lang w:eastAsia="en-GB"/>
        </w:rPr>
        <w:t>, intelligence</w:t>
      </w:r>
      <w:r w:rsidR="00257B13" w:rsidRPr="008C5206">
        <w:rPr>
          <w:rFonts w:cs="Arial"/>
          <w:szCs w:val="24"/>
          <w:lang w:eastAsia="en-GB"/>
        </w:rPr>
        <w:t xml:space="preserve"> and data</w:t>
      </w:r>
      <w:r w:rsidR="006F688D" w:rsidRPr="008C5206">
        <w:rPr>
          <w:rFonts w:cs="Arial"/>
          <w:szCs w:val="24"/>
          <w:lang w:eastAsia="en-GB"/>
        </w:rPr>
        <w:t>.  It did not commission or undertaken primary data collection</w:t>
      </w:r>
      <w:r w:rsidR="009133C6" w:rsidRPr="008C5206">
        <w:rPr>
          <w:rFonts w:cs="Arial"/>
          <w:szCs w:val="24"/>
          <w:lang w:eastAsia="en-GB"/>
        </w:rPr>
        <w:t xml:space="preserve">. </w:t>
      </w:r>
      <w:r w:rsidR="00041421" w:rsidRPr="008C5206">
        <w:rPr>
          <w:rFonts w:cs="Arial"/>
          <w:szCs w:val="24"/>
          <w:lang w:eastAsia="en-GB"/>
        </w:rPr>
        <w:t>This decision was taken because t</w:t>
      </w:r>
      <w:r w:rsidR="0026579D" w:rsidRPr="008C5206">
        <w:rPr>
          <w:rFonts w:cs="Arial"/>
          <w:szCs w:val="24"/>
          <w:lang w:eastAsia="en-GB"/>
        </w:rPr>
        <w:t xml:space="preserve">here </w:t>
      </w:r>
      <w:r w:rsidR="00EF60EA" w:rsidRPr="008C5206">
        <w:rPr>
          <w:rFonts w:cs="Arial"/>
          <w:szCs w:val="24"/>
          <w:lang w:eastAsia="en-GB"/>
        </w:rPr>
        <w:t xml:space="preserve">was </w:t>
      </w:r>
      <w:r w:rsidR="0026579D" w:rsidRPr="008C5206">
        <w:rPr>
          <w:rFonts w:cs="Arial"/>
          <w:szCs w:val="24"/>
          <w:lang w:eastAsia="en-GB"/>
        </w:rPr>
        <w:t xml:space="preserve">a wide range of existing data sources, including routine data, </w:t>
      </w:r>
      <w:r w:rsidR="005253F4" w:rsidRPr="008C5206">
        <w:rPr>
          <w:rFonts w:cs="Arial"/>
          <w:szCs w:val="24"/>
          <w:lang w:eastAsia="en-GB"/>
        </w:rPr>
        <w:t>local surveys and feedback from parent and carers that had not been brought together</w:t>
      </w:r>
      <w:r w:rsidR="00EF60EA" w:rsidRPr="008C5206">
        <w:rPr>
          <w:rFonts w:cs="Arial"/>
          <w:szCs w:val="24"/>
          <w:lang w:eastAsia="en-GB"/>
        </w:rPr>
        <w:t xml:space="preserve"> before</w:t>
      </w:r>
      <w:r w:rsidR="006A3596">
        <w:rPr>
          <w:rFonts w:cs="Arial"/>
          <w:szCs w:val="24"/>
          <w:lang w:eastAsia="en-GB"/>
        </w:rPr>
        <w:t xml:space="preserve"> </w:t>
      </w:r>
      <w:r w:rsidR="00FB1568">
        <w:rPr>
          <w:rFonts w:cs="Arial"/>
          <w:szCs w:val="24"/>
          <w:lang w:eastAsia="en-GB"/>
        </w:rPr>
        <w:t>as actiona</w:t>
      </w:r>
      <w:r w:rsidR="00723EE7">
        <w:rPr>
          <w:rFonts w:cs="Arial"/>
          <w:szCs w:val="24"/>
          <w:lang w:eastAsia="en-GB"/>
        </w:rPr>
        <w:t>ble insight</w:t>
      </w:r>
      <w:r w:rsidR="009A231C" w:rsidRPr="008C5206">
        <w:rPr>
          <w:rFonts w:cs="Arial"/>
          <w:szCs w:val="24"/>
          <w:lang w:eastAsia="en-GB"/>
        </w:rPr>
        <w:t xml:space="preserve">. </w:t>
      </w:r>
      <w:r w:rsidR="001D3ACE">
        <w:rPr>
          <w:rFonts w:cs="Arial"/>
          <w:szCs w:val="24"/>
          <w:lang w:eastAsia="en-GB"/>
        </w:rPr>
        <w:t xml:space="preserve">Areas </w:t>
      </w:r>
      <w:r w:rsidR="007410A1" w:rsidRPr="008C5206">
        <w:rPr>
          <w:rFonts w:cs="Arial"/>
          <w:szCs w:val="24"/>
          <w:lang w:eastAsia="en-GB"/>
        </w:rPr>
        <w:t xml:space="preserve">identified </w:t>
      </w:r>
      <w:r w:rsidR="001D3ACE">
        <w:rPr>
          <w:rFonts w:cs="Arial"/>
          <w:szCs w:val="24"/>
          <w:lang w:eastAsia="en-GB"/>
        </w:rPr>
        <w:t>as</w:t>
      </w:r>
      <w:r w:rsidR="00257B13" w:rsidRPr="008C5206">
        <w:rPr>
          <w:rFonts w:cs="Arial"/>
          <w:szCs w:val="24"/>
          <w:lang w:eastAsia="en-GB"/>
        </w:rPr>
        <w:t xml:space="preserve"> requiring further investigation</w:t>
      </w:r>
      <w:r w:rsidR="00737380" w:rsidRPr="008C5206">
        <w:rPr>
          <w:rFonts w:cs="Arial"/>
          <w:szCs w:val="24"/>
          <w:lang w:eastAsia="en-GB"/>
        </w:rPr>
        <w:t xml:space="preserve"> </w:t>
      </w:r>
      <w:r w:rsidR="00A651D4">
        <w:rPr>
          <w:rFonts w:cs="Arial"/>
          <w:szCs w:val="24"/>
          <w:lang w:eastAsia="en-GB"/>
        </w:rPr>
        <w:t>are</w:t>
      </w:r>
      <w:r w:rsidR="00737380" w:rsidRPr="008C5206">
        <w:rPr>
          <w:rFonts w:cs="Arial"/>
          <w:szCs w:val="24"/>
          <w:lang w:eastAsia="en-GB"/>
        </w:rPr>
        <w:t xml:space="preserve"> highlighted in the recommendations </w:t>
      </w:r>
      <w:r w:rsidR="004A2CE3" w:rsidRPr="008C5206">
        <w:rPr>
          <w:rFonts w:cs="Arial"/>
          <w:szCs w:val="24"/>
          <w:lang w:eastAsia="en-GB"/>
        </w:rPr>
        <w:t>section</w:t>
      </w:r>
      <w:r w:rsidR="0052488A">
        <w:rPr>
          <w:rFonts w:cs="Arial"/>
          <w:szCs w:val="24"/>
          <w:lang w:eastAsia="en-GB"/>
        </w:rPr>
        <w:t>.</w:t>
      </w:r>
      <w:r w:rsidR="004A2CE3" w:rsidRPr="008C5206">
        <w:rPr>
          <w:rFonts w:cs="Arial"/>
          <w:szCs w:val="24"/>
          <w:lang w:eastAsia="en-GB"/>
        </w:rPr>
        <w:t xml:space="preserve"> </w:t>
      </w:r>
      <w:r w:rsidR="00257B13" w:rsidRPr="008C5206">
        <w:rPr>
          <w:rFonts w:cs="Arial"/>
          <w:color w:val="000000" w:themeColor="text1"/>
          <w:szCs w:val="24"/>
        </w:rPr>
        <w:t xml:space="preserve">The following principles were used </w:t>
      </w:r>
      <w:r w:rsidR="00676AD2" w:rsidRPr="008C5206">
        <w:rPr>
          <w:rFonts w:cs="Arial"/>
          <w:color w:val="000000" w:themeColor="text1"/>
          <w:szCs w:val="24"/>
        </w:rPr>
        <w:t xml:space="preserve">in developing </w:t>
      </w:r>
      <w:r w:rsidR="00257B13" w:rsidRPr="008C5206">
        <w:rPr>
          <w:rFonts w:cs="Arial"/>
          <w:color w:val="000000" w:themeColor="text1"/>
          <w:szCs w:val="24"/>
        </w:rPr>
        <w:t xml:space="preserve">the scope </w:t>
      </w:r>
      <w:r w:rsidR="00676AD2" w:rsidRPr="008C5206">
        <w:rPr>
          <w:rFonts w:cs="Arial"/>
          <w:color w:val="000000" w:themeColor="text1"/>
          <w:szCs w:val="24"/>
        </w:rPr>
        <w:t xml:space="preserve">to </w:t>
      </w:r>
      <w:r w:rsidR="00257B13" w:rsidRPr="008C5206">
        <w:rPr>
          <w:rFonts w:cs="Arial"/>
          <w:color w:val="000000" w:themeColor="text1"/>
          <w:szCs w:val="24"/>
        </w:rPr>
        <w:t xml:space="preserve">ensure rigour, inclusivity, and </w:t>
      </w:r>
      <w:r w:rsidR="00257B13" w:rsidRPr="00A549C1">
        <w:rPr>
          <w:rFonts w:cs="Arial"/>
        </w:rPr>
        <w:t>relevance</w:t>
      </w:r>
      <w:r w:rsidR="00257B13" w:rsidRPr="008C5206">
        <w:rPr>
          <w:rFonts w:cs="Arial"/>
          <w:color w:val="000000" w:themeColor="text1"/>
          <w:szCs w:val="24"/>
        </w:rPr>
        <w:t>:</w:t>
      </w:r>
    </w:p>
    <w:p w14:paraId="526387F9" w14:textId="77777777" w:rsidR="00257B13" w:rsidRPr="008C5206" w:rsidRDefault="00257B13" w:rsidP="009858E3">
      <w:pPr>
        <w:pStyle w:val="ListParagraph"/>
        <w:numPr>
          <w:ilvl w:val="0"/>
          <w:numId w:val="35"/>
        </w:numPr>
        <w:spacing w:line="240" w:lineRule="auto"/>
        <w:rPr>
          <w:rFonts w:cs="Arial"/>
          <w:color w:val="000000" w:themeColor="text1"/>
          <w:szCs w:val="24"/>
        </w:rPr>
      </w:pPr>
      <w:r w:rsidRPr="00A549C1">
        <w:rPr>
          <w:rFonts w:cs="Arial"/>
          <w:b/>
          <w:color w:val="0079C2"/>
          <w:szCs w:val="24"/>
        </w:rPr>
        <w:t>Avoid duplication</w:t>
      </w:r>
      <w:r w:rsidRPr="00A549C1">
        <w:rPr>
          <w:rFonts w:cs="Arial"/>
          <w:color w:val="0079C2"/>
          <w:szCs w:val="24"/>
        </w:rPr>
        <w:t xml:space="preserve">: </w:t>
      </w:r>
      <w:r w:rsidRPr="008C5206">
        <w:rPr>
          <w:rFonts w:cs="Arial"/>
          <w:color w:val="000000" w:themeColor="text1"/>
          <w:szCs w:val="24"/>
        </w:rPr>
        <w:t xml:space="preserve">Existing robust </w:t>
      </w:r>
      <w:r w:rsidRPr="00562B5B">
        <w:rPr>
          <w:rFonts w:cs="Arial"/>
          <w:szCs w:val="24"/>
        </w:rPr>
        <w:t>reports</w:t>
      </w:r>
      <w:r w:rsidRPr="008C5206">
        <w:rPr>
          <w:rFonts w:cs="Arial"/>
          <w:color w:val="000000" w:themeColor="text1"/>
          <w:szCs w:val="24"/>
        </w:rPr>
        <w:t xml:space="preserve"> and evidence reviews were used where appropriate to prevent duplication of effort </w:t>
      </w:r>
    </w:p>
    <w:p w14:paraId="4F643778" w14:textId="77777777" w:rsidR="00257B13" w:rsidRPr="008C5206" w:rsidRDefault="00257B13" w:rsidP="009858E3">
      <w:pPr>
        <w:pStyle w:val="ListParagraph"/>
        <w:numPr>
          <w:ilvl w:val="0"/>
          <w:numId w:val="35"/>
        </w:numPr>
        <w:spacing w:line="240" w:lineRule="auto"/>
        <w:rPr>
          <w:rFonts w:cs="Arial"/>
          <w:color w:val="000000" w:themeColor="text1"/>
          <w:szCs w:val="24"/>
        </w:rPr>
      </w:pPr>
      <w:r w:rsidRPr="00A549C1">
        <w:rPr>
          <w:rFonts w:cs="Arial"/>
          <w:b/>
          <w:color w:val="0079C2"/>
          <w:szCs w:val="24"/>
        </w:rPr>
        <w:t>Life course approach</w:t>
      </w:r>
      <w:r w:rsidRPr="00A549C1">
        <w:rPr>
          <w:rFonts w:cs="Arial"/>
          <w:color w:val="0079C2"/>
          <w:szCs w:val="24"/>
        </w:rPr>
        <w:t xml:space="preserve">: </w:t>
      </w:r>
      <w:r w:rsidRPr="008C5206">
        <w:rPr>
          <w:rFonts w:cs="Arial"/>
          <w:color w:val="000000" w:themeColor="text1"/>
          <w:szCs w:val="24"/>
        </w:rPr>
        <w:t>Where possible, data, evidence and gaps were presented across key life stages, and transitions, to reflect a life course approach</w:t>
      </w:r>
    </w:p>
    <w:p w14:paraId="52B0D288" w14:textId="77777777" w:rsidR="00257B13" w:rsidRPr="008C5206" w:rsidRDefault="00257B13" w:rsidP="009858E3">
      <w:pPr>
        <w:pStyle w:val="ListParagraph"/>
        <w:numPr>
          <w:ilvl w:val="0"/>
          <w:numId w:val="35"/>
        </w:numPr>
        <w:spacing w:line="240" w:lineRule="auto"/>
        <w:rPr>
          <w:rFonts w:cs="Arial"/>
          <w:color w:val="000000" w:themeColor="text1"/>
          <w:szCs w:val="24"/>
        </w:rPr>
      </w:pPr>
      <w:r w:rsidRPr="00A549C1">
        <w:rPr>
          <w:rFonts w:cs="Arial"/>
          <w:b/>
          <w:color w:val="0079C2"/>
          <w:szCs w:val="24"/>
        </w:rPr>
        <w:t>Social model of disability, neuro-affirmative practice and asset-based approach</w:t>
      </w:r>
      <w:r w:rsidRPr="00A549C1">
        <w:rPr>
          <w:rFonts w:cs="Arial"/>
          <w:color w:val="0079C2"/>
          <w:szCs w:val="24"/>
        </w:rPr>
        <w:t xml:space="preserve">: </w:t>
      </w:r>
      <w:r w:rsidRPr="008C5206">
        <w:rPr>
          <w:rFonts w:cs="Arial"/>
          <w:color w:val="000000" w:themeColor="text1"/>
          <w:szCs w:val="24"/>
        </w:rPr>
        <w:t>The analysis was grounded in the social model of disability and informed by neuro-affirmative principles and asset-based approaches</w:t>
      </w:r>
    </w:p>
    <w:p w14:paraId="6489805F" w14:textId="77777777" w:rsidR="00257B13" w:rsidRPr="008C5206" w:rsidRDefault="00257B13" w:rsidP="009858E3">
      <w:pPr>
        <w:pStyle w:val="ListParagraph"/>
        <w:numPr>
          <w:ilvl w:val="0"/>
          <w:numId w:val="35"/>
        </w:numPr>
        <w:spacing w:line="240" w:lineRule="auto"/>
        <w:rPr>
          <w:rFonts w:cs="Arial"/>
          <w:color w:val="000000" w:themeColor="text1"/>
          <w:szCs w:val="24"/>
        </w:rPr>
      </w:pPr>
      <w:r w:rsidRPr="00A549C1">
        <w:rPr>
          <w:rFonts w:cs="Arial"/>
          <w:b/>
          <w:color w:val="0079C2"/>
          <w:szCs w:val="24"/>
        </w:rPr>
        <w:lastRenderedPageBreak/>
        <w:t>Socioecological context</w:t>
      </w:r>
      <w:r w:rsidRPr="00A549C1">
        <w:rPr>
          <w:rFonts w:cs="Arial"/>
          <w:color w:val="0079C2"/>
          <w:szCs w:val="24"/>
        </w:rPr>
        <w:t xml:space="preserve">: </w:t>
      </w:r>
      <w:r w:rsidRPr="008C5206">
        <w:rPr>
          <w:rFonts w:cs="Arial"/>
          <w:color w:val="000000" w:themeColor="text1"/>
          <w:szCs w:val="24"/>
        </w:rPr>
        <w:t>The needs of children and young people with SEND, learning disabilities, or neurodivergence was considered within the broader context of families, communities, and systems</w:t>
      </w:r>
    </w:p>
    <w:p w14:paraId="0A0EBBF8" w14:textId="77777777" w:rsidR="00257B13" w:rsidRPr="008C5206" w:rsidRDefault="00257B13" w:rsidP="009858E3">
      <w:pPr>
        <w:pStyle w:val="ListParagraph"/>
        <w:numPr>
          <w:ilvl w:val="0"/>
          <w:numId w:val="35"/>
        </w:numPr>
        <w:spacing w:line="240" w:lineRule="auto"/>
        <w:rPr>
          <w:rFonts w:cs="Arial"/>
          <w:color w:val="000000" w:themeColor="text1"/>
          <w:szCs w:val="24"/>
        </w:rPr>
      </w:pPr>
      <w:r w:rsidRPr="00A549C1">
        <w:rPr>
          <w:rFonts w:cs="Arial"/>
          <w:b/>
          <w:color w:val="0079C2"/>
          <w:szCs w:val="24"/>
        </w:rPr>
        <w:t>Intersectionality</w:t>
      </w:r>
      <w:r w:rsidRPr="00A549C1">
        <w:rPr>
          <w:rFonts w:cs="Arial"/>
          <w:color w:val="0079C2"/>
          <w:szCs w:val="24"/>
        </w:rPr>
        <w:t xml:space="preserve">: </w:t>
      </w:r>
      <w:r w:rsidRPr="008C5206">
        <w:rPr>
          <w:rFonts w:cs="Arial"/>
          <w:color w:val="000000" w:themeColor="text1"/>
          <w:szCs w:val="24"/>
        </w:rPr>
        <w:t>An intersectional lens was applied throughout, including (where possible) in data analysis, literature synthesis, and the formulation of recommendations</w:t>
      </w:r>
    </w:p>
    <w:p w14:paraId="724DCB71" w14:textId="77777777" w:rsidR="00257B13" w:rsidRPr="008C5206" w:rsidRDefault="00257B13" w:rsidP="009858E3">
      <w:pPr>
        <w:pStyle w:val="ListParagraph"/>
        <w:numPr>
          <w:ilvl w:val="0"/>
          <w:numId w:val="35"/>
        </w:numPr>
        <w:spacing w:line="240" w:lineRule="auto"/>
        <w:rPr>
          <w:rFonts w:cs="Arial"/>
          <w:color w:val="000000" w:themeColor="text1"/>
          <w:szCs w:val="24"/>
        </w:rPr>
      </w:pPr>
      <w:r w:rsidRPr="00A549C1">
        <w:rPr>
          <w:rFonts w:cs="Arial"/>
          <w:b/>
          <w:color w:val="0079C2"/>
          <w:szCs w:val="24"/>
        </w:rPr>
        <w:t>Wider determinants of health</w:t>
      </w:r>
      <w:r w:rsidRPr="00A549C1">
        <w:rPr>
          <w:rFonts w:cs="Arial"/>
          <w:color w:val="0079C2"/>
          <w:szCs w:val="24"/>
        </w:rPr>
        <w:t xml:space="preserve">: </w:t>
      </w:r>
      <w:r w:rsidRPr="008C5206">
        <w:rPr>
          <w:rFonts w:cs="Arial"/>
          <w:color w:val="000000" w:themeColor="text1"/>
          <w:szCs w:val="24"/>
        </w:rPr>
        <w:t>Broader social, economic, and environmental factors influencing health and wellbeing was taken into account</w:t>
      </w:r>
    </w:p>
    <w:p w14:paraId="02C797A6" w14:textId="72B6A986" w:rsidR="00E87EC7" w:rsidRPr="00C6437F" w:rsidRDefault="00257B13" w:rsidP="009858E3">
      <w:pPr>
        <w:pStyle w:val="ListParagraph"/>
        <w:numPr>
          <w:ilvl w:val="0"/>
          <w:numId w:val="35"/>
        </w:numPr>
        <w:spacing w:line="240" w:lineRule="auto"/>
        <w:rPr>
          <w:rFonts w:cs="Arial"/>
          <w:color w:val="000000" w:themeColor="text1"/>
          <w:szCs w:val="24"/>
        </w:rPr>
      </w:pPr>
      <w:r w:rsidRPr="00A549C1">
        <w:rPr>
          <w:rFonts w:cs="Arial"/>
          <w:b/>
          <w:color w:val="0079C2"/>
          <w:szCs w:val="24"/>
        </w:rPr>
        <w:t>Inclusive engagement</w:t>
      </w:r>
      <w:r w:rsidRPr="00A549C1">
        <w:rPr>
          <w:rFonts w:cs="Arial"/>
          <w:color w:val="0079C2"/>
          <w:szCs w:val="24"/>
        </w:rPr>
        <w:t xml:space="preserve">: </w:t>
      </w:r>
      <w:r w:rsidRPr="008C5206">
        <w:rPr>
          <w:rFonts w:cs="Arial"/>
          <w:color w:val="000000" w:themeColor="text1"/>
          <w:szCs w:val="24"/>
        </w:rPr>
        <w:t>Considered how community, public, parent and carer, provider and lived experience perspectives can be embedded at each stage of the needs assessment process.</w:t>
      </w:r>
    </w:p>
    <w:p w14:paraId="3E117513" w14:textId="1F0D41D0" w:rsidR="00E87EC7" w:rsidRPr="008C5206" w:rsidRDefault="00E87EC7" w:rsidP="00D9246A">
      <w:pPr>
        <w:spacing w:after="0" w:line="240" w:lineRule="auto"/>
        <w:rPr>
          <w:rFonts w:cs="Arial"/>
        </w:rPr>
      </w:pPr>
      <w:r w:rsidRPr="008C5206">
        <w:rPr>
          <w:rFonts w:cs="Arial"/>
        </w:rPr>
        <w:t xml:space="preserve">A life course approach was taken that looked at </w:t>
      </w:r>
      <w:r w:rsidR="00A87990" w:rsidRPr="008C5206">
        <w:rPr>
          <w:rFonts w:cs="Arial"/>
        </w:rPr>
        <w:t xml:space="preserve">how </w:t>
      </w:r>
      <w:r w:rsidRPr="008C5206">
        <w:rPr>
          <w:rFonts w:cs="Arial"/>
        </w:rPr>
        <w:t>needs, support and outcomes evolve across childhood, adolescence and early adulthood. Where available, data and analysis were presented by age bands, recognising crucial transition points:</w:t>
      </w:r>
    </w:p>
    <w:p w14:paraId="3EC53578" w14:textId="77777777" w:rsidR="00E87EC7" w:rsidRPr="00562B5B" w:rsidRDefault="00E87EC7" w:rsidP="009858E3">
      <w:pPr>
        <w:pStyle w:val="ListParagraph"/>
        <w:numPr>
          <w:ilvl w:val="0"/>
          <w:numId w:val="35"/>
        </w:numPr>
        <w:spacing w:line="240" w:lineRule="auto"/>
        <w:rPr>
          <w:rFonts w:cs="Arial"/>
          <w:color w:val="000000" w:themeColor="text1"/>
          <w:szCs w:val="24"/>
        </w:rPr>
      </w:pPr>
      <w:r w:rsidRPr="008C5206">
        <w:t xml:space="preserve">Early years and school </w:t>
      </w:r>
      <w:r w:rsidRPr="00562B5B">
        <w:rPr>
          <w:rFonts w:cs="Arial"/>
          <w:color w:val="000000" w:themeColor="text1"/>
          <w:szCs w:val="24"/>
        </w:rPr>
        <w:t>readiness</w:t>
      </w:r>
    </w:p>
    <w:p w14:paraId="2EA105BA" w14:textId="77777777" w:rsidR="00E87EC7" w:rsidRPr="00562B5B" w:rsidRDefault="00E87EC7" w:rsidP="009858E3">
      <w:pPr>
        <w:pStyle w:val="ListParagraph"/>
        <w:numPr>
          <w:ilvl w:val="0"/>
          <w:numId w:val="35"/>
        </w:numPr>
        <w:spacing w:line="240" w:lineRule="auto"/>
        <w:rPr>
          <w:rFonts w:cs="Arial"/>
          <w:color w:val="000000" w:themeColor="text1"/>
          <w:szCs w:val="24"/>
        </w:rPr>
      </w:pPr>
      <w:r w:rsidRPr="00562B5B">
        <w:rPr>
          <w:rFonts w:cs="Arial"/>
          <w:color w:val="000000" w:themeColor="text1"/>
          <w:szCs w:val="24"/>
        </w:rPr>
        <w:t>Primary to secondary education</w:t>
      </w:r>
    </w:p>
    <w:p w14:paraId="72656ED5" w14:textId="77777777" w:rsidR="00E87EC7" w:rsidRPr="00562B5B" w:rsidRDefault="00E87EC7" w:rsidP="009858E3">
      <w:pPr>
        <w:pStyle w:val="ListParagraph"/>
        <w:numPr>
          <w:ilvl w:val="0"/>
          <w:numId w:val="35"/>
        </w:numPr>
        <w:spacing w:line="240" w:lineRule="auto"/>
        <w:rPr>
          <w:rFonts w:cs="Arial"/>
          <w:color w:val="000000" w:themeColor="text1"/>
          <w:szCs w:val="24"/>
        </w:rPr>
      </w:pPr>
      <w:r w:rsidRPr="00562B5B">
        <w:rPr>
          <w:rFonts w:cs="Arial"/>
          <w:color w:val="000000" w:themeColor="text1"/>
          <w:szCs w:val="24"/>
        </w:rPr>
        <w:t>Post-16 education and training</w:t>
      </w:r>
    </w:p>
    <w:p w14:paraId="3859DF69" w14:textId="77777777" w:rsidR="00E87EC7" w:rsidRPr="008C5206" w:rsidRDefault="00E87EC7" w:rsidP="009858E3">
      <w:pPr>
        <w:pStyle w:val="ListParagraph"/>
        <w:numPr>
          <w:ilvl w:val="0"/>
          <w:numId w:val="35"/>
        </w:numPr>
        <w:spacing w:line="240" w:lineRule="auto"/>
      </w:pPr>
      <w:r w:rsidRPr="00562B5B">
        <w:rPr>
          <w:rFonts w:cs="Arial"/>
          <w:color w:val="000000" w:themeColor="text1"/>
          <w:szCs w:val="24"/>
        </w:rPr>
        <w:t>Transition to adulthood, including</w:t>
      </w:r>
      <w:r w:rsidRPr="008C5206">
        <w:t xml:space="preserve"> access to adult health services and support.</w:t>
      </w:r>
    </w:p>
    <w:p w14:paraId="050B77E4" w14:textId="77777777" w:rsidR="00D9246A" w:rsidRDefault="00E87EC7" w:rsidP="00D9246A">
      <w:pPr>
        <w:spacing w:line="240" w:lineRule="auto"/>
        <w:rPr>
          <w:rFonts w:cs="Arial"/>
        </w:rPr>
      </w:pPr>
      <w:r w:rsidRPr="008C5206">
        <w:rPr>
          <w:rFonts w:cs="Arial"/>
        </w:rPr>
        <w:t>This was to ensure that the assessment captured both short term and cumulative impacts of SEND, LD and ND experiences on children and young people’s health, education and life opportunities, and identified where support can be best targeted to reduce inequalities and improve outcomes.</w:t>
      </w:r>
      <w:r w:rsidRPr="00595FE6">
        <w:rPr>
          <w:rFonts w:cs="Arial"/>
        </w:rPr>
        <w:t xml:space="preserve"> </w:t>
      </w:r>
    </w:p>
    <w:p w14:paraId="1D95C634" w14:textId="52324363" w:rsidR="00CF4ABB" w:rsidRPr="00D8107B" w:rsidRDefault="00CF4ABB" w:rsidP="00D9246A">
      <w:pPr>
        <w:pStyle w:val="Heading2"/>
        <w:spacing w:before="0" w:after="120"/>
        <w:rPr>
          <w:lang w:eastAsia="en-GB"/>
        </w:rPr>
      </w:pPr>
      <w:bookmarkStart w:id="6" w:name="_Toc199942429"/>
      <w:bookmarkStart w:id="7" w:name="_Toc199945351"/>
      <w:bookmarkStart w:id="8" w:name="_Toc199954298"/>
      <w:bookmarkStart w:id="9" w:name="_Toc200008265"/>
      <w:bookmarkStart w:id="10" w:name="_Toc200034802"/>
      <w:bookmarkStart w:id="11" w:name="_Toc200100738"/>
      <w:bookmarkStart w:id="12" w:name="_Toc199942430"/>
      <w:bookmarkStart w:id="13" w:name="_Toc199945352"/>
      <w:bookmarkStart w:id="14" w:name="_Toc199954299"/>
      <w:bookmarkStart w:id="15" w:name="_Toc200008266"/>
      <w:bookmarkStart w:id="16" w:name="_Toc200034803"/>
      <w:bookmarkStart w:id="17" w:name="_Toc200100739"/>
      <w:bookmarkStart w:id="18" w:name="_Toc199942431"/>
      <w:bookmarkStart w:id="19" w:name="_Toc199945353"/>
      <w:bookmarkStart w:id="20" w:name="_Toc199954300"/>
      <w:bookmarkStart w:id="21" w:name="_Toc200008267"/>
      <w:bookmarkStart w:id="22" w:name="_Toc200034804"/>
      <w:bookmarkStart w:id="23" w:name="_Toc200100740"/>
      <w:bookmarkStart w:id="24" w:name="_Toc199942432"/>
      <w:bookmarkStart w:id="25" w:name="_Toc199945354"/>
      <w:bookmarkStart w:id="26" w:name="_Toc199954301"/>
      <w:bookmarkStart w:id="27" w:name="_Toc200008268"/>
      <w:bookmarkStart w:id="28" w:name="_Toc200034805"/>
      <w:bookmarkStart w:id="29" w:name="_Toc200100741"/>
      <w:bookmarkStart w:id="30" w:name="_Toc199942433"/>
      <w:bookmarkStart w:id="31" w:name="_Toc199945355"/>
      <w:bookmarkStart w:id="32" w:name="_Toc199954302"/>
      <w:bookmarkStart w:id="33" w:name="_Toc200008269"/>
      <w:bookmarkStart w:id="34" w:name="_Toc200034806"/>
      <w:bookmarkStart w:id="35" w:name="_Toc200100742"/>
      <w:bookmarkStart w:id="36" w:name="_Toc199942434"/>
      <w:bookmarkStart w:id="37" w:name="_Toc199945356"/>
      <w:bookmarkStart w:id="38" w:name="_Toc199954303"/>
      <w:bookmarkStart w:id="39" w:name="_Toc200008270"/>
      <w:bookmarkStart w:id="40" w:name="_Toc200034807"/>
      <w:bookmarkStart w:id="41" w:name="_Toc200100743"/>
      <w:bookmarkStart w:id="42" w:name="_Toc199942435"/>
      <w:bookmarkStart w:id="43" w:name="_Toc199945357"/>
      <w:bookmarkStart w:id="44" w:name="_Toc199954304"/>
      <w:bookmarkStart w:id="45" w:name="_Toc200008271"/>
      <w:bookmarkStart w:id="46" w:name="_Toc200034808"/>
      <w:bookmarkStart w:id="47" w:name="_Toc200100744"/>
      <w:bookmarkStart w:id="48" w:name="_Toc199942436"/>
      <w:bookmarkStart w:id="49" w:name="_Toc199945358"/>
      <w:bookmarkStart w:id="50" w:name="_Toc199954305"/>
      <w:bookmarkStart w:id="51" w:name="_Toc200008272"/>
      <w:bookmarkStart w:id="52" w:name="_Toc200034809"/>
      <w:bookmarkStart w:id="53" w:name="_Toc200100745"/>
      <w:bookmarkStart w:id="54" w:name="_Toc199942437"/>
      <w:bookmarkStart w:id="55" w:name="_Toc199945359"/>
      <w:bookmarkStart w:id="56" w:name="_Toc199954306"/>
      <w:bookmarkStart w:id="57" w:name="_Toc200008273"/>
      <w:bookmarkStart w:id="58" w:name="_Toc200034810"/>
      <w:bookmarkStart w:id="59" w:name="_Toc200100746"/>
      <w:bookmarkStart w:id="60" w:name="_Toc199942438"/>
      <w:bookmarkStart w:id="61" w:name="_Toc199945360"/>
      <w:bookmarkStart w:id="62" w:name="_Toc199954307"/>
      <w:bookmarkStart w:id="63" w:name="_Toc200008274"/>
      <w:bookmarkStart w:id="64" w:name="_Toc200034811"/>
      <w:bookmarkStart w:id="65" w:name="_Toc200100747"/>
      <w:bookmarkStart w:id="66" w:name="_Toc199942439"/>
      <w:bookmarkStart w:id="67" w:name="_Toc199945361"/>
      <w:bookmarkStart w:id="68" w:name="_Toc199954308"/>
      <w:bookmarkStart w:id="69" w:name="_Toc200008275"/>
      <w:bookmarkStart w:id="70" w:name="_Toc200034812"/>
      <w:bookmarkStart w:id="71" w:name="_Toc200100748"/>
      <w:bookmarkStart w:id="72" w:name="_Toc199942440"/>
      <w:bookmarkStart w:id="73" w:name="_Toc199945362"/>
      <w:bookmarkStart w:id="74" w:name="_Toc199954309"/>
      <w:bookmarkStart w:id="75" w:name="_Toc200008276"/>
      <w:bookmarkStart w:id="76" w:name="_Toc200034813"/>
      <w:bookmarkStart w:id="77" w:name="_Toc200100749"/>
      <w:bookmarkStart w:id="78" w:name="_Toc199942441"/>
      <w:bookmarkStart w:id="79" w:name="_Toc199945363"/>
      <w:bookmarkStart w:id="80" w:name="_Toc199954310"/>
      <w:bookmarkStart w:id="81" w:name="_Toc200008277"/>
      <w:bookmarkStart w:id="82" w:name="_Toc200034814"/>
      <w:bookmarkStart w:id="83" w:name="_Toc200100750"/>
      <w:bookmarkStart w:id="84" w:name="_Toc199942442"/>
      <w:bookmarkStart w:id="85" w:name="_Toc199945364"/>
      <w:bookmarkStart w:id="86" w:name="_Toc199954311"/>
      <w:bookmarkStart w:id="87" w:name="_Toc200008278"/>
      <w:bookmarkStart w:id="88" w:name="_Toc200034815"/>
      <w:bookmarkStart w:id="89" w:name="_Toc200100751"/>
      <w:bookmarkStart w:id="90" w:name="_Toc447114458"/>
      <w:bookmarkStart w:id="91" w:name="_Ref448095617"/>
      <w:bookmarkStart w:id="92" w:name="_Ref448435093"/>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D8107B">
        <w:rPr>
          <w:lang w:eastAsia="en-GB"/>
        </w:rPr>
        <w:t>Definitions and terminology</w:t>
      </w:r>
    </w:p>
    <w:p w14:paraId="7744D4F8" w14:textId="589D5BB7" w:rsidR="00D91716" w:rsidRPr="00D91716" w:rsidRDefault="005B3F96" w:rsidP="009E62FA">
      <w:pPr>
        <w:pStyle w:val="Heading3"/>
        <w:rPr>
          <w:rFonts w:eastAsia="Arial"/>
        </w:rPr>
      </w:pPr>
      <w:r w:rsidRPr="005B3F96">
        <w:t>SEND Code of Practice</w:t>
      </w:r>
      <w:r w:rsidRPr="00595FE6">
        <w:fldChar w:fldCharType="begin"/>
      </w:r>
      <w:r w:rsidRPr="00595FE6">
        <w:instrText xml:space="preserve"> NOTEREF _Ref201152415 \f \h </w:instrText>
      </w:r>
      <w:r w:rsidRPr="00595FE6">
        <w:fldChar w:fldCharType="separate"/>
      </w:r>
      <w:r w:rsidRPr="008A4365">
        <w:rPr>
          <w:rStyle w:val="EndnoteReference"/>
        </w:rPr>
        <w:t>3</w:t>
      </w:r>
      <w:r w:rsidRPr="00595FE6">
        <w:fldChar w:fldCharType="end"/>
      </w:r>
      <w:r w:rsidR="000974EA" w:rsidRPr="000974EA">
        <w:t xml:space="preserve"> </w:t>
      </w:r>
      <w:r w:rsidR="000974EA">
        <w:t>- c</w:t>
      </w:r>
      <w:r w:rsidR="000974EA" w:rsidRPr="00D91716">
        <w:t>ategories of need</w:t>
      </w:r>
      <w:r w:rsidR="000974EA" w:rsidRPr="005B3F96">
        <w:t xml:space="preserve"> </w:t>
      </w:r>
    </w:p>
    <w:p w14:paraId="0E641F39" w14:textId="3BC52DA8" w:rsidR="00D91716" w:rsidRPr="00595FE6" w:rsidRDefault="00D91716" w:rsidP="00D9246A">
      <w:pPr>
        <w:spacing w:line="240" w:lineRule="auto"/>
        <w:rPr>
          <w:rFonts w:cs="Arial"/>
          <w:szCs w:val="24"/>
        </w:rPr>
      </w:pPr>
      <w:r w:rsidRPr="00595FE6">
        <w:rPr>
          <w:rFonts w:cs="Arial"/>
          <w:szCs w:val="24"/>
        </w:rPr>
        <w:t>The SEND Code of Practice is statutory guidance from the Department of Education that outlines how children and young people aged 0 to 25 with SEND should be identified, assessed and supported.</w:t>
      </w:r>
      <w:r w:rsidR="00E72F9C">
        <w:rPr>
          <w:rFonts w:cs="Arial"/>
          <w:szCs w:val="24"/>
        </w:rPr>
        <w:t xml:space="preserve"> </w:t>
      </w:r>
      <w:r w:rsidRPr="00595FE6">
        <w:rPr>
          <w:rFonts w:cs="Arial"/>
          <w:szCs w:val="24"/>
        </w:rPr>
        <w:t xml:space="preserve">It sets out the legal duties for schools, local authorities and other services under the Children and Families Act 2014 and promotes a person-centred approach that involves the child or young person and their family in decision-making. </w:t>
      </w:r>
    </w:p>
    <w:p w14:paraId="16C8E8C0" w14:textId="34E8CABA" w:rsidR="000974EA" w:rsidRDefault="00901BE4" w:rsidP="00D9246A">
      <w:pPr>
        <w:spacing w:line="240" w:lineRule="auto"/>
        <w:rPr>
          <w:rFonts w:cs="Arial"/>
          <w:szCs w:val="24"/>
        </w:rPr>
      </w:pPr>
      <w:r>
        <w:rPr>
          <w:rFonts w:cs="Arial"/>
          <w:szCs w:val="24"/>
        </w:rPr>
        <w:t>It</w:t>
      </w:r>
      <w:r w:rsidR="00D91716" w:rsidRPr="00595FE6">
        <w:rPr>
          <w:rFonts w:cs="Arial"/>
          <w:szCs w:val="24"/>
        </w:rPr>
        <w:t xml:space="preserve"> provides an overview of four broad areas of need that should be planned for. The purpose of these four categories is not to fit a pupil into a specific group of need, but to work out what action needs to be taken. In practice, individual children or young people often have needs that cut across all these areas and their needs may change over time. A detailed assessment should ensure that the full range of an individual’s needs are identified, not </w:t>
      </w:r>
      <w:r>
        <w:rPr>
          <w:rFonts w:cs="Arial"/>
          <w:szCs w:val="24"/>
        </w:rPr>
        <w:t>only</w:t>
      </w:r>
      <w:r w:rsidR="00D91716" w:rsidRPr="00595FE6">
        <w:rPr>
          <w:rFonts w:cs="Arial"/>
          <w:szCs w:val="24"/>
        </w:rPr>
        <w:t xml:space="preserve"> the primary need. Children and young people who have special educational needs (SEN) do not necessarily have a disability. Some disabled children and young people do not have special educational needs. However, there is a lot of overlap. </w:t>
      </w:r>
    </w:p>
    <w:p w14:paraId="7CF556B0" w14:textId="5F5D09F1" w:rsidR="009B048C" w:rsidRDefault="00D91716" w:rsidP="00D9246A">
      <w:pPr>
        <w:spacing w:line="240" w:lineRule="auto"/>
        <w:rPr>
          <w:rFonts w:cs="Arial"/>
          <w:szCs w:val="24"/>
        </w:rPr>
      </w:pPr>
      <w:r w:rsidRPr="00595FE6">
        <w:rPr>
          <w:rFonts w:cs="Arial"/>
          <w:szCs w:val="24"/>
        </w:rPr>
        <w:t>Children with long term conditions (12 months or more), will come under the Equalities Act 2010: ‘a physical or mental impairment which has a long-term and substantial adverse effect on their ability to carry out normal day-to-day</w:t>
      </w:r>
      <w:r>
        <w:rPr>
          <w:rFonts w:cs="Arial"/>
          <w:szCs w:val="24"/>
        </w:rPr>
        <w:t xml:space="preserve"> activities</w:t>
      </w:r>
      <w:r w:rsidRPr="00595FE6">
        <w:rPr>
          <w:rFonts w:cs="Arial"/>
          <w:szCs w:val="24"/>
        </w:rPr>
        <w:t xml:space="preserve">.’ Long term conditions can include asthma, diabetes, epilepsy, and cancer. </w:t>
      </w:r>
    </w:p>
    <w:p w14:paraId="704567D7" w14:textId="308517F8" w:rsidR="00D91716" w:rsidRPr="00595FE6" w:rsidRDefault="00D91716" w:rsidP="00D9246A">
      <w:pPr>
        <w:spacing w:line="240" w:lineRule="auto"/>
        <w:rPr>
          <w:rFonts w:cs="Arial"/>
          <w:szCs w:val="24"/>
        </w:rPr>
      </w:pPr>
      <w:r w:rsidRPr="00595FE6">
        <w:rPr>
          <w:rFonts w:cs="Arial"/>
          <w:szCs w:val="24"/>
        </w:rPr>
        <w:t>Children and young people with such conditions do not necessarily have SEN, but there is a significant overlap between disabled children and young people and those with SEN. Where a disabled child or young person requires special educational provision, they will also be covered by the SEN definition.</w:t>
      </w:r>
    </w:p>
    <w:p w14:paraId="31AD97B2" w14:textId="77777777" w:rsidR="00D91716" w:rsidRPr="00595FE6" w:rsidRDefault="00D91716" w:rsidP="009E62FA">
      <w:pPr>
        <w:pStyle w:val="Heading3"/>
      </w:pPr>
      <w:r w:rsidRPr="00782CF3">
        <w:t>Four broad areas of need</w:t>
      </w:r>
      <w:r w:rsidRPr="00595FE6">
        <w:t>:</w:t>
      </w:r>
    </w:p>
    <w:p w14:paraId="6BA1536A" w14:textId="77777777" w:rsidR="00D91716" w:rsidRPr="00D13FB7" w:rsidRDefault="00D91716" w:rsidP="00D9246A">
      <w:pPr>
        <w:pStyle w:val="ListParagraph"/>
        <w:numPr>
          <w:ilvl w:val="0"/>
          <w:numId w:val="18"/>
        </w:numPr>
        <w:spacing w:line="240" w:lineRule="auto"/>
        <w:ind w:hanging="357"/>
        <w:contextualSpacing w:val="0"/>
        <w:rPr>
          <w:b/>
          <w:color w:val="0079C2"/>
        </w:rPr>
      </w:pPr>
      <w:r w:rsidRPr="00D13FB7">
        <w:rPr>
          <w:b/>
          <w:color w:val="0079C2"/>
        </w:rPr>
        <w:t>Communication and interaction:</w:t>
      </w:r>
    </w:p>
    <w:p w14:paraId="2709FBDA" w14:textId="77777777" w:rsidR="00D91716" w:rsidRPr="00595FE6" w:rsidRDefault="00D91716" w:rsidP="00D9246A">
      <w:pPr>
        <w:pStyle w:val="ListParagraph"/>
        <w:numPr>
          <w:ilvl w:val="1"/>
          <w:numId w:val="18"/>
        </w:numPr>
        <w:spacing w:line="240" w:lineRule="auto"/>
        <w:ind w:hanging="357"/>
        <w:contextualSpacing w:val="0"/>
      </w:pPr>
      <w:r w:rsidRPr="00595FE6">
        <w:lastRenderedPageBreak/>
        <w:t>Some children and young people with speech, language and communication needs (SLCN) have difficulty in communicating with others. This may be because they have difficulty saying what they want to, understanding what is being said to them or they do not understand or use social rules of communication.</w:t>
      </w:r>
    </w:p>
    <w:p w14:paraId="450F94DD" w14:textId="77777777" w:rsidR="00D91716" w:rsidRPr="00595FE6" w:rsidRDefault="00D91716" w:rsidP="00D9246A">
      <w:pPr>
        <w:pStyle w:val="ListParagraph"/>
        <w:numPr>
          <w:ilvl w:val="1"/>
          <w:numId w:val="18"/>
        </w:numPr>
        <w:spacing w:line="240" w:lineRule="auto"/>
        <w:ind w:hanging="357"/>
        <w:contextualSpacing w:val="0"/>
      </w:pPr>
      <w:r w:rsidRPr="00595FE6">
        <w:t xml:space="preserve">Children and young people with Autistic Spectrum </w:t>
      </w:r>
      <w:r>
        <w:t xml:space="preserve">Condition </w:t>
      </w:r>
      <w:r w:rsidRPr="00595FE6">
        <w:t>(AS</w:t>
      </w:r>
      <w:r>
        <w:t>C</w:t>
      </w:r>
      <w:r w:rsidRPr="00595FE6">
        <w:t>), including Asperger’s Syndrome and Autism, are likely to have particular difficulties with social interaction. They may also experience difficulties with language, communication and imagination, which can impact on how they relate to others.</w:t>
      </w:r>
    </w:p>
    <w:p w14:paraId="01CEC4BF" w14:textId="77777777" w:rsidR="00D91716" w:rsidRPr="00D13FB7" w:rsidRDefault="00D91716" w:rsidP="00D9246A">
      <w:pPr>
        <w:pStyle w:val="ListParagraph"/>
        <w:numPr>
          <w:ilvl w:val="0"/>
          <w:numId w:val="18"/>
        </w:numPr>
        <w:spacing w:line="240" w:lineRule="auto"/>
        <w:ind w:hanging="357"/>
        <w:contextualSpacing w:val="0"/>
        <w:rPr>
          <w:b/>
          <w:color w:val="0079C2"/>
        </w:rPr>
      </w:pPr>
      <w:r w:rsidRPr="00D13FB7">
        <w:rPr>
          <w:b/>
          <w:color w:val="0079C2"/>
        </w:rPr>
        <w:t>Cognition and learning:</w:t>
      </w:r>
    </w:p>
    <w:p w14:paraId="745E7A6C" w14:textId="437CE78D" w:rsidR="00D91716" w:rsidRPr="00595FE6" w:rsidRDefault="00D91716" w:rsidP="00D9246A">
      <w:pPr>
        <w:pStyle w:val="ListParagraph"/>
        <w:numPr>
          <w:ilvl w:val="1"/>
          <w:numId w:val="18"/>
        </w:numPr>
        <w:spacing w:line="240" w:lineRule="auto"/>
        <w:ind w:hanging="357"/>
        <w:contextualSpacing w:val="0"/>
      </w:pPr>
      <w:r w:rsidRPr="00595FE6">
        <w:t>Support for learning difficulties may be required when children and young people learn at a slower pace than their peers, even with appropriate differentiation. Learning difficulties cover a wide range of needs, including moderate learning difficulties (MLD), severe learning difficulties (SLD), where children are likely to need support in all areas of the curriculum and associated difficulties with mobility and communication, through to profound and multiple learning difficulties (PMLD), where children are likely to have severe and complex learning difficulties as well as a physical disability or sensory impairment.</w:t>
      </w:r>
    </w:p>
    <w:p w14:paraId="678B736D" w14:textId="0CEDEA9B" w:rsidR="00D91716" w:rsidRDefault="00D91716" w:rsidP="00D9246A">
      <w:pPr>
        <w:pStyle w:val="ListParagraph"/>
        <w:numPr>
          <w:ilvl w:val="1"/>
          <w:numId w:val="18"/>
        </w:numPr>
        <w:spacing w:line="240" w:lineRule="auto"/>
        <w:ind w:hanging="357"/>
        <w:contextualSpacing w:val="0"/>
      </w:pPr>
      <w:r w:rsidRPr="00595FE6">
        <w:t>Specific learning difficulties (</w:t>
      </w:r>
      <w:proofErr w:type="spellStart"/>
      <w:r w:rsidRPr="00595FE6">
        <w:t>SpLD</w:t>
      </w:r>
      <w:proofErr w:type="spellEnd"/>
      <w:r w:rsidRPr="00595FE6">
        <w:t>), affect one or more specific aspects of learning. This includes a range of conditions such as dyslexia, dyscalculia and dyspraxia</w:t>
      </w:r>
      <w:r>
        <w:t>.</w:t>
      </w:r>
    </w:p>
    <w:p w14:paraId="2D7954C4" w14:textId="1CEADF2C" w:rsidR="004D393A" w:rsidRPr="00595FE6" w:rsidRDefault="004D393A" w:rsidP="004D393A">
      <w:pPr>
        <w:pStyle w:val="ListParagraph"/>
        <w:spacing w:line="240" w:lineRule="auto"/>
        <w:ind w:left="705"/>
        <w:contextualSpacing w:val="0"/>
      </w:pPr>
      <w:r>
        <w:t xml:space="preserve">MDL, SLD, PMLD and </w:t>
      </w:r>
      <w:proofErr w:type="spellStart"/>
      <w:r>
        <w:t>SpLD</w:t>
      </w:r>
      <w:proofErr w:type="spellEnd"/>
      <w:r>
        <w:t xml:space="preserve"> are terms used by the Department for Education within their </w:t>
      </w:r>
      <w:r w:rsidR="007D14A1">
        <w:t xml:space="preserve">SEN Census data collection and reporting. </w:t>
      </w:r>
    </w:p>
    <w:p w14:paraId="6BD8069E" w14:textId="77777777" w:rsidR="00D91716" w:rsidRPr="00D13FB7" w:rsidRDefault="00D91716" w:rsidP="00D9246A">
      <w:pPr>
        <w:pStyle w:val="ListParagraph"/>
        <w:numPr>
          <w:ilvl w:val="0"/>
          <w:numId w:val="18"/>
        </w:numPr>
        <w:spacing w:line="240" w:lineRule="auto"/>
        <w:ind w:hanging="357"/>
        <w:contextualSpacing w:val="0"/>
        <w:rPr>
          <w:b/>
          <w:color w:val="0079C2"/>
        </w:rPr>
      </w:pPr>
      <w:r w:rsidRPr="00D13FB7">
        <w:rPr>
          <w:b/>
          <w:color w:val="0079C2"/>
        </w:rPr>
        <w:t>Social, emotional and mental health difficulties:</w:t>
      </w:r>
    </w:p>
    <w:p w14:paraId="5982DC6C" w14:textId="28D57AA3" w:rsidR="00D91716" w:rsidRPr="00595FE6" w:rsidRDefault="00D91716" w:rsidP="00D9246A">
      <w:pPr>
        <w:pStyle w:val="ListParagraph"/>
        <w:numPr>
          <w:ilvl w:val="1"/>
          <w:numId w:val="18"/>
        </w:numPr>
        <w:spacing w:line="240" w:lineRule="auto"/>
        <w:ind w:hanging="357"/>
        <w:contextualSpacing w:val="0"/>
      </w:pPr>
      <w:r w:rsidRPr="00595FE6">
        <w:t>Children and young people may experience a wide range of social and emotional difficulties which manifest themselves in many ways. These may include becoming withdrawn or isolated, as well as displaying challenging, disruptive or disturbing behaviour. These behaviours may reflect underlying mental health difficulties such as anxiety or depression, self-harming, substance use, eating disorders or physical symptoms that are medically unexplained. Other children and young people may have disorders such as attention deficit disorder, attention deficit hyperactive disorder or attachment disorder.</w:t>
      </w:r>
    </w:p>
    <w:p w14:paraId="0C4F1359" w14:textId="77777777" w:rsidR="00D91716" w:rsidRPr="00D13FB7" w:rsidRDefault="00D91716" w:rsidP="00D9246A">
      <w:pPr>
        <w:pStyle w:val="ListParagraph"/>
        <w:numPr>
          <w:ilvl w:val="0"/>
          <w:numId w:val="18"/>
        </w:numPr>
        <w:spacing w:line="240" w:lineRule="auto"/>
        <w:ind w:hanging="357"/>
        <w:contextualSpacing w:val="0"/>
        <w:rPr>
          <w:b/>
          <w:color w:val="0079C2"/>
        </w:rPr>
      </w:pPr>
      <w:r w:rsidRPr="00D13FB7">
        <w:rPr>
          <w:b/>
          <w:color w:val="0079C2"/>
        </w:rPr>
        <w:t>Sensory and/or physical needs:</w:t>
      </w:r>
    </w:p>
    <w:p w14:paraId="50A5F753" w14:textId="77777777" w:rsidR="00D91716" w:rsidRPr="00595FE6" w:rsidRDefault="00D91716" w:rsidP="00D9246A">
      <w:pPr>
        <w:pStyle w:val="ListParagraph"/>
        <w:numPr>
          <w:ilvl w:val="1"/>
          <w:numId w:val="18"/>
        </w:numPr>
        <w:spacing w:line="240" w:lineRule="auto"/>
        <w:ind w:hanging="357"/>
        <w:contextualSpacing w:val="0"/>
      </w:pPr>
      <w:r w:rsidRPr="00595FE6">
        <w:t xml:space="preserve">Some children and young people require special educational provision because they have a disability which prevents or hinders them from making use of the educational facilities generally provided. These difficulties can be age related and may fluctuate over time. Many children and young people with vision impairment (VI), hearing impairment (HI) or a multi-sensory impairment (MSI) will require specialist support and/or equipment to access their learning, or </w:t>
      </w:r>
      <w:proofErr w:type="spellStart"/>
      <w:r w:rsidRPr="00595FE6">
        <w:t>habilitation</w:t>
      </w:r>
      <w:proofErr w:type="spellEnd"/>
      <w:r w:rsidRPr="00595FE6">
        <w:t xml:space="preserve"> support. Children and young people with an MSI have a combination of vision and hearing difficulties.</w:t>
      </w:r>
    </w:p>
    <w:p w14:paraId="5084845F" w14:textId="19665BA2" w:rsidR="00415958" w:rsidRPr="00CC4306" w:rsidRDefault="00415958" w:rsidP="009E62FA">
      <w:pPr>
        <w:pStyle w:val="Heading3"/>
      </w:pPr>
      <w:r w:rsidRPr="00CC4306">
        <w:t>Special Educational Needs (SEN) support</w:t>
      </w:r>
    </w:p>
    <w:p w14:paraId="06D6FE11" w14:textId="76EFFD55" w:rsidR="00415958" w:rsidRPr="006339FD" w:rsidRDefault="00415958" w:rsidP="00D9246A">
      <w:pPr>
        <w:spacing w:line="240" w:lineRule="auto"/>
        <w:rPr>
          <w:rFonts w:cs="Arial"/>
        </w:rPr>
      </w:pPr>
      <w:r w:rsidRPr="1B4A4319">
        <w:rPr>
          <w:rFonts w:cs="Arial"/>
        </w:rPr>
        <w:t xml:space="preserve">SEN support means support that is additional to, or different from, the support generally made for other children of the same age in a school. It is provided for pupils who are identified as having a learning </w:t>
      </w:r>
      <w:r w:rsidR="007D14A1">
        <w:rPr>
          <w:rFonts w:cs="Arial"/>
        </w:rPr>
        <w:t xml:space="preserve">need </w:t>
      </w:r>
      <w:r w:rsidRPr="1B4A4319">
        <w:rPr>
          <w:rFonts w:cs="Arial"/>
        </w:rPr>
        <w:t>or a disability that requires extra or different help to that normally provided as part of the school’s usual curriculum offer. A pupil on SEN support will not have an education, health and care plan.</w:t>
      </w:r>
    </w:p>
    <w:p w14:paraId="00DD8595" w14:textId="77777777" w:rsidR="00415958" w:rsidRPr="00CC4306" w:rsidRDefault="00415958" w:rsidP="009E62FA">
      <w:pPr>
        <w:pStyle w:val="Heading3"/>
      </w:pPr>
      <w:r w:rsidRPr="00CC4306">
        <w:lastRenderedPageBreak/>
        <w:t>Education, health and care (EHC) plans</w:t>
      </w:r>
    </w:p>
    <w:p w14:paraId="0A0E1BA0" w14:textId="6A44EB93" w:rsidR="00D91716" w:rsidRDefault="00415958" w:rsidP="00D9246A">
      <w:pPr>
        <w:spacing w:line="240" w:lineRule="auto"/>
      </w:pPr>
      <w:r w:rsidRPr="00595FE6">
        <w:rPr>
          <w:rFonts w:cs="Arial"/>
          <w:szCs w:val="24"/>
        </w:rPr>
        <w:t>A local authority may issue an EHC plan for a pupil who needs more support than is available through SEN support. It is a legal document that follows a statutory assessment process whereby the local authority considers the pupil’s special educational needs and any relevant health and social care needs; it sets out long term outcomes; and specifies provision which will deliver additional support to meet those needs.</w:t>
      </w:r>
    </w:p>
    <w:p w14:paraId="585C151B" w14:textId="77777777" w:rsidR="00A87D64" w:rsidRPr="000E7736" w:rsidRDefault="00A87D64" w:rsidP="009E62FA">
      <w:pPr>
        <w:pStyle w:val="Heading3"/>
      </w:pPr>
      <w:r>
        <w:t>L</w:t>
      </w:r>
      <w:r w:rsidRPr="006339FD">
        <w:t>earning disability</w:t>
      </w:r>
      <w:r>
        <w:t xml:space="preserve"> and learning difficulties</w:t>
      </w:r>
    </w:p>
    <w:p w14:paraId="5FA27FE7" w14:textId="49FDF43C" w:rsidR="00A87D64" w:rsidRDefault="00A87D64" w:rsidP="00D9246A">
      <w:pPr>
        <w:spacing w:line="240" w:lineRule="auto"/>
        <w:rPr>
          <w:rFonts w:cs="Arial"/>
          <w:szCs w:val="24"/>
        </w:rPr>
      </w:pPr>
      <w:r w:rsidRPr="006D28F7">
        <w:rPr>
          <w:rFonts w:cs="Arial"/>
          <w:szCs w:val="24"/>
        </w:rPr>
        <w:t xml:space="preserve">A learning disability is defined by </w:t>
      </w:r>
      <w:hyperlink r:id="rId15" w:history="1">
        <w:r w:rsidRPr="006D28F7">
          <w:rPr>
            <w:rStyle w:val="Hyperlink"/>
            <w:rFonts w:cs="Arial"/>
            <w:szCs w:val="24"/>
          </w:rPr>
          <w:t xml:space="preserve">Department of Health </w:t>
        </w:r>
      </w:hyperlink>
      <w:r w:rsidRPr="006D28F7">
        <w:rPr>
          <w:rFonts w:cs="Arial"/>
          <w:szCs w:val="24"/>
        </w:rPr>
        <w:t>as a significant reduced ability to understand new</w:t>
      </w:r>
      <w:r w:rsidR="00FE5495">
        <w:rPr>
          <w:rFonts w:cs="Arial"/>
          <w:szCs w:val="24"/>
        </w:rPr>
        <w:t>/</w:t>
      </w:r>
      <w:r w:rsidRPr="006D28F7">
        <w:rPr>
          <w:rFonts w:cs="Arial"/>
          <w:szCs w:val="24"/>
        </w:rPr>
        <w:t>complex information, learn new skills (impaired intelligence), with reduced ability to cope independently (impaired social functioning), which started before adulthood</w:t>
      </w:r>
      <w:r>
        <w:rPr>
          <w:rFonts w:cs="Arial"/>
          <w:szCs w:val="24"/>
        </w:rPr>
        <w:t>.</w:t>
      </w:r>
    </w:p>
    <w:p w14:paraId="7811AB9D" w14:textId="7CF42752" w:rsidR="00A87D64" w:rsidRDefault="00A87D64" w:rsidP="00D9246A">
      <w:pPr>
        <w:spacing w:line="240" w:lineRule="auto"/>
        <w:rPr>
          <w:rFonts w:cs="Arial"/>
          <w:szCs w:val="24"/>
        </w:rPr>
      </w:pPr>
      <w:r w:rsidRPr="00437B99">
        <w:rPr>
          <w:rFonts w:cs="Arial"/>
          <w:szCs w:val="24"/>
        </w:rPr>
        <w:t xml:space="preserve">Learning difficulties is a </w:t>
      </w:r>
      <w:r w:rsidR="00FE5495">
        <w:rPr>
          <w:rFonts w:cs="Arial"/>
          <w:szCs w:val="24"/>
        </w:rPr>
        <w:t>broad</w:t>
      </w:r>
      <w:r w:rsidRPr="00437B99">
        <w:rPr>
          <w:rFonts w:cs="Arial"/>
          <w:szCs w:val="24"/>
        </w:rPr>
        <w:t xml:space="preserve"> term used in education </w:t>
      </w:r>
      <w:r w:rsidR="00FE5495">
        <w:rPr>
          <w:rFonts w:cs="Arial"/>
          <w:szCs w:val="24"/>
        </w:rPr>
        <w:t>to</w:t>
      </w:r>
      <w:r w:rsidRPr="00437B99">
        <w:rPr>
          <w:rFonts w:cs="Arial"/>
          <w:szCs w:val="24"/>
        </w:rPr>
        <w:t xml:space="preserve"> </w:t>
      </w:r>
      <w:r w:rsidR="00E34F68">
        <w:rPr>
          <w:rFonts w:cs="Arial"/>
          <w:szCs w:val="24"/>
        </w:rPr>
        <w:t>include</w:t>
      </w:r>
      <w:r w:rsidRPr="00437B99">
        <w:rPr>
          <w:rFonts w:cs="Arial"/>
          <w:szCs w:val="24"/>
        </w:rPr>
        <w:t xml:space="preserve"> children who show delay and difficulty with learning which seems general, and more than a specific learning difficulty such as dyslexia. It can be moderate learning difficulties </w:t>
      </w:r>
      <w:r>
        <w:rPr>
          <w:rFonts w:cs="Arial"/>
          <w:szCs w:val="24"/>
        </w:rPr>
        <w:t>(</w:t>
      </w:r>
      <w:r w:rsidRPr="00437B99">
        <w:rPr>
          <w:rFonts w:cs="Arial"/>
          <w:szCs w:val="24"/>
        </w:rPr>
        <w:t>MLD)</w:t>
      </w:r>
      <w:r w:rsidR="00FE5495">
        <w:rPr>
          <w:rFonts w:cs="Arial"/>
          <w:szCs w:val="24"/>
        </w:rPr>
        <w:t>,</w:t>
      </w:r>
      <w:r w:rsidRPr="00437B99">
        <w:rPr>
          <w:rFonts w:cs="Arial"/>
          <w:szCs w:val="24"/>
        </w:rPr>
        <w:t xml:space="preserve"> severe learning difficulties</w:t>
      </w:r>
      <w:r>
        <w:rPr>
          <w:rFonts w:cs="Arial"/>
          <w:szCs w:val="24"/>
        </w:rPr>
        <w:t xml:space="preserve"> (</w:t>
      </w:r>
      <w:r w:rsidRPr="00437B99">
        <w:rPr>
          <w:rFonts w:cs="Arial"/>
          <w:szCs w:val="24"/>
        </w:rPr>
        <w:t xml:space="preserve">SLD), profound </w:t>
      </w:r>
      <w:r w:rsidR="00FE5495">
        <w:rPr>
          <w:rFonts w:cs="Arial"/>
          <w:szCs w:val="24"/>
        </w:rPr>
        <w:t>&amp;</w:t>
      </w:r>
      <w:r w:rsidRPr="00437B99">
        <w:rPr>
          <w:rFonts w:cs="Arial"/>
          <w:szCs w:val="24"/>
        </w:rPr>
        <w:t xml:space="preserve"> multiple learning disability (PMLD) or Global Learning Delay (GLD).</w:t>
      </w:r>
    </w:p>
    <w:p w14:paraId="47895AAB" w14:textId="77777777" w:rsidR="00A87D64" w:rsidRPr="00595FE6" w:rsidRDefault="00A87D64" w:rsidP="009E62FA">
      <w:pPr>
        <w:pStyle w:val="Heading3"/>
      </w:pPr>
      <w:r w:rsidRPr="002D6B5E">
        <w:t>Neurodiversity</w:t>
      </w:r>
    </w:p>
    <w:p w14:paraId="7B682EE1" w14:textId="78740FC6" w:rsidR="00A87D64" w:rsidRPr="00595FE6" w:rsidRDefault="00A87D64" w:rsidP="00D9246A">
      <w:pPr>
        <w:spacing w:line="240" w:lineRule="auto"/>
      </w:pPr>
      <w:r w:rsidRPr="00595FE6">
        <w:t>Neurodiversity is the variation in neurocognitive ability of all people. Everyone has strengths and weaknesses. However, for some people the variation between those strengths and challenges is more pronounced, which can bring advantage but can also be disabling.</w:t>
      </w:r>
    </w:p>
    <w:p w14:paraId="66DB68FE" w14:textId="58D62FF4" w:rsidR="00A87D64" w:rsidRDefault="00A87D64" w:rsidP="00D9246A">
      <w:pPr>
        <w:spacing w:line="240" w:lineRule="auto"/>
      </w:pPr>
      <w:r w:rsidRPr="00595FE6">
        <w:t>“</w:t>
      </w:r>
      <w:r w:rsidRPr="002D6B5E">
        <w:t>Neurodivergent</w:t>
      </w:r>
      <w:r w:rsidRPr="00595FE6">
        <w:t>”, “</w:t>
      </w:r>
      <w:r w:rsidRPr="002D6B5E">
        <w:t>neurominority</w:t>
      </w:r>
      <w:r w:rsidRPr="00595FE6">
        <w:t>” or</w:t>
      </w:r>
      <w:r w:rsidRPr="002D6B5E">
        <w:t xml:space="preserve"> </w:t>
      </w:r>
      <w:r w:rsidRPr="00595FE6">
        <w:t>“</w:t>
      </w:r>
      <w:proofErr w:type="spellStart"/>
      <w:r w:rsidRPr="00595FE6">
        <w:t>n</w:t>
      </w:r>
      <w:r w:rsidRPr="002D6B5E">
        <w:t>eurodistinct</w:t>
      </w:r>
      <w:proofErr w:type="spellEnd"/>
      <w:r w:rsidRPr="002D6B5E">
        <w:t>”</w:t>
      </w:r>
      <w:r w:rsidRPr="00595FE6">
        <w:t xml:space="preserve"> may be used to refer to people with less typical neurotypes, such as attention deficit hyperactivity disorder (ADHD), autism, </w:t>
      </w:r>
      <w:r w:rsidR="0DC9E0AB">
        <w:t>s</w:t>
      </w:r>
      <w:r w:rsidR="00B870B3" w:rsidRPr="434B5CE2">
        <w:rPr>
          <w:rFonts w:cs="Arial"/>
        </w:rPr>
        <w:t>pecific learning difficulty (</w:t>
      </w:r>
      <w:proofErr w:type="spellStart"/>
      <w:r w:rsidR="00B870B3" w:rsidRPr="434B5CE2">
        <w:rPr>
          <w:rFonts w:cs="Arial"/>
        </w:rPr>
        <w:t>SpLD</w:t>
      </w:r>
      <w:proofErr w:type="spellEnd"/>
      <w:r w:rsidR="00B870B3" w:rsidRPr="434B5CE2">
        <w:rPr>
          <w:rFonts w:cs="Arial"/>
        </w:rPr>
        <w:t>)</w:t>
      </w:r>
      <w:r w:rsidR="006A2A29" w:rsidRPr="434B5CE2">
        <w:rPr>
          <w:rFonts w:cs="Arial"/>
        </w:rPr>
        <w:t xml:space="preserve"> (</w:t>
      </w:r>
      <w:r w:rsidRPr="00595FE6">
        <w:t>dyslexia, dyscalculia, dysgraphia</w:t>
      </w:r>
      <w:r w:rsidR="006A2A29">
        <w:t>)</w:t>
      </w:r>
      <w:r w:rsidRPr="00595FE6">
        <w:t>, dyspraxia/ developmental co-ordination disorder, foetal alcohol spectrum disorders, language disorders, attachment disorders and Tourette syndrome.</w:t>
      </w:r>
    </w:p>
    <w:p w14:paraId="7539A2F6" w14:textId="5CF521C7" w:rsidR="00657DD9" w:rsidRDefault="00A87D64" w:rsidP="00D9246A">
      <w:pPr>
        <w:spacing w:line="240" w:lineRule="auto"/>
      </w:pPr>
      <w:r w:rsidRPr="00595FE6">
        <w:t>Neurodivergence is thought to be developmental</w:t>
      </w:r>
      <w:r w:rsidR="00762F78">
        <w:t>,</w:t>
      </w:r>
      <w:r w:rsidRPr="00595FE6">
        <w:t xml:space="preserve"> meaning people are born with them and develop in childhood and adolescence. Some of the conditions are behaviour</w:t>
      </w:r>
      <w:r>
        <w:t>al</w:t>
      </w:r>
      <w:r w:rsidRPr="00595FE6">
        <w:t xml:space="preserve"> and typically diagnosed by the health service while others are educational or practical and </w:t>
      </w:r>
      <w:r w:rsidR="00E25589">
        <w:t>can be understood by specialist</w:t>
      </w:r>
      <w:r w:rsidRPr="00595FE6">
        <w:t xml:space="preserve"> </w:t>
      </w:r>
      <w:r w:rsidR="00E25589">
        <w:t xml:space="preserve">assessment </w:t>
      </w:r>
      <w:r w:rsidRPr="00595FE6">
        <w:t>by educational psychologists and occupational therapists working with children</w:t>
      </w:r>
      <w:r w:rsidRPr="00595FE6">
        <w:rPr>
          <w:rStyle w:val="EndnoteReference"/>
        </w:rPr>
        <w:endnoteReference w:id="3"/>
      </w:r>
      <w:r w:rsidRPr="00595FE6">
        <w:t>.</w:t>
      </w:r>
      <w:r w:rsidR="00762F78">
        <w:t xml:space="preserve"> </w:t>
      </w:r>
      <w:r w:rsidR="007E3D57">
        <w:t>Appendix</w:t>
      </w:r>
      <w:r w:rsidR="00EB6AD7">
        <w:t xml:space="preserve"> </w:t>
      </w:r>
      <w:r w:rsidR="00E77BA4">
        <w:t>1</w:t>
      </w:r>
      <w:r w:rsidR="00DC6BAE">
        <w:t xml:space="preserve">: </w:t>
      </w:r>
      <w:r w:rsidR="008C5801">
        <w:t>N</w:t>
      </w:r>
      <w:r w:rsidR="00EB6AD7">
        <w:t>eurodevelopmental conditions definitions</w:t>
      </w:r>
      <w:r w:rsidR="00065135">
        <w:t xml:space="preserve">, </w:t>
      </w:r>
      <w:r w:rsidR="00DC6BAE">
        <w:t>provides definitions</w:t>
      </w:r>
      <w:r w:rsidR="00065135">
        <w:t xml:space="preserve"> including,</w:t>
      </w:r>
      <w:r w:rsidR="007E3D57">
        <w:t xml:space="preserve"> </w:t>
      </w:r>
      <w:r w:rsidR="005949EE" w:rsidRPr="008F3923">
        <w:t xml:space="preserve">Attention </w:t>
      </w:r>
      <w:r w:rsidR="00B101BF">
        <w:t>D</w:t>
      </w:r>
      <w:r w:rsidR="005949EE" w:rsidRPr="008F3923">
        <w:t xml:space="preserve">eficit </w:t>
      </w:r>
      <w:r w:rsidR="00B101BF">
        <w:t>H</w:t>
      </w:r>
      <w:r w:rsidR="005949EE" w:rsidRPr="008F3923">
        <w:t xml:space="preserve">yperactivity </w:t>
      </w:r>
      <w:r w:rsidR="00B101BF">
        <w:t>D</w:t>
      </w:r>
      <w:r w:rsidR="005949EE" w:rsidRPr="008F3923">
        <w:t>isorder</w:t>
      </w:r>
      <w:r w:rsidR="00B101BF">
        <w:t xml:space="preserve"> (ADHD)</w:t>
      </w:r>
      <w:r w:rsidR="00F32F16" w:rsidRPr="008F3923">
        <w:t xml:space="preserve">, </w:t>
      </w:r>
      <w:r w:rsidR="005949EE" w:rsidRPr="008F3923">
        <w:t>Autism</w:t>
      </w:r>
      <w:r w:rsidR="00F32F16" w:rsidRPr="008F3923">
        <w:t xml:space="preserve">, </w:t>
      </w:r>
      <w:r w:rsidR="00657DD9" w:rsidRPr="008F3923">
        <w:t>Dyslexia</w:t>
      </w:r>
      <w:r w:rsidR="00F32F16" w:rsidRPr="008F3923">
        <w:t xml:space="preserve">, </w:t>
      </w:r>
      <w:r w:rsidR="00657DD9" w:rsidRPr="008F3923">
        <w:t>Dyscalculia</w:t>
      </w:r>
      <w:r w:rsidR="00F32F16" w:rsidRPr="008F3923">
        <w:t xml:space="preserve">, </w:t>
      </w:r>
      <w:r w:rsidR="00657DD9" w:rsidRPr="008F3923">
        <w:t>Dysgraphia</w:t>
      </w:r>
      <w:r w:rsidR="008F3923" w:rsidRPr="008F3923">
        <w:t xml:space="preserve">, </w:t>
      </w:r>
      <w:r w:rsidR="00657DD9" w:rsidRPr="008F3923">
        <w:t>Dyspraxia</w:t>
      </w:r>
      <w:r w:rsidR="008F3923" w:rsidRPr="008F3923">
        <w:t xml:space="preserve">, </w:t>
      </w:r>
      <w:r w:rsidR="00657DD9" w:rsidRPr="008F3923">
        <w:t>Tourette syndrome</w:t>
      </w:r>
      <w:r w:rsidR="008F3923" w:rsidRPr="008F3923">
        <w:t xml:space="preserve">, </w:t>
      </w:r>
      <w:r w:rsidR="00657DD9" w:rsidRPr="008F3923">
        <w:rPr>
          <w:rFonts w:cs="Arial"/>
          <w:szCs w:val="24"/>
        </w:rPr>
        <w:t>Foetal Alcohol Spectrum Disorder (FASD)</w:t>
      </w:r>
      <w:r w:rsidR="007E3D57">
        <w:rPr>
          <w:rFonts w:cs="Arial"/>
          <w:szCs w:val="24"/>
        </w:rPr>
        <w:t>.</w:t>
      </w:r>
    </w:p>
    <w:p w14:paraId="397925CB" w14:textId="28AF0D0A" w:rsidR="00D87391" w:rsidRPr="007C52F2" w:rsidRDefault="00FB2D52" w:rsidP="00D9246A">
      <w:pPr>
        <w:pStyle w:val="Heading2"/>
        <w:spacing w:before="0" w:after="120"/>
        <w:rPr>
          <w:lang w:eastAsia="en-GB"/>
        </w:rPr>
      </w:pPr>
      <w:r w:rsidRPr="007C52F2">
        <w:t xml:space="preserve">Education provision in Brighton &amp; Hove </w:t>
      </w:r>
    </w:p>
    <w:p w14:paraId="6ED8D314" w14:textId="40621D2C" w:rsidR="00E57AD1" w:rsidRDefault="00E57AD1" w:rsidP="00D9246A">
      <w:pPr>
        <w:spacing w:line="240" w:lineRule="auto"/>
      </w:pPr>
      <w:r w:rsidRPr="009D6AF6">
        <w:rPr>
          <w:rStyle w:val="normaltextrun"/>
          <w:rFonts w:eastAsiaTheme="majorEastAsia" w:cs="Arial"/>
        </w:rPr>
        <w:t xml:space="preserve">Brighton &amp; Hove has a diverse education landscape with 68 schools, including 61 maintained schools funded and managed by the local authority. These comprise 2 maintained nurseries, 48 primary schools, 7 secondary schools, 2 special schools, and 1 pupil referral unit. The </w:t>
      </w:r>
      <w:r w:rsidRPr="002566B0">
        <w:rPr>
          <w:szCs w:val="24"/>
        </w:rPr>
        <w:t>remaining</w:t>
      </w:r>
      <w:r w:rsidRPr="009D6AF6">
        <w:rPr>
          <w:rStyle w:val="normaltextrun"/>
          <w:rFonts w:eastAsiaTheme="majorEastAsia" w:cs="Arial"/>
        </w:rPr>
        <w:t xml:space="preserve"> 7 schools (5 academies and 2 free schools) are directly accountable to the Department for Education. In addition to this, the city offers specialist provision within mainstream settings: 2 resource provisions for autism and 1 for speech, language and communication needs in primary schools</w:t>
      </w:r>
      <w:r w:rsidR="007476F9">
        <w:rPr>
          <w:rStyle w:val="normaltextrun"/>
          <w:rFonts w:eastAsiaTheme="majorEastAsia" w:cs="Arial"/>
        </w:rPr>
        <w:t xml:space="preserve"> and</w:t>
      </w:r>
      <w:r w:rsidRPr="009D6AF6">
        <w:rPr>
          <w:rStyle w:val="normaltextrun"/>
          <w:rFonts w:eastAsiaTheme="majorEastAsia" w:cs="Arial"/>
        </w:rPr>
        <w:t xml:space="preserve"> a special unit for pupils who are deaf. </w:t>
      </w:r>
      <w:r w:rsidR="007476F9">
        <w:rPr>
          <w:rStyle w:val="normaltextrun"/>
          <w:rFonts w:eastAsiaTheme="majorEastAsia" w:cs="Arial"/>
        </w:rPr>
        <w:t>For s</w:t>
      </w:r>
      <w:r w:rsidRPr="009D6AF6">
        <w:rPr>
          <w:rStyle w:val="normaltextrun"/>
          <w:rFonts w:eastAsiaTheme="majorEastAsia" w:cs="Arial"/>
        </w:rPr>
        <w:t xml:space="preserve">econdary schools 1 resource provision for autism, 1 for developmental language disorder and autism, and 1 specialist unit for specific learning difficulties. Further details on the SEND Local Offer: </w:t>
      </w:r>
      <w:hyperlink r:id="rId16" w:tgtFrame="_blank" w:history="1">
        <w:r>
          <w:rPr>
            <w:rStyle w:val="normaltextrun"/>
            <w:rFonts w:eastAsiaTheme="majorEastAsia" w:cs="Arial"/>
            <w:color w:val="0000FF"/>
            <w:u w:val="single"/>
          </w:rPr>
          <w:t>Special educational needs and disabilities</w:t>
        </w:r>
      </w:hyperlink>
      <w:r w:rsidR="007476F9">
        <w:t>.</w:t>
      </w:r>
      <w:r>
        <w:rPr>
          <w:rStyle w:val="eop"/>
          <w:rFonts w:eastAsiaTheme="majorEastAsia" w:cs="Arial"/>
          <w:color w:val="000000"/>
        </w:rPr>
        <w:t> </w:t>
      </w:r>
    </w:p>
    <w:p w14:paraId="1E867D1B" w14:textId="77777777" w:rsidR="00807986" w:rsidRPr="005A56CE" w:rsidRDefault="002D5B47" w:rsidP="00D9246A">
      <w:pPr>
        <w:pStyle w:val="Heading2"/>
        <w:spacing w:before="0" w:after="120"/>
        <w:rPr>
          <w:lang w:eastAsia="en-GB"/>
        </w:rPr>
      </w:pPr>
      <w:r w:rsidRPr="005A56CE">
        <w:t>Scope</w:t>
      </w:r>
      <w:r w:rsidRPr="005A56CE">
        <w:rPr>
          <w:lang w:eastAsia="en-GB"/>
        </w:rPr>
        <w:t xml:space="preserve"> </w:t>
      </w:r>
    </w:p>
    <w:p w14:paraId="38E49BB7" w14:textId="13D5F040" w:rsidR="00630871" w:rsidRPr="005A56CE" w:rsidRDefault="00630871" w:rsidP="00D9246A">
      <w:pPr>
        <w:spacing w:line="240" w:lineRule="auto"/>
        <w:rPr>
          <w:rFonts w:cs="Arial"/>
          <w:szCs w:val="24"/>
        </w:rPr>
      </w:pPr>
      <w:r w:rsidRPr="005A56CE">
        <w:rPr>
          <w:rFonts w:cs="Arial"/>
          <w:szCs w:val="24"/>
        </w:rPr>
        <w:t xml:space="preserve">This JSNA focuses on </w:t>
      </w:r>
      <w:r w:rsidR="008C68EA" w:rsidRPr="005A56CE">
        <w:rPr>
          <w:rFonts w:cs="Arial"/>
          <w:szCs w:val="24"/>
        </w:rPr>
        <w:t xml:space="preserve">the </w:t>
      </w:r>
      <w:r w:rsidRPr="005A56CE">
        <w:rPr>
          <w:rFonts w:cs="Arial"/>
          <w:szCs w:val="24"/>
        </w:rPr>
        <w:t>need</w:t>
      </w:r>
      <w:r w:rsidR="008C68EA" w:rsidRPr="005A56CE">
        <w:rPr>
          <w:rFonts w:cs="Arial"/>
          <w:szCs w:val="24"/>
        </w:rPr>
        <w:t>s</w:t>
      </w:r>
      <w:r w:rsidRPr="005A56CE">
        <w:rPr>
          <w:rFonts w:cs="Arial"/>
          <w:szCs w:val="24"/>
        </w:rPr>
        <w:t xml:space="preserve"> for all children </w:t>
      </w:r>
      <w:r w:rsidR="00E717C3" w:rsidRPr="005A56CE">
        <w:rPr>
          <w:rFonts w:cs="Arial"/>
          <w:szCs w:val="24"/>
        </w:rPr>
        <w:t xml:space="preserve">and young people </w:t>
      </w:r>
      <w:r w:rsidR="005F7EFA" w:rsidRPr="005A56CE">
        <w:rPr>
          <w:rFonts w:cs="Arial"/>
          <w:szCs w:val="24"/>
        </w:rPr>
        <w:t xml:space="preserve">aged 0 to 25 </w:t>
      </w:r>
      <w:r w:rsidRPr="005A56CE">
        <w:rPr>
          <w:rFonts w:cs="Arial"/>
          <w:szCs w:val="24"/>
        </w:rPr>
        <w:t>with Special Educational Needs and Disabilities</w:t>
      </w:r>
      <w:r w:rsidR="00E717C3" w:rsidRPr="005A56CE">
        <w:rPr>
          <w:rFonts w:cs="Arial"/>
          <w:szCs w:val="24"/>
        </w:rPr>
        <w:t>. It includes</w:t>
      </w:r>
      <w:r w:rsidRPr="005A56CE">
        <w:rPr>
          <w:rFonts w:cs="Arial"/>
          <w:szCs w:val="24"/>
        </w:rPr>
        <w:t xml:space="preserve"> </w:t>
      </w:r>
      <w:r w:rsidR="00F4523A" w:rsidRPr="005A56CE">
        <w:rPr>
          <w:rFonts w:cs="Arial"/>
          <w:szCs w:val="24"/>
        </w:rPr>
        <w:t xml:space="preserve">children and young people </w:t>
      </w:r>
      <w:r w:rsidRPr="005A56CE">
        <w:rPr>
          <w:rFonts w:cs="Arial"/>
          <w:szCs w:val="24"/>
        </w:rPr>
        <w:t xml:space="preserve">who have </w:t>
      </w:r>
      <w:r w:rsidRPr="005A56CE">
        <w:rPr>
          <w:rFonts w:cs="Arial"/>
          <w:szCs w:val="24"/>
        </w:rPr>
        <w:lastRenderedPageBreak/>
        <w:t xml:space="preserve">an Education, Health and Care Plan or receive SEN support or both. Children and young people without specific diagnosis are included where a support need was identified. </w:t>
      </w:r>
    </w:p>
    <w:p w14:paraId="1BBB388B" w14:textId="6886494C" w:rsidR="001428F8" w:rsidRPr="005A56CE" w:rsidRDefault="00630871" w:rsidP="00D9246A">
      <w:pPr>
        <w:spacing w:line="240" w:lineRule="auto"/>
        <w:rPr>
          <w:rFonts w:cs="Arial"/>
          <w:szCs w:val="24"/>
        </w:rPr>
      </w:pPr>
      <w:r w:rsidRPr="005A56CE">
        <w:rPr>
          <w:rFonts w:cs="Arial"/>
          <w:szCs w:val="24"/>
        </w:rPr>
        <w:t xml:space="preserve">The needs assessment included communities as described in the four broad areas of need </w:t>
      </w:r>
      <w:r w:rsidR="0056591E" w:rsidRPr="005A56CE">
        <w:rPr>
          <w:rFonts w:cs="Arial"/>
          <w:szCs w:val="24"/>
        </w:rPr>
        <w:t xml:space="preserve">described </w:t>
      </w:r>
      <w:r w:rsidRPr="005A56CE">
        <w:rPr>
          <w:rFonts w:cs="Arial"/>
          <w:szCs w:val="24"/>
        </w:rPr>
        <w:t>within the SEND Code of Practice (COP)</w:t>
      </w:r>
      <w:r w:rsidR="00281998">
        <w:rPr>
          <w:rFonts w:cs="Arial"/>
          <w:szCs w:val="24"/>
        </w:rPr>
        <w:t>, including</w:t>
      </w:r>
      <w:r w:rsidR="00623768">
        <w:rPr>
          <w:rFonts w:cs="Arial"/>
          <w:szCs w:val="24"/>
        </w:rPr>
        <w:t>,</w:t>
      </w:r>
      <w:r w:rsidR="00281998">
        <w:rPr>
          <w:rFonts w:cs="Arial"/>
          <w:szCs w:val="24"/>
        </w:rPr>
        <w:t xml:space="preserve"> long term conditions</w:t>
      </w:r>
      <w:r w:rsidR="00623768">
        <w:rPr>
          <w:rFonts w:cs="Arial"/>
          <w:szCs w:val="24"/>
        </w:rPr>
        <w:t xml:space="preserve"> </w:t>
      </w:r>
      <w:r w:rsidR="00281998">
        <w:rPr>
          <w:rFonts w:cs="Arial"/>
          <w:szCs w:val="24"/>
        </w:rPr>
        <w:t xml:space="preserve">where possible. </w:t>
      </w:r>
      <w:r w:rsidR="00F612E1" w:rsidRPr="005A56CE">
        <w:rPr>
          <w:rFonts w:cs="Arial"/>
          <w:szCs w:val="24"/>
        </w:rPr>
        <w:t>The needs assessment</w:t>
      </w:r>
      <w:r w:rsidR="00AD6101" w:rsidRPr="005A56CE">
        <w:rPr>
          <w:rFonts w:cs="Arial"/>
          <w:szCs w:val="24"/>
        </w:rPr>
        <w:t xml:space="preserve"> covers</w:t>
      </w:r>
      <w:r w:rsidR="00F612E1" w:rsidRPr="005A56CE">
        <w:rPr>
          <w:rFonts w:cs="Arial"/>
          <w:szCs w:val="24"/>
        </w:rPr>
        <w:t>:</w:t>
      </w:r>
    </w:p>
    <w:p w14:paraId="00B54EE2" w14:textId="77777777" w:rsidR="00A95257" w:rsidRDefault="001428F8" w:rsidP="00D9246A">
      <w:pPr>
        <w:pStyle w:val="ListParagraph"/>
        <w:numPr>
          <w:ilvl w:val="0"/>
          <w:numId w:val="11"/>
        </w:numPr>
        <w:spacing w:line="240" w:lineRule="auto"/>
        <w:ind w:left="357" w:hanging="357"/>
        <w:contextualSpacing w:val="0"/>
        <w:rPr>
          <w:rFonts w:cs="Arial"/>
          <w:szCs w:val="24"/>
        </w:rPr>
      </w:pPr>
      <w:r w:rsidRPr="005A56CE">
        <w:rPr>
          <w:rFonts w:cs="Arial"/>
          <w:szCs w:val="24"/>
        </w:rPr>
        <w:t xml:space="preserve">A </w:t>
      </w:r>
      <w:r w:rsidR="000B40B8" w:rsidRPr="005A56CE">
        <w:rPr>
          <w:rFonts w:cs="Arial"/>
          <w:szCs w:val="24"/>
        </w:rPr>
        <w:t>review</w:t>
      </w:r>
      <w:r w:rsidRPr="005A56CE">
        <w:rPr>
          <w:rFonts w:cs="Arial"/>
          <w:szCs w:val="24"/>
        </w:rPr>
        <w:t xml:space="preserve"> of the national and local context – policy and guidance</w:t>
      </w:r>
      <w:r w:rsidR="00A95257" w:rsidRPr="00A95257">
        <w:rPr>
          <w:rFonts w:cs="Arial"/>
          <w:szCs w:val="24"/>
        </w:rPr>
        <w:t xml:space="preserve"> </w:t>
      </w:r>
    </w:p>
    <w:p w14:paraId="0CE14DE3" w14:textId="3D8DEAC4" w:rsidR="00A0576F" w:rsidRDefault="006957D3" w:rsidP="00D9246A">
      <w:pPr>
        <w:pStyle w:val="ListParagraph"/>
        <w:numPr>
          <w:ilvl w:val="0"/>
          <w:numId w:val="11"/>
        </w:numPr>
        <w:spacing w:line="240" w:lineRule="auto"/>
        <w:ind w:left="357" w:hanging="357"/>
        <w:contextualSpacing w:val="0"/>
        <w:rPr>
          <w:rFonts w:cs="Arial"/>
          <w:szCs w:val="24"/>
        </w:rPr>
      </w:pPr>
      <w:r>
        <w:rPr>
          <w:rFonts w:cs="Arial"/>
          <w:szCs w:val="24"/>
        </w:rPr>
        <w:t>S</w:t>
      </w:r>
      <w:r w:rsidR="00A95257">
        <w:rPr>
          <w:rFonts w:cs="Arial"/>
          <w:szCs w:val="24"/>
        </w:rPr>
        <w:t>ervice provision: a</w:t>
      </w:r>
      <w:r w:rsidR="00A95257" w:rsidRPr="005A56CE">
        <w:rPr>
          <w:rFonts w:cs="Arial"/>
          <w:szCs w:val="24"/>
        </w:rPr>
        <w:t xml:space="preserve"> review of services and </w:t>
      </w:r>
      <w:r w:rsidR="00A95257">
        <w:rPr>
          <w:rFonts w:cs="Arial"/>
          <w:szCs w:val="24"/>
        </w:rPr>
        <w:t xml:space="preserve">the </w:t>
      </w:r>
      <w:r w:rsidR="00A95257" w:rsidRPr="005A56CE">
        <w:rPr>
          <w:rFonts w:cs="Arial"/>
          <w:szCs w:val="24"/>
        </w:rPr>
        <w:t>local offer.</w:t>
      </w:r>
    </w:p>
    <w:p w14:paraId="5348C969" w14:textId="215C978D" w:rsidR="00180996" w:rsidRPr="00A0576F" w:rsidRDefault="0042072D" w:rsidP="00D9246A">
      <w:pPr>
        <w:pStyle w:val="ListParagraph"/>
        <w:numPr>
          <w:ilvl w:val="0"/>
          <w:numId w:val="11"/>
        </w:numPr>
        <w:spacing w:after="0" w:line="240" w:lineRule="auto"/>
        <w:ind w:left="357" w:hanging="357"/>
        <w:contextualSpacing w:val="0"/>
        <w:rPr>
          <w:rFonts w:cs="Arial"/>
          <w:szCs w:val="24"/>
        </w:rPr>
      </w:pPr>
      <w:r w:rsidRPr="00A0576F">
        <w:rPr>
          <w:rFonts w:cs="Arial"/>
          <w:szCs w:val="24"/>
        </w:rPr>
        <w:t>The level of need</w:t>
      </w:r>
      <w:r w:rsidR="00BA08A4">
        <w:rPr>
          <w:rFonts w:cs="Arial"/>
          <w:szCs w:val="24"/>
        </w:rPr>
        <w:t xml:space="preserve"> in Brighton and Hove</w:t>
      </w:r>
      <w:r w:rsidR="00376132" w:rsidRPr="00A0576F">
        <w:rPr>
          <w:rFonts w:cs="Arial"/>
          <w:szCs w:val="24"/>
        </w:rPr>
        <w:t>, including</w:t>
      </w:r>
      <w:r w:rsidR="00A0576F">
        <w:rPr>
          <w:rFonts w:cs="Arial"/>
          <w:szCs w:val="24"/>
        </w:rPr>
        <w:t>,</w:t>
      </w:r>
      <w:r w:rsidRPr="00A0576F">
        <w:rPr>
          <w:rFonts w:cs="Arial"/>
          <w:szCs w:val="24"/>
        </w:rPr>
        <w:t xml:space="preserve"> demand for services</w:t>
      </w:r>
      <w:r w:rsidR="00180996" w:rsidRPr="00A0576F">
        <w:rPr>
          <w:rFonts w:cs="Arial"/>
          <w:szCs w:val="24"/>
        </w:rPr>
        <w:t xml:space="preserve"> and educational outcomes</w:t>
      </w:r>
      <w:r w:rsidRPr="00A0576F">
        <w:rPr>
          <w:rFonts w:cs="Arial"/>
          <w:szCs w:val="24"/>
        </w:rPr>
        <w:t xml:space="preserve">. </w:t>
      </w:r>
      <w:r w:rsidR="00211B40" w:rsidRPr="00A0576F">
        <w:rPr>
          <w:rFonts w:cs="Arial"/>
          <w:szCs w:val="24"/>
        </w:rPr>
        <w:t xml:space="preserve">Where possible, outcomes in </w:t>
      </w:r>
      <w:r w:rsidR="00A305C6">
        <w:rPr>
          <w:rFonts w:cs="Arial"/>
          <w:szCs w:val="24"/>
        </w:rPr>
        <w:t>Brighton &amp; Hove</w:t>
      </w:r>
      <w:r w:rsidR="00211B40" w:rsidRPr="00A0576F">
        <w:rPr>
          <w:rFonts w:cs="Arial"/>
          <w:szCs w:val="24"/>
        </w:rPr>
        <w:t xml:space="preserve"> were compared with national and regional statistics.</w:t>
      </w:r>
      <w:r w:rsidR="00A0576F" w:rsidRPr="00A0576F">
        <w:rPr>
          <w:rFonts w:cs="Arial"/>
          <w:szCs w:val="24"/>
        </w:rPr>
        <w:t xml:space="preserve"> </w:t>
      </w:r>
      <w:r w:rsidRPr="00A0576F">
        <w:rPr>
          <w:rFonts w:cs="Arial"/>
          <w:szCs w:val="24"/>
        </w:rPr>
        <w:t>This</w:t>
      </w:r>
      <w:r w:rsidR="00180996" w:rsidRPr="00A0576F">
        <w:rPr>
          <w:rFonts w:cs="Arial"/>
          <w:szCs w:val="24"/>
        </w:rPr>
        <w:t xml:space="preserve"> section </w:t>
      </w:r>
      <w:r w:rsidR="000B40B8" w:rsidRPr="00A0576F">
        <w:rPr>
          <w:rFonts w:cs="Arial"/>
          <w:szCs w:val="24"/>
        </w:rPr>
        <w:t xml:space="preserve">draws on a </w:t>
      </w:r>
      <w:r w:rsidR="00180996" w:rsidRPr="00A0576F">
        <w:rPr>
          <w:rFonts w:cs="Arial"/>
          <w:szCs w:val="24"/>
        </w:rPr>
        <w:t>range of data sources</w:t>
      </w:r>
      <w:r w:rsidR="00A305C6">
        <w:rPr>
          <w:rFonts w:cs="Arial"/>
          <w:szCs w:val="24"/>
        </w:rPr>
        <w:t>, including</w:t>
      </w:r>
      <w:r w:rsidR="00180996" w:rsidRPr="00A0576F">
        <w:rPr>
          <w:rFonts w:cs="Arial"/>
          <w:szCs w:val="24"/>
        </w:rPr>
        <w:t>:</w:t>
      </w:r>
    </w:p>
    <w:p w14:paraId="4E4F5EFB" w14:textId="2898711F" w:rsidR="00D80540" w:rsidRPr="00236716" w:rsidRDefault="00D80540" w:rsidP="00D9246A">
      <w:pPr>
        <w:pStyle w:val="ListParagraph"/>
        <w:numPr>
          <w:ilvl w:val="1"/>
          <w:numId w:val="11"/>
        </w:numPr>
        <w:spacing w:line="240" w:lineRule="auto"/>
        <w:ind w:left="924" w:hanging="357"/>
        <w:rPr>
          <w:rFonts w:cs="Arial"/>
          <w:b/>
          <w:color w:val="0079C2"/>
          <w:szCs w:val="24"/>
        </w:rPr>
      </w:pPr>
      <w:r w:rsidRPr="00236716">
        <w:rPr>
          <w:rFonts w:cs="Arial"/>
          <w:b/>
          <w:color w:val="0079C2"/>
          <w:szCs w:val="24"/>
        </w:rPr>
        <w:t>National prevalence</w:t>
      </w:r>
      <w:r w:rsidR="007F2101">
        <w:rPr>
          <w:rFonts w:cs="Arial"/>
          <w:b/>
          <w:color w:val="0079C2"/>
          <w:szCs w:val="24"/>
        </w:rPr>
        <w:t>:</w:t>
      </w:r>
    </w:p>
    <w:p w14:paraId="018D7A70" w14:textId="789470A4" w:rsidR="00D80540" w:rsidRPr="00D80540" w:rsidRDefault="00DA025B" w:rsidP="00D9246A">
      <w:pPr>
        <w:pStyle w:val="ListParagraph"/>
        <w:numPr>
          <w:ilvl w:val="2"/>
          <w:numId w:val="11"/>
        </w:numPr>
        <w:spacing w:line="240" w:lineRule="auto"/>
        <w:ind w:left="1202" w:hanging="181"/>
      </w:pPr>
      <w:r w:rsidRPr="00D80540">
        <w:t>Family Resources Survey</w:t>
      </w:r>
      <w:r>
        <w:t>: d</w:t>
      </w:r>
      <w:r w:rsidR="00D80540" w:rsidRPr="00D80540">
        <w:t xml:space="preserve">isabled children and young people </w:t>
      </w:r>
    </w:p>
    <w:p w14:paraId="28FDF66E" w14:textId="255F98F1" w:rsidR="00D80540" w:rsidRDefault="000D039C" w:rsidP="00D9246A">
      <w:pPr>
        <w:pStyle w:val="ListParagraph"/>
        <w:numPr>
          <w:ilvl w:val="2"/>
          <w:numId w:val="11"/>
        </w:numPr>
        <w:spacing w:line="240" w:lineRule="auto"/>
        <w:ind w:left="1202" w:hanging="181"/>
        <w:rPr>
          <w:rFonts w:cs="Arial"/>
          <w:szCs w:val="24"/>
        </w:rPr>
      </w:pPr>
      <w:r w:rsidRPr="00AC2AC7">
        <w:t>Department</w:t>
      </w:r>
      <w:r w:rsidRPr="00595FE6">
        <w:rPr>
          <w:rFonts w:cs="Arial"/>
          <w:color w:val="000000" w:themeColor="text1"/>
          <w:szCs w:val="24"/>
        </w:rPr>
        <w:t xml:space="preserve"> for Education</w:t>
      </w:r>
      <w:r w:rsidR="00BE40AB">
        <w:rPr>
          <w:rFonts w:cs="Arial"/>
          <w:color w:val="000000" w:themeColor="text1"/>
          <w:szCs w:val="24"/>
        </w:rPr>
        <w:t xml:space="preserve">: </w:t>
      </w:r>
      <w:r w:rsidRPr="00595FE6">
        <w:rPr>
          <w:rFonts w:cs="Arial"/>
          <w:color w:val="000000" w:themeColor="text1"/>
          <w:szCs w:val="24"/>
        </w:rPr>
        <w:t>Special educational needs</w:t>
      </w:r>
      <w:r w:rsidR="00BE40AB">
        <w:rPr>
          <w:rFonts w:cs="Arial"/>
          <w:color w:val="000000" w:themeColor="text1"/>
          <w:szCs w:val="24"/>
        </w:rPr>
        <w:t xml:space="preserve"> </w:t>
      </w:r>
      <w:r w:rsidR="00F74FD0">
        <w:rPr>
          <w:rFonts w:cs="Arial"/>
          <w:color w:val="000000" w:themeColor="text1"/>
          <w:szCs w:val="24"/>
        </w:rPr>
        <w:t>(S</w:t>
      </w:r>
      <w:r w:rsidR="00BE40AB">
        <w:rPr>
          <w:rFonts w:cs="Arial"/>
          <w:color w:val="000000" w:themeColor="text1"/>
          <w:szCs w:val="24"/>
        </w:rPr>
        <w:t>chool census</w:t>
      </w:r>
      <w:r w:rsidR="00F55DF5">
        <w:rPr>
          <w:rFonts w:cs="Arial"/>
          <w:color w:val="000000" w:themeColor="text1"/>
          <w:szCs w:val="24"/>
        </w:rPr>
        <w:t xml:space="preserve"> data</w:t>
      </w:r>
      <w:r w:rsidR="00F74FD0">
        <w:rPr>
          <w:rFonts w:cs="Arial"/>
          <w:color w:val="000000" w:themeColor="text1"/>
          <w:szCs w:val="24"/>
        </w:rPr>
        <w:t>)</w:t>
      </w:r>
    </w:p>
    <w:p w14:paraId="14F82BFA" w14:textId="7DC6CA64" w:rsidR="00475B07" w:rsidRPr="00236716" w:rsidRDefault="00475B07" w:rsidP="00D9246A">
      <w:pPr>
        <w:pStyle w:val="ListParagraph"/>
        <w:numPr>
          <w:ilvl w:val="1"/>
          <w:numId w:val="11"/>
        </w:numPr>
        <w:spacing w:line="240" w:lineRule="auto"/>
        <w:ind w:left="924" w:hanging="357"/>
        <w:rPr>
          <w:rFonts w:cs="Arial"/>
          <w:b/>
          <w:color w:val="0079C2"/>
          <w:szCs w:val="24"/>
        </w:rPr>
      </w:pPr>
      <w:r w:rsidRPr="00236716">
        <w:rPr>
          <w:rFonts w:cs="Arial"/>
          <w:b/>
          <w:color w:val="0079C2"/>
          <w:szCs w:val="24"/>
        </w:rPr>
        <w:t>Local prevalence:</w:t>
      </w:r>
    </w:p>
    <w:p w14:paraId="55DA2994" w14:textId="324714FC" w:rsidR="006C54AA" w:rsidRPr="00AC2AC7" w:rsidRDefault="00F326A8" w:rsidP="00D9246A">
      <w:pPr>
        <w:pStyle w:val="ListParagraph"/>
        <w:numPr>
          <w:ilvl w:val="2"/>
          <w:numId w:val="11"/>
        </w:numPr>
        <w:spacing w:line="240" w:lineRule="auto"/>
        <w:ind w:left="1202" w:hanging="181"/>
      </w:pPr>
      <w:r w:rsidRPr="00AC2AC7">
        <w:t>School census</w:t>
      </w:r>
    </w:p>
    <w:p w14:paraId="2C342F60" w14:textId="356D692C" w:rsidR="001C2205" w:rsidRPr="00AC2AC7" w:rsidRDefault="00475B07" w:rsidP="00D9246A">
      <w:pPr>
        <w:pStyle w:val="ListParagraph"/>
        <w:numPr>
          <w:ilvl w:val="2"/>
          <w:numId w:val="11"/>
        </w:numPr>
        <w:spacing w:line="240" w:lineRule="auto"/>
        <w:ind w:left="1202" w:hanging="181"/>
      </w:pPr>
      <w:r w:rsidRPr="00AC2AC7">
        <w:t xml:space="preserve">Amaze </w:t>
      </w:r>
      <w:r w:rsidR="001C2205" w:rsidRPr="00AC2AC7">
        <w:t xml:space="preserve">Compass register data (and parent carers survey) </w:t>
      </w:r>
    </w:p>
    <w:p w14:paraId="183AF88B" w14:textId="5AF360DA" w:rsidR="000446FA" w:rsidRDefault="000446FA" w:rsidP="00D9246A">
      <w:pPr>
        <w:pStyle w:val="ListParagraph"/>
        <w:numPr>
          <w:ilvl w:val="2"/>
          <w:numId w:val="11"/>
        </w:numPr>
        <w:spacing w:line="240" w:lineRule="auto"/>
        <w:ind w:left="1202" w:hanging="181"/>
        <w:rPr>
          <w:rFonts w:cs="Arial"/>
          <w:szCs w:val="24"/>
        </w:rPr>
      </w:pPr>
      <w:r w:rsidRPr="00AC2AC7">
        <w:t>Children</w:t>
      </w:r>
      <w:r w:rsidR="000D519F" w:rsidRPr="00AC2AC7">
        <w:t xml:space="preserve"> </w:t>
      </w:r>
      <w:r w:rsidR="001165A1" w:rsidRPr="00AC2AC7">
        <w:t>social</w:t>
      </w:r>
      <w:r w:rsidR="001165A1" w:rsidRPr="005A56CE">
        <w:rPr>
          <w:rFonts w:cs="Arial"/>
          <w:szCs w:val="24"/>
        </w:rPr>
        <w:t xml:space="preserve"> care data</w:t>
      </w:r>
    </w:p>
    <w:p w14:paraId="727165C4" w14:textId="3BF19938" w:rsidR="001165A1" w:rsidRPr="00236716" w:rsidRDefault="001165A1" w:rsidP="00D9246A">
      <w:pPr>
        <w:pStyle w:val="ListParagraph"/>
        <w:numPr>
          <w:ilvl w:val="1"/>
          <w:numId w:val="11"/>
        </w:numPr>
        <w:spacing w:line="240" w:lineRule="auto"/>
        <w:ind w:left="924" w:hanging="357"/>
        <w:rPr>
          <w:rFonts w:cs="Arial"/>
          <w:b/>
          <w:color w:val="0079C2"/>
          <w:szCs w:val="24"/>
        </w:rPr>
      </w:pPr>
      <w:r w:rsidRPr="00236716">
        <w:rPr>
          <w:rFonts w:cs="Arial"/>
          <w:b/>
          <w:color w:val="0079C2"/>
          <w:szCs w:val="24"/>
        </w:rPr>
        <w:t xml:space="preserve">Local health and wellbeing surveys: </w:t>
      </w:r>
    </w:p>
    <w:p w14:paraId="58849636" w14:textId="3EC8FAC4" w:rsidR="00BB476E" w:rsidRPr="00AC2AC7" w:rsidRDefault="00BB476E" w:rsidP="00D9246A">
      <w:pPr>
        <w:pStyle w:val="ListParagraph"/>
        <w:numPr>
          <w:ilvl w:val="2"/>
          <w:numId w:val="11"/>
        </w:numPr>
        <w:spacing w:line="240" w:lineRule="auto"/>
        <w:ind w:left="1202" w:hanging="181"/>
      </w:pPr>
      <w:r w:rsidRPr="005A56CE">
        <w:rPr>
          <w:rFonts w:cs="Arial"/>
          <w:szCs w:val="24"/>
        </w:rPr>
        <w:t>S</w:t>
      </w:r>
      <w:r w:rsidR="0062285C">
        <w:rPr>
          <w:rFonts w:cs="Arial"/>
          <w:szCs w:val="24"/>
        </w:rPr>
        <w:t xml:space="preserve">afe </w:t>
      </w:r>
      <w:r w:rsidRPr="00AC2AC7">
        <w:t>A</w:t>
      </w:r>
      <w:r w:rsidR="0062285C" w:rsidRPr="00AC2AC7">
        <w:t xml:space="preserve">nd </w:t>
      </w:r>
      <w:r w:rsidRPr="00AC2AC7">
        <w:t>W</w:t>
      </w:r>
      <w:r w:rsidR="0062285C" w:rsidRPr="00AC2AC7">
        <w:t xml:space="preserve">ell at </w:t>
      </w:r>
      <w:r w:rsidRPr="00AC2AC7">
        <w:t>S</w:t>
      </w:r>
      <w:r w:rsidR="0062285C" w:rsidRPr="00AC2AC7">
        <w:t xml:space="preserve">chool </w:t>
      </w:r>
      <w:r w:rsidRPr="00AC2AC7">
        <w:t>S</w:t>
      </w:r>
      <w:r w:rsidR="0062285C" w:rsidRPr="00AC2AC7">
        <w:t>urvey</w:t>
      </w:r>
    </w:p>
    <w:p w14:paraId="4742F928" w14:textId="30228EC3" w:rsidR="003135D3" w:rsidRPr="003135D3" w:rsidRDefault="00BB476E" w:rsidP="00D9246A">
      <w:pPr>
        <w:pStyle w:val="ListParagraph"/>
        <w:numPr>
          <w:ilvl w:val="2"/>
          <w:numId w:val="11"/>
        </w:numPr>
        <w:spacing w:line="240" w:lineRule="auto"/>
        <w:ind w:left="1202" w:hanging="181"/>
        <w:rPr>
          <w:rFonts w:cs="Arial"/>
          <w:szCs w:val="24"/>
        </w:rPr>
      </w:pPr>
      <w:r w:rsidRPr="00AC2AC7">
        <w:t>Health</w:t>
      </w:r>
      <w:r w:rsidRPr="005A56CE">
        <w:rPr>
          <w:rFonts w:cs="Arial"/>
          <w:szCs w:val="24"/>
        </w:rPr>
        <w:t xml:space="preserve"> Counts</w:t>
      </w:r>
      <w:r w:rsidR="0062285C">
        <w:rPr>
          <w:rFonts w:cs="Arial"/>
          <w:szCs w:val="24"/>
        </w:rPr>
        <w:t xml:space="preserve"> surve</w:t>
      </w:r>
      <w:r w:rsidR="00713BC8">
        <w:rPr>
          <w:rFonts w:cs="Arial"/>
          <w:szCs w:val="24"/>
        </w:rPr>
        <w:t>y</w:t>
      </w:r>
    </w:p>
    <w:p w14:paraId="15BF6D3B" w14:textId="4FC69F20" w:rsidR="001165A1" w:rsidRPr="00236716" w:rsidRDefault="001165A1" w:rsidP="00D9246A">
      <w:pPr>
        <w:pStyle w:val="ListParagraph"/>
        <w:numPr>
          <w:ilvl w:val="1"/>
          <w:numId w:val="11"/>
        </w:numPr>
        <w:spacing w:line="240" w:lineRule="auto"/>
        <w:ind w:left="924" w:hanging="357"/>
        <w:rPr>
          <w:rFonts w:cs="Arial"/>
          <w:b/>
          <w:color w:val="0079C2"/>
          <w:szCs w:val="24"/>
        </w:rPr>
      </w:pPr>
      <w:r w:rsidRPr="00236716">
        <w:rPr>
          <w:rFonts w:cs="Arial"/>
          <w:b/>
          <w:color w:val="0079C2"/>
          <w:szCs w:val="24"/>
        </w:rPr>
        <w:t>Local services and future demand</w:t>
      </w:r>
    </w:p>
    <w:p w14:paraId="73EE3C9A" w14:textId="2EBA2BEF" w:rsidR="00713BC8" w:rsidRDefault="007D19A8" w:rsidP="00D9246A">
      <w:pPr>
        <w:pStyle w:val="ListParagraph"/>
        <w:numPr>
          <w:ilvl w:val="2"/>
          <w:numId w:val="11"/>
        </w:numPr>
        <w:spacing w:line="240" w:lineRule="auto"/>
        <w:ind w:left="1202" w:hanging="181"/>
        <w:rPr>
          <w:rFonts w:cs="Arial"/>
          <w:szCs w:val="24"/>
        </w:rPr>
      </w:pPr>
      <w:r w:rsidRPr="00AC2AC7">
        <w:t xml:space="preserve">NHS </w:t>
      </w:r>
      <w:r>
        <w:rPr>
          <w:rFonts w:cs="Arial"/>
          <w:szCs w:val="24"/>
        </w:rPr>
        <w:t xml:space="preserve">England </w:t>
      </w:r>
      <w:r w:rsidR="00F068F6">
        <w:rPr>
          <w:rFonts w:cs="Arial"/>
          <w:szCs w:val="24"/>
        </w:rPr>
        <w:t>autism</w:t>
      </w:r>
      <w:r w:rsidR="006C3E32">
        <w:rPr>
          <w:rFonts w:cs="Arial"/>
          <w:szCs w:val="24"/>
        </w:rPr>
        <w:t xml:space="preserve"> </w:t>
      </w:r>
      <w:r w:rsidR="00275C9E">
        <w:rPr>
          <w:rFonts w:cs="Arial"/>
          <w:szCs w:val="24"/>
        </w:rPr>
        <w:t xml:space="preserve">referral </w:t>
      </w:r>
      <w:r w:rsidR="00F068F6">
        <w:rPr>
          <w:rFonts w:cs="Arial"/>
          <w:szCs w:val="24"/>
        </w:rPr>
        <w:t xml:space="preserve">waiting times </w:t>
      </w:r>
      <w:r w:rsidR="00EA51DB">
        <w:rPr>
          <w:rFonts w:cs="Arial"/>
          <w:szCs w:val="24"/>
        </w:rPr>
        <w:t>(experimental</w:t>
      </w:r>
      <w:r w:rsidR="00D464C4" w:rsidRPr="00D464C4">
        <w:rPr>
          <w:rFonts w:cs="Arial"/>
          <w:szCs w:val="24"/>
        </w:rPr>
        <w:t xml:space="preserve"> </w:t>
      </w:r>
      <w:r w:rsidR="00D464C4">
        <w:rPr>
          <w:rFonts w:cs="Arial"/>
          <w:szCs w:val="24"/>
        </w:rPr>
        <w:t>statistics</w:t>
      </w:r>
      <w:r w:rsidR="00EA51DB">
        <w:rPr>
          <w:rFonts w:cs="Arial"/>
          <w:szCs w:val="24"/>
        </w:rPr>
        <w:t>)</w:t>
      </w:r>
    </w:p>
    <w:p w14:paraId="7DF38F31" w14:textId="24FFC270" w:rsidR="00EA51DB" w:rsidRPr="002B610A" w:rsidRDefault="000B5BD8" w:rsidP="00D9246A">
      <w:pPr>
        <w:pStyle w:val="ListParagraph"/>
        <w:numPr>
          <w:ilvl w:val="2"/>
          <w:numId w:val="11"/>
        </w:numPr>
        <w:spacing w:line="240" w:lineRule="auto"/>
        <w:ind w:left="1202" w:hanging="181"/>
        <w:rPr>
          <w:rFonts w:cs="Arial"/>
          <w:bCs/>
          <w:szCs w:val="24"/>
        </w:rPr>
      </w:pPr>
      <w:r>
        <w:rPr>
          <w:rFonts w:cs="Arial"/>
          <w:szCs w:val="24"/>
        </w:rPr>
        <w:t>Pan-Sus</w:t>
      </w:r>
      <w:r w:rsidRPr="00AC2AC7">
        <w:t xml:space="preserve">sex dashboard </w:t>
      </w:r>
      <w:r w:rsidR="00AE195B" w:rsidRPr="00AC2AC7">
        <w:t>n</w:t>
      </w:r>
      <w:r w:rsidR="002B610A" w:rsidRPr="00AC2AC7">
        <w:t>eurodevelopmental assessment (autism and ADHD</w:t>
      </w:r>
      <w:r w:rsidR="002B610A" w:rsidRPr="002B610A">
        <w:rPr>
          <w:rFonts w:cs="Arial"/>
          <w:bCs/>
          <w:szCs w:val="24"/>
        </w:rPr>
        <w:t>)</w:t>
      </w:r>
    </w:p>
    <w:p w14:paraId="64F10159" w14:textId="5DA0F94F" w:rsidR="005C59EF" w:rsidRDefault="008F2899" w:rsidP="00D9246A">
      <w:pPr>
        <w:pStyle w:val="ListParagraph"/>
        <w:numPr>
          <w:ilvl w:val="1"/>
          <w:numId w:val="11"/>
        </w:numPr>
        <w:spacing w:line="240" w:lineRule="auto"/>
        <w:ind w:left="924" w:hanging="357"/>
        <w:rPr>
          <w:rFonts w:cs="Arial"/>
          <w:szCs w:val="24"/>
        </w:rPr>
      </w:pPr>
      <w:r w:rsidRPr="00236716">
        <w:rPr>
          <w:rFonts w:cs="Arial"/>
          <w:b/>
          <w:color w:val="0079C2"/>
          <w:szCs w:val="24"/>
        </w:rPr>
        <w:t>E</w:t>
      </w:r>
      <w:r w:rsidR="00EF1ACD" w:rsidRPr="00236716">
        <w:rPr>
          <w:rFonts w:cs="Arial"/>
          <w:b/>
          <w:color w:val="0079C2"/>
          <w:szCs w:val="24"/>
        </w:rPr>
        <w:t>ducational</w:t>
      </w:r>
      <w:r w:rsidR="00BB476E" w:rsidRPr="00236716">
        <w:rPr>
          <w:rFonts w:cs="Arial"/>
          <w:b/>
          <w:color w:val="0079C2"/>
          <w:szCs w:val="24"/>
        </w:rPr>
        <w:t xml:space="preserve"> outcomes</w:t>
      </w:r>
      <w:r w:rsidR="00BB476E" w:rsidRPr="00BA7CD8">
        <w:rPr>
          <w:rFonts w:cs="Arial"/>
          <w:szCs w:val="24"/>
        </w:rPr>
        <w:t xml:space="preserve">  </w:t>
      </w:r>
    </w:p>
    <w:p w14:paraId="5B4965E2" w14:textId="77777777" w:rsidR="000C7533" w:rsidRPr="00AC2AC7" w:rsidRDefault="00FC4D64" w:rsidP="00D9246A">
      <w:pPr>
        <w:pStyle w:val="ListParagraph"/>
        <w:numPr>
          <w:ilvl w:val="2"/>
          <w:numId w:val="11"/>
        </w:numPr>
        <w:spacing w:line="240" w:lineRule="auto"/>
        <w:ind w:left="1202" w:hanging="181"/>
      </w:pPr>
      <w:r w:rsidRPr="00AC2AC7">
        <w:t xml:space="preserve">Department of Education: attainment, </w:t>
      </w:r>
      <w:r w:rsidR="008B6610" w:rsidRPr="00AC2AC7">
        <w:t>attendance</w:t>
      </w:r>
      <w:r w:rsidR="00F57A9D" w:rsidRPr="00AC2AC7">
        <w:t>,</w:t>
      </w:r>
      <w:r w:rsidR="008B6610" w:rsidRPr="00AC2AC7">
        <w:t xml:space="preserve"> suspension</w:t>
      </w:r>
      <w:r w:rsidR="000C7533" w:rsidRPr="00AC2AC7">
        <w:t>s and</w:t>
      </w:r>
      <w:r w:rsidR="008B6610" w:rsidRPr="00AC2AC7">
        <w:t xml:space="preserve"> transitions</w:t>
      </w:r>
    </w:p>
    <w:p w14:paraId="183C2660" w14:textId="31A2F311" w:rsidR="001D100A" w:rsidRPr="00E5128E" w:rsidRDefault="00AC2AC7" w:rsidP="00D9246A">
      <w:pPr>
        <w:pStyle w:val="ListParagraph"/>
        <w:numPr>
          <w:ilvl w:val="2"/>
          <w:numId w:val="11"/>
        </w:numPr>
        <w:spacing w:line="240" w:lineRule="auto"/>
        <w:ind w:left="1202" w:hanging="181"/>
        <w:rPr>
          <w:rFonts w:cs="Arial"/>
          <w:szCs w:val="24"/>
        </w:rPr>
      </w:pPr>
      <w:r>
        <w:t>Brighton &amp; Hove City</w:t>
      </w:r>
      <w:r w:rsidR="000C7533">
        <w:rPr>
          <w:rFonts w:cs="Arial"/>
          <w:szCs w:val="24"/>
        </w:rPr>
        <w:t xml:space="preserve"> Council: reduced time</w:t>
      </w:r>
      <w:r w:rsidR="005377B3">
        <w:rPr>
          <w:rFonts w:cs="Arial"/>
          <w:szCs w:val="24"/>
        </w:rPr>
        <w:t>tables, electively home educated, medical needs tuition list</w:t>
      </w:r>
    </w:p>
    <w:p w14:paraId="15EFF7F5" w14:textId="6E00E0CF" w:rsidR="00FF3D55" w:rsidRDefault="00AF7CA2" w:rsidP="00D9246A">
      <w:pPr>
        <w:pStyle w:val="ListParagraph"/>
        <w:spacing w:line="240" w:lineRule="auto"/>
        <w:ind w:left="357"/>
        <w:contextualSpacing w:val="0"/>
      </w:pPr>
      <w:r w:rsidRPr="00FF3D55">
        <w:rPr>
          <w:rFonts w:cs="Arial"/>
          <w:szCs w:val="24"/>
        </w:rPr>
        <w:t>A list</w:t>
      </w:r>
      <w:r w:rsidR="00EF5024" w:rsidRPr="00FF3D55">
        <w:rPr>
          <w:rFonts w:cs="Arial"/>
          <w:szCs w:val="24"/>
        </w:rPr>
        <w:t xml:space="preserve"> of</w:t>
      </w:r>
      <w:r w:rsidRPr="00FF3D55">
        <w:rPr>
          <w:rFonts w:cs="Arial"/>
          <w:szCs w:val="24"/>
        </w:rPr>
        <w:t xml:space="preserve"> </w:t>
      </w:r>
      <w:r w:rsidR="000C4273" w:rsidRPr="00FF3D55">
        <w:rPr>
          <w:rFonts w:cs="Arial"/>
          <w:szCs w:val="24"/>
        </w:rPr>
        <w:t xml:space="preserve">all </w:t>
      </w:r>
      <w:r w:rsidR="00230961" w:rsidRPr="008C4D14">
        <w:t>datasets</w:t>
      </w:r>
      <w:r w:rsidR="0060750B">
        <w:t xml:space="preserve"> used</w:t>
      </w:r>
      <w:r w:rsidR="005A498A">
        <w:t xml:space="preserve">, </w:t>
      </w:r>
      <w:r w:rsidR="003E6355">
        <w:t>and date analysed</w:t>
      </w:r>
      <w:r w:rsidR="0062285C">
        <w:t>,</w:t>
      </w:r>
      <w:r w:rsidR="0060750B">
        <w:t xml:space="preserve"> </w:t>
      </w:r>
      <w:r w:rsidR="00D87A75">
        <w:t xml:space="preserve">is provided </w:t>
      </w:r>
      <w:r w:rsidR="00E63FBC">
        <w:t xml:space="preserve">in </w:t>
      </w:r>
      <w:r w:rsidR="00E63FBC" w:rsidRPr="00831B2E">
        <w:t xml:space="preserve">Appendix </w:t>
      </w:r>
      <w:r w:rsidR="00CB511F" w:rsidRPr="00831B2E">
        <w:t>2</w:t>
      </w:r>
      <w:r w:rsidR="00136CA9">
        <w:t>.</w:t>
      </w:r>
    </w:p>
    <w:p w14:paraId="0B519E1B" w14:textId="46444D14" w:rsidR="0037532D" w:rsidRPr="00211B40" w:rsidRDefault="00630871" w:rsidP="00D9246A">
      <w:pPr>
        <w:pStyle w:val="ListParagraph"/>
        <w:numPr>
          <w:ilvl w:val="0"/>
          <w:numId w:val="11"/>
        </w:numPr>
        <w:spacing w:line="240" w:lineRule="auto"/>
        <w:ind w:left="357" w:hanging="357"/>
        <w:contextualSpacing w:val="0"/>
        <w:rPr>
          <w:rFonts w:cs="Arial"/>
          <w:szCs w:val="24"/>
        </w:rPr>
      </w:pPr>
      <w:r w:rsidRPr="005A56CE">
        <w:rPr>
          <w:rFonts w:cs="Arial"/>
          <w:szCs w:val="24"/>
        </w:rPr>
        <w:t xml:space="preserve">National evidence reviews </w:t>
      </w:r>
      <w:r w:rsidR="00D5340C" w:rsidRPr="005A56CE">
        <w:rPr>
          <w:rFonts w:cs="Arial"/>
          <w:szCs w:val="24"/>
        </w:rPr>
        <w:t>on intersectionality</w:t>
      </w:r>
      <w:r w:rsidR="007C7B1D">
        <w:rPr>
          <w:rFonts w:cs="Arial"/>
          <w:szCs w:val="24"/>
        </w:rPr>
        <w:t>: exploring</w:t>
      </w:r>
      <w:r w:rsidR="000018E4" w:rsidRPr="005A56CE">
        <w:rPr>
          <w:rFonts w:cs="Arial"/>
          <w:szCs w:val="24"/>
        </w:rPr>
        <w:t xml:space="preserve"> </w:t>
      </w:r>
      <w:r w:rsidR="00F55915" w:rsidRPr="005A56CE">
        <w:rPr>
          <w:rFonts w:cs="Arial"/>
          <w:szCs w:val="24"/>
        </w:rPr>
        <w:t xml:space="preserve">how </w:t>
      </w:r>
      <w:r w:rsidR="00982A76" w:rsidRPr="005A56CE">
        <w:rPr>
          <w:rFonts w:cs="Arial"/>
          <w:szCs w:val="24"/>
        </w:rPr>
        <w:t xml:space="preserve">experiences are shaped when </w:t>
      </w:r>
      <w:r w:rsidR="00AE1053" w:rsidRPr="005A56CE">
        <w:rPr>
          <w:rFonts w:cs="Arial"/>
          <w:szCs w:val="24"/>
        </w:rPr>
        <w:t>SEN</w:t>
      </w:r>
      <w:r w:rsidR="00AE1053">
        <w:rPr>
          <w:rFonts w:cs="Arial"/>
          <w:szCs w:val="24"/>
        </w:rPr>
        <w:t>D</w:t>
      </w:r>
      <w:r w:rsidR="00AE1053" w:rsidRPr="005A56CE">
        <w:rPr>
          <w:rFonts w:cs="Arial"/>
          <w:szCs w:val="24"/>
        </w:rPr>
        <w:t xml:space="preserve"> </w:t>
      </w:r>
      <w:r w:rsidR="00982A76" w:rsidRPr="005A56CE">
        <w:rPr>
          <w:rFonts w:cs="Arial"/>
          <w:szCs w:val="24"/>
        </w:rPr>
        <w:t xml:space="preserve">children and young people also belong to </w:t>
      </w:r>
      <w:r w:rsidR="002B19F5" w:rsidRPr="005A56CE">
        <w:rPr>
          <w:rFonts w:cs="Arial"/>
          <w:szCs w:val="24"/>
        </w:rPr>
        <w:t xml:space="preserve">protected or vulnerable groups. The </w:t>
      </w:r>
      <w:r w:rsidR="00F55915" w:rsidRPr="005A56CE">
        <w:t>intersecting factors</w:t>
      </w:r>
      <w:r w:rsidR="002B19F5" w:rsidRPr="005A56CE">
        <w:t xml:space="preserve"> considered </w:t>
      </w:r>
      <w:r w:rsidR="00192353" w:rsidRPr="005A56CE">
        <w:t>were</w:t>
      </w:r>
      <w:r w:rsidR="00192353">
        <w:t xml:space="preserve"> </w:t>
      </w:r>
      <w:r w:rsidR="00F55915" w:rsidRPr="005A56CE">
        <w:t>ethnicity, socio-economic disadvantage, experience of care, gender identity and sexual orientation</w:t>
      </w:r>
      <w:r w:rsidR="007B13BE" w:rsidRPr="005A56CE">
        <w:t>.</w:t>
      </w:r>
    </w:p>
    <w:p w14:paraId="7CC4E3B6" w14:textId="7DA0313E" w:rsidR="00F41A94" w:rsidRPr="00342CDA" w:rsidRDefault="009E0C3B" w:rsidP="00D9246A">
      <w:pPr>
        <w:pStyle w:val="ListParagraph"/>
        <w:numPr>
          <w:ilvl w:val="0"/>
          <w:numId w:val="11"/>
        </w:numPr>
        <w:spacing w:line="240" w:lineRule="auto"/>
        <w:ind w:left="357" w:hanging="357"/>
        <w:contextualSpacing w:val="0"/>
        <w:rPr>
          <w:rFonts w:cs="Arial"/>
          <w:szCs w:val="24"/>
        </w:rPr>
      </w:pPr>
      <w:r w:rsidRPr="005A56CE">
        <w:rPr>
          <w:rFonts w:cs="Arial"/>
          <w:szCs w:val="24"/>
        </w:rPr>
        <w:t>Parent</w:t>
      </w:r>
      <w:r w:rsidR="00757E7D">
        <w:rPr>
          <w:rFonts w:cs="Arial"/>
          <w:szCs w:val="24"/>
        </w:rPr>
        <w:t xml:space="preserve"> </w:t>
      </w:r>
      <w:r w:rsidRPr="005A56CE">
        <w:rPr>
          <w:rFonts w:cs="Arial"/>
          <w:szCs w:val="24"/>
        </w:rPr>
        <w:t>carer voice</w:t>
      </w:r>
      <w:r w:rsidR="007C7B1D">
        <w:rPr>
          <w:rFonts w:cs="Arial"/>
          <w:szCs w:val="24"/>
        </w:rPr>
        <w:t>: a</w:t>
      </w:r>
      <w:r w:rsidRPr="005A56CE">
        <w:rPr>
          <w:rFonts w:cs="Arial"/>
          <w:szCs w:val="24"/>
        </w:rPr>
        <w:t xml:space="preserve"> summary</w:t>
      </w:r>
      <w:r w:rsidR="00630871" w:rsidRPr="005A56CE">
        <w:rPr>
          <w:rFonts w:cs="Arial"/>
          <w:szCs w:val="24"/>
        </w:rPr>
        <w:t xml:space="preserve"> of </w:t>
      </w:r>
      <w:r w:rsidR="0052473D" w:rsidRPr="005A56CE">
        <w:rPr>
          <w:rFonts w:cs="Arial"/>
          <w:szCs w:val="24"/>
        </w:rPr>
        <w:t xml:space="preserve">feedback </w:t>
      </w:r>
      <w:r w:rsidR="006C082F" w:rsidRPr="005A56CE">
        <w:rPr>
          <w:rFonts w:cs="Arial"/>
          <w:szCs w:val="24"/>
        </w:rPr>
        <w:t>from parents and carer</w:t>
      </w:r>
      <w:r w:rsidR="00F41A94" w:rsidRPr="005A56CE">
        <w:rPr>
          <w:rFonts w:cs="Arial"/>
          <w:szCs w:val="24"/>
        </w:rPr>
        <w:t>s</w:t>
      </w:r>
      <w:r w:rsidR="00392DFE" w:rsidRPr="005A56CE">
        <w:rPr>
          <w:rFonts w:cs="Arial"/>
          <w:szCs w:val="24"/>
        </w:rPr>
        <w:t xml:space="preserve"> available in</w:t>
      </w:r>
      <w:r w:rsidR="006C082F" w:rsidRPr="005A56CE">
        <w:rPr>
          <w:rFonts w:cs="Arial"/>
          <w:szCs w:val="24"/>
        </w:rPr>
        <w:t xml:space="preserve"> </w:t>
      </w:r>
      <w:r w:rsidR="0052473D" w:rsidRPr="005A56CE">
        <w:rPr>
          <w:rFonts w:cs="Arial"/>
          <w:szCs w:val="24"/>
        </w:rPr>
        <w:t>existing local report</w:t>
      </w:r>
      <w:r w:rsidR="006C082F" w:rsidRPr="005A56CE">
        <w:rPr>
          <w:rFonts w:cs="Arial"/>
          <w:szCs w:val="24"/>
        </w:rPr>
        <w:t xml:space="preserve">s </w:t>
      </w:r>
      <w:r w:rsidR="00487F69">
        <w:rPr>
          <w:rFonts w:cs="Arial"/>
          <w:szCs w:val="24"/>
        </w:rPr>
        <w:t xml:space="preserve">between </w:t>
      </w:r>
      <w:r w:rsidRPr="005A56CE">
        <w:rPr>
          <w:rFonts w:cs="Arial"/>
          <w:szCs w:val="24"/>
        </w:rPr>
        <w:t xml:space="preserve">2020 </w:t>
      </w:r>
      <w:r w:rsidR="00487F69">
        <w:rPr>
          <w:rFonts w:cs="Arial"/>
          <w:szCs w:val="24"/>
        </w:rPr>
        <w:t>and</w:t>
      </w:r>
      <w:r w:rsidRPr="005A56CE">
        <w:rPr>
          <w:rFonts w:cs="Arial"/>
          <w:szCs w:val="24"/>
        </w:rPr>
        <w:t xml:space="preserve"> 2024</w:t>
      </w:r>
      <w:r w:rsidR="00F41A94" w:rsidRPr="005A56CE">
        <w:rPr>
          <w:rFonts w:cs="Arial"/>
          <w:szCs w:val="24"/>
        </w:rPr>
        <w:t xml:space="preserve">. The summary considered what is working well, barriers and challenges and what </w:t>
      </w:r>
      <w:r w:rsidR="00DD5B32" w:rsidRPr="005A56CE">
        <w:rPr>
          <w:rFonts w:cs="Arial"/>
          <w:szCs w:val="24"/>
        </w:rPr>
        <w:t>can be improved</w:t>
      </w:r>
      <w:r w:rsidR="00F41A94" w:rsidRPr="005A56CE">
        <w:rPr>
          <w:rFonts w:cs="Arial"/>
          <w:szCs w:val="24"/>
        </w:rPr>
        <w:t xml:space="preserve">. </w:t>
      </w:r>
    </w:p>
    <w:p w14:paraId="3BFD3884" w14:textId="608C60CD" w:rsidR="00630871" w:rsidRPr="00A549C1" w:rsidRDefault="00EA71EE" w:rsidP="00D9246A">
      <w:pPr>
        <w:spacing w:line="240" w:lineRule="auto"/>
        <w:rPr>
          <w:rFonts w:cs="Arial"/>
          <w:b/>
          <w:color w:val="0079C2"/>
        </w:rPr>
      </w:pPr>
      <w:r w:rsidRPr="00A549C1">
        <w:rPr>
          <w:rFonts w:cs="Arial"/>
          <w:b/>
          <w:color w:val="0079C2"/>
        </w:rPr>
        <w:t>Outside of scope</w:t>
      </w:r>
    </w:p>
    <w:p w14:paraId="258294C0" w14:textId="326F6E9B" w:rsidR="00630871" w:rsidRPr="00D00756" w:rsidRDefault="00630871" w:rsidP="00D9246A">
      <w:pPr>
        <w:pStyle w:val="ListParagraph"/>
        <w:numPr>
          <w:ilvl w:val="0"/>
          <w:numId w:val="1"/>
        </w:numPr>
        <w:spacing w:line="240" w:lineRule="auto"/>
        <w:ind w:left="357" w:hanging="357"/>
        <w:contextualSpacing w:val="0"/>
        <w:rPr>
          <w:rFonts w:eastAsia="Arial" w:cs="Arial"/>
          <w:bCs/>
          <w:szCs w:val="24"/>
        </w:rPr>
      </w:pPr>
      <w:r w:rsidRPr="00D00756">
        <w:rPr>
          <w:rFonts w:eastAsia="Arial" w:cs="Arial"/>
          <w:bCs/>
          <w:szCs w:val="24"/>
        </w:rPr>
        <w:t>Cost effectiveness</w:t>
      </w:r>
      <w:r w:rsidR="00EA71EE">
        <w:rPr>
          <w:rFonts w:eastAsia="Arial" w:cs="Arial"/>
          <w:bCs/>
          <w:szCs w:val="24"/>
        </w:rPr>
        <w:t xml:space="preserve"> review</w:t>
      </w:r>
    </w:p>
    <w:p w14:paraId="004E0392" w14:textId="2A33EB5A" w:rsidR="00112830" w:rsidRDefault="00470FBE" w:rsidP="00D9246A">
      <w:pPr>
        <w:pStyle w:val="ListParagraph"/>
        <w:numPr>
          <w:ilvl w:val="0"/>
          <w:numId w:val="1"/>
        </w:numPr>
        <w:spacing w:line="240" w:lineRule="auto"/>
        <w:ind w:left="357" w:hanging="357"/>
        <w:contextualSpacing w:val="0"/>
        <w:rPr>
          <w:kern w:val="28"/>
          <w:lang w:eastAsia="en-GB"/>
        </w:rPr>
      </w:pPr>
      <w:r w:rsidRPr="00470FBE">
        <w:rPr>
          <w:rFonts w:eastAsia="Arial" w:cs="Arial"/>
          <w:bCs/>
          <w:szCs w:val="24"/>
        </w:rPr>
        <w:t xml:space="preserve">Literature </w:t>
      </w:r>
      <w:r w:rsidR="00630871" w:rsidRPr="00470FBE">
        <w:rPr>
          <w:rFonts w:eastAsia="Arial" w:cs="Arial"/>
          <w:bCs/>
          <w:szCs w:val="24"/>
        </w:rPr>
        <w:t>review of effective interventions</w:t>
      </w:r>
      <w:bookmarkStart w:id="93" w:name="_Toc199945368"/>
      <w:bookmarkStart w:id="94" w:name="_Toc199954315"/>
      <w:bookmarkStart w:id="95" w:name="_Toc200008281"/>
      <w:bookmarkStart w:id="96" w:name="_Toc200034818"/>
      <w:bookmarkStart w:id="97" w:name="_Toc200100754"/>
      <w:bookmarkStart w:id="98" w:name="_Toc199945369"/>
      <w:bookmarkStart w:id="99" w:name="_Toc199954316"/>
      <w:bookmarkStart w:id="100" w:name="_Toc200008282"/>
      <w:bookmarkStart w:id="101" w:name="_Toc200034819"/>
      <w:bookmarkStart w:id="102" w:name="_Toc200100755"/>
      <w:bookmarkStart w:id="103" w:name="_Toc199945370"/>
      <w:bookmarkStart w:id="104" w:name="_Toc199954317"/>
      <w:bookmarkStart w:id="105" w:name="_Toc200008283"/>
      <w:bookmarkStart w:id="106" w:name="_Toc200034820"/>
      <w:bookmarkStart w:id="107" w:name="_Toc200100756"/>
      <w:bookmarkStart w:id="108" w:name="_Toc199945371"/>
      <w:bookmarkStart w:id="109" w:name="_Toc199954318"/>
      <w:bookmarkStart w:id="110" w:name="_Toc200008284"/>
      <w:bookmarkStart w:id="111" w:name="_Toc200034821"/>
      <w:bookmarkStart w:id="112" w:name="_Toc200100757"/>
      <w:bookmarkStart w:id="113" w:name="_Toc199945372"/>
      <w:bookmarkStart w:id="114" w:name="_Toc199954319"/>
      <w:bookmarkStart w:id="115" w:name="_Toc200008285"/>
      <w:bookmarkStart w:id="116" w:name="_Toc200034822"/>
      <w:bookmarkStart w:id="117" w:name="_Toc200100758"/>
      <w:bookmarkStart w:id="118" w:name="_Toc199945373"/>
      <w:bookmarkStart w:id="119" w:name="_Toc199954320"/>
      <w:bookmarkStart w:id="120" w:name="_Toc200008286"/>
      <w:bookmarkStart w:id="121" w:name="_Toc200034823"/>
      <w:bookmarkStart w:id="122" w:name="_Toc200100759"/>
      <w:bookmarkStart w:id="123" w:name="_Toc199945374"/>
      <w:bookmarkStart w:id="124" w:name="_Toc199954321"/>
      <w:bookmarkStart w:id="125" w:name="_Toc200008287"/>
      <w:bookmarkStart w:id="126" w:name="_Toc200034824"/>
      <w:bookmarkStart w:id="127" w:name="_Toc200100760"/>
      <w:bookmarkStart w:id="128" w:name="_Toc199945375"/>
      <w:bookmarkStart w:id="129" w:name="_Toc199954322"/>
      <w:bookmarkStart w:id="130" w:name="_Toc200008288"/>
      <w:bookmarkStart w:id="131" w:name="_Toc200034825"/>
      <w:bookmarkStart w:id="132" w:name="_Toc200100761"/>
      <w:bookmarkStart w:id="133" w:name="_Toc199945376"/>
      <w:bookmarkStart w:id="134" w:name="_Toc199954323"/>
      <w:bookmarkStart w:id="135" w:name="_Toc200008289"/>
      <w:bookmarkStart w:id="136" w:name="_Toc200034826"/>
      <w:bookmarkStart w:id="137" w:name="_Toc200100762"/>
      <w:bookmarkStart w:id="138" w:name="_Toc199945377"/>
      <w:bookmarkStart w:id="139" w:name="_Toc199954324"/>
      <w:bookmarkStart w:id="140" w:name="_Toc200008290"/>
      <w:bookmarkStart w:id="141" w:name="_Toc200034827"/>
      <w:bookmarkStart w:id="142" w:name="_Toc200100763"/>
      <w:bookmarkStart w:id="143" w:name="_Toc199945378"/>
      <w:bookmarkStart w:id="144" w:name="_Toc199954325"/>
      <w:bookmarkStart w:id="145" w:name="_Toc200008291"/>
      <w:bookmarkStart w:id="146" w:name="_Toc200034828"/>
      <w:bookmarkStart w:id="147" w:name="_Toc200100764"/>
      <w:bookmarkStart w:id="148" w:name="_Toc199945379"/>
      <w:bookmarkStart w:id="149" w:name="_Toc199954326"/>
      <w:bookmarkStart w:id="150" w:name="_Toc200008292"/>
      <w:bookmarkStart w:id="151" w:name="_Toc200034829"/>
      <w:bookmarkStart w:id="152" w:name="_Toc200100765"/>
      <w:bookmarkStart w:id="153" w:name="_Toc199945380"/>
      <w:bookmarkStart w:id="154" w:name="_Toc199954327"/>
      <w:bookmarkStart w:id="155" w:name="_Toc200008293"/>
      <w:bookmarkStart w:id="156" w:name="_Toc200034830"/>
      <w:bookmarkStart w:id="157" w:name="_Toc200100766"/>
      <w:bookmarkStart w:id="158" w:name="_Toc199945381"/>
      <w:bookmarkStart w:id="159" w:name="_Toc199954328"/>
      <w:bookmarkStart w:id="160" w:name="_Toc200008294"/>
      <w:bookmarkStart w:id="161" w:name="_Toc200034831"/>
      <w:bookmarkStart w:id="162" w:name="_Toc200100767"/>
      <w:bookmarkStart w:id="163" w:name="_Toc199945382"/>
      <w:bookmarkStart w:id="164" w:name="_Toc199954329"/>
      <w:bookmarkStart w:id="165" w:name="_Toc200008295"/>
      <w:bookmarkStart w:id="166" w:name="_Toc200034832"/>
      <w:bookmarkStart w:id="167" w:name="_Toc200100768"/>
      <w:bookmarkStart w:id="168" w:name="_Toc199945383"/>
      <w:bookmarkStart w:id="169" w:name="_Toc199954330"/>
      <w:bookmarkStart w:id="170" w:name="_Toc200008296"/>
      <w:bookmarkStart w:id="171" w:name="_Toc200034833"/>
      <w:bookmarkStart w:id="172" w:name="_Toc200100769"/>
      <w:bookmarkStart w:id="173" w:name="_Toc199945384"/>
      <w:bookmarkStart w:id="174" w:name="_Toc199954331"/>
      <w:bookmarkStart w:id="175" w:name="_Toc200008297"/>
      <w:bookmarkStart w:id="176" w:name="_Toc200034834"/>
      <w:bookmarkStart w:id="177" w:name="_Toc200100770"/>
      <w:bookmarkStart w:id="178" w:name="_Toc199945385"/>
      <w:bookmarkStart w:id="179" w:name="_Toc199954332"/>
      <w:bookmarkStart w:id="180" w:name="_Toc200008298"/>
      <w:bookmarkStart w:id="181" w:name="_Toc200034835"/>
      <w:bookmarkStart w:id="182" w:name="_Toc200100771"/>
      <w:bookmarkStart w:id="183" w:name="_Toc20838478"/>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6C6584FE" w14:textId="77777777" w:rsidR="003D503D" w:rsidRDefault="003D503D" w:rsidP="00D9246A">
      <w:pPr>
        <w:spacing w:line="240" w:lineRule="auto"/>
        <w:rPr>
          <w:rFonts w:ascii="Georgia" w:eastAsia="Calibri" w:hAnsi="Georgia" w:cs="Times New Roman"/>
          <w:b/>
          <w:color w:val="086A76"/>
          <w:kern w:val="28"/>
          <w:sz w:val="36"/>
          <w:szCs w:val="36"/>
        </w:rPr>
      </w:pPr>
      <w:r>
        <w:br w:type="page"/>
      </w:r>
    </w:p>
    <w:p w14:paraId="346D4E80" w14:textId="73750C4B" w:rsidR="00ED5F9E" w:rsidRPr="00595FE6" w:rsidRDefault="00743D9F" w:rsidP="00D9246A">
      <w:pPr>
        <w:pStyle w:val="Heading1"/>
        <w:spacing w:before="0"/>
      </w:pPr>
      <w:bookmarkStart w:id="184" w:name="_Toc218690640"/>
      <w:r w:rsidRPr="00595FE6">
        <w:lastRenderedPageBreak/>
        <w:t xml:space="preserve">National </w:t>
      </w:r>
      <w:r w:rsidR="001F7D91" w:rsidRPr="00595FE6">
        <w:t xml:space="preserve">and </w:t>
      </w:r>
      <w:bookmarkEnd w:id="183"/>
      <w:r w:rsidR="00DA3EA8">
        <w:t>l</w:t>
      </w:r>
      <w:r w:rsidR="001F7D91" w:rsidRPr="00595FE6">
        <w:t xml:space="preserve">ocal </w:t>
      </w:r>
      <w:r w:rsidR="00DA3EA8">
        <w:t>c</w:t>
      </w:r>
      <w:r w:rsidRPr="00595FE6">
        <w:t>ontext</w:t>
      </w:r>
      <w:r w:rsidR="00777053" w:rsidRPr="00595FE6">
        <w:t xml:space="preserve"> (Policy &amp; </w:t>
      </w:r>
      <w:r w:rsidR="00DA3EA8">
        <w:t>g</w:t>
      </w:r>
      <w:r w:rsidR="00777053" w:rsidRPr="00595FE6">
        <w:t>uidance)</w:t>
      </w:r>
      <w:bookmarkEnd w:id="184"/>
    </w:p>
    <w:p w14:paraId="538A42C3" w14:textId="45978525" w:rsidR="00125169" w:rsidRPr="00595FE6" w:rsidRDefault="00125169" w:rsidP="00D9246A">
      <w:pPr>
        <w:spacing w:line="240" w:lineRule="auto"/>
        <w:rPr>
          <w:rFonts w:cs="Arial"/>
          <w:szCs w:val="24"/>
        </w:rPr>
      </w:pPr>
      <w:r w:rsidRPr="00595FE6">
        <w:rPr>
          <w:rFonts w:cs="Arial"/>
          <w:szCs w:val="24"/>
        </w:rPr>
        <w:t>Set the strategic context by identifying and describing relevant national guidance, and local policy in relation to S</w:t>
      </w:r>
      <w:r w:rsidR="00ED33A2">
        <w:rPr>
          <w:rFonts w:cs="Arial"/>
          <w:szCs w:val="24"/>
        </w:rPr>
        <w:t xml:space="preserve">pecial educational needs/disabilities, </w:t>
      </w:r>
      <w:r w:rsidR="007235F5">
        <w:rPr>
          <w:rFonts w:cs="Arial"/>
          <w:szCs w:val="24"/>
        </w:rPr>
        <w:t>learning disabilities and neurodiversity (SEND/LD/ND)</w:t>
      </w:r>
      <w:r w:rsidRPr="00595FE6">
        <w:rPr>
          <w:rFonts w:cs="Arial"/>
          <w:szCs w:val="24"/>
        </w:rPr>
        <w:t xml:space="preserve">.  </w:t>
      </w:r>
    </w:p>
    <w:p w14:paraId="346D4E81" w14:textId="20F20408" w:rsidR="00ED5F9E" w:rsidRPr="00595FE6" w:rsidRDefault="005B2ED0" w:rsidP="00D9246A">
      <w:pPr>
        <w:pStyle w:val="Heading2"/>
        <w:spacing w:before="0" w:after="120"/>
      </w:pPr>
      <w:r w:rsidRPr="00595FE6">
        <w:t xml:space="preserve">National </w:t>
      </w:r>
      <w:r w:rsidR="00610559">
        <w:t>c</w:t>
      </w:r>
      <w:r w:rsidRPr="00595FE6">
        <w:t>ontext</w:t>
      </w:r>
    </w:p>
    <w:p w14:paraId="0F2AB8C6" w14:textId="62FF6134" w:rsidR="00BE5539" w:rsidRPr="00595FE6" w:rsidRDefault="00BE5539" w:rsidP="0096012C">
      <w:pPr>
        <w:pStyle w:val="Heading3"/>
      </w:pPr>
      <w:r w:rsidRPr="00595FE6">
        <w:t xml:space="preserve">National legislation and statutory guidance </w:t>
      </w:r>
    </w:p>
    <w:p w14:paraId="74FF3F6B" w14:textId="77777777" w:rsidR="00BE5539" w:rsidRPr="00595FE6" w:rsidRDefault="00BE5539" w:rsidP="00D9246A">
      <w:pPr>
        <w:spacing w:line="240" w:lineRule="auto"/>
        <w:rPr>
          <w:rFonts w:cs="Arial"/>
          <w:szCs w:val="24"/>
        </w:rPr>
      </w:pPr>
      <w:r w:rsidRPr="00595FE6">
        <w:rPr>
          <w:rFonts w:cs="Arial"/>
          <w:szCs w:val="24"/>
        </w:rPr>
        <w:t xml:space="preserve">The national context for provision for children and young people with SEND, Neurodiversity and Learning Disabilities in England has evolved over the last ten years. </w:t>
      </w:r>
    </w:p>
    <w:p w14:paraId="7F30F49D" w14:textId="77777777" w:rsidR="00BE5539" w:rsidRPr="00595FE6" w:rsidRDefault="00BE5539" w:rsidP="00D9246A">
      <w:pPr>
        <w:spacing w:line="240" w:lineRule="auto"/>
        <w:rPr>
          <w:rFonts w:cs="Arial"/>
          <w:szCs w:val="24"/>
        </w:rPr>
      </w:pPr>
      <w:r w:rsidRPr="00595FE6">
        <w:rPr>
          <w:rFonts w:cs="Arial"/>
          <w:szCs w:val="24"/>
        </w:rPr>
        <w:t xml:space="preserve">The </w:t>
      </w:r>
      <w:r w:rsidRPr="00595FE6">
        <w:rPr>
          <w:rFonts w:cs="Arial"/>
          <w:b/>
          <w:bCs/>
          <w:szCs w:val="24"/>
        </w:rPr>
        <w:t>Children and Families Act (2014)</w:t>
      </w:r>
      <w:r w:rsidRPr="00595FE6">
        <w:rPr>
          <w:rFonts w:cs="Arial"/>
          <w:szCs w:val="24"/>
        </w:rPr>
        <w:t xml:space="preserve"> set out key requirements for local authorities and partner organisations to support children and young people with SEND to achieve “the best possible educational and other outcomes” (Part 3, Section 19). It placed a greater emphasis on the requirement for integrated working across education, health and social care agencies and on the joint commissioning of services, as well as the involvement of children and young people and their families in collaborative decision-making. It also introduced a range of specific reforms including the extension of SEN provision from birth to 25 years, the introduction of Education, Health and Care Plans and Personal Budgets, and the requirement for local authorities to publish comprehensive information about support services within the area (the Local Offer).</w:t>
      </w:r>
    </w:p>
    <w:p w14:paraId="142517E9" w14:textId="1266CC19" w:rsidR="00BE5539" w:rsidRPr="00595FE6" w:rsidRDefault="00BE5539" w:rsidP="00D9246A">
      <w:pPr>
        <w:spacing w:line="240" w:lineRule="auto"/>
        <w:rPr>
          <w:rFonts w:cs="Arial"/>
        </w:rPr>
      </w:pPr>
      <w:r w:rsidRPr="5C6D2BDF">
        <w:rPr>
          <w:rFonts w:cs="Arial"/>
        </w:rPr>
        <w:t xml:space="preserve">The </w:t>
      </w:r>
      <w:r w:rsidRPr="5C6D2BDF">
        <w:rPr>
          <w:rFonts w:cs="Arial"/>
          <w:b/>
        </w:rPr>
        <w:t xml:space="preserve">SEND Code of Practice </w:t>
      </w:r>
      <w:r w:rsidR="30991B13" w:rsidRPr="5D7EE37B">
        <w:rPr>
          <w:rFonts w:cs="Arial"/>
          <w:b/>
          <w:bCs/>
        </w:rPr>
        <w:t>(2015)</w:t>
      </w:r>
      <w:r w:rsidRPr="5C6D2BDF">
        <w:rPr>
          <w:rFonts w:cs="Arial"/>
        </w:rPr>
        <w:t xml:space="preserve"> supports the Children and Families Act, and provides statutory guidance to local authorities, health organisations and educational providers involved in provisions for all children and young people with special educational needs and disabilities. It sets out the principles to which local authorities must adhere when planning and commissioning services, as well as the processes for doing so.</w:t>
      </w:r>
      <w:bookmarkStart w:id="185" w:name="_Ref201152415"/>
      <w:r w:rsidRPr="5C6D2BDF">
        <w:rPr>
          <w:rStyle w:val="EndnoteReference"/>
          <w:rFonts w:cs="Arial"/>
        </w:rPr>
        <w:endnoteReference w:id="4"/>
      </w:r>
      <w:bookmarkEnd w:id="185"/>
    </w:p>
    <w:p w14:paraId="6E12F645" w14:textId="60625B98" w:rsidR="00BE5539" w:rsidRPr="00595FE6" w:rsidRDefault="00BE5539" w:rsidP="00D9246A">
      <w:pPr>
        <w:spacing w:line="240" w:lineRule="auto"/>
        <w:rPr>
          <w:rFonts w:cs="Arial"/>
        </w:rPr>
      </w:pPr>
      <w:r w:rsidRPr="434B5CE2">
        <w:rPr>
          <w:rFonts w:cs="Arial"/>
        </w:rPr>
        <w:t xml:space="preserve">Most recently, the </w:t>
      </w:r>
      <w:r w:rsidRPr="434B5CE2">
        <w:rPr>
          <w:rFonts w:cs="Arial"/>
          <w:b/>
        </w:rPr>
        <w:t xml:space="preserve">SEND Review: Right support, right place, right time (2022), </w:t>
      </w:r>
      <w:r w:rsidRPr="434B5CE2">
        <w:rPr>
          <w:rFonts w:cs="Arial"/>
        </w:rPr>
        <w:t xml:space="preserve">alongside the </w:t>
      </w:r>
      <w:r w:rsidRPr="434B5CE2">
        <w:rPr>
          <w:rFonts w:cs="Arial"/>
          <w:b/>
        </w:rPr>
        <w:t>SEND and alternative provision improvement Plan (2023)</w:t>
      </w:r>
      <w:r w:rsidRPr="434B5CE2">
        <w:rPr>
          <w:rFonts w:cs="Arial"/>
        </w:rPr>
        <w:t xml:space="preserve"> identified key challenges and proposed additional reforms to SEND and alternative provision. These include standardising SEND provision across regions, supported by new local SEND partnerships, as well as updating </w:t>
      </w:r>
      <w:r w:rsidR="001572D3" w:rsidRPr="434B5CE2">
        <w:rPr>
          <w:rFonts w:cs="Arial"/>
        </w:rPr>
        <w:t xml:space="preserve">EHC </w:t>
      </w:r>
      <w:r w:rsidR="00A262E1" w:rsidRPr="434B5CE2">
        <w:rPr>
          <w:rFonts w:cs="Arial"/>
        </w:rPr>
        <w:t>Plan</w:t>
      </w:r>
      <w:r w:rsidRPr="434B5CE2">
        <w:rPr>
          <w:rFonts w:cs="Arial"/>
        </w:rPr>
        <w:t xml:space="preserve"> processes and funding arrangements.</w:t>
      </w:r>
      <w:r w:rsidRPr="434B5CE2">
        <w:rPr>
          <w:rStyle w:val="EndnoteReference"/>
          <w:rFonts w:cs="Arial"/>
        </w:rPr>
        <w:endnoteReference w:id="5"/>
      </w:r>
      <w:r w:rsidRPr="434B5CE2">
        <w:rPr>
          <w:rFonts w:cs="Arial"/>
          <w:vertAlign w:val="superscript"/>
        </w:rPr>
        <w:t>,</w:t>
      </w:r>
      <w:r w:rsidRPr="434B5CE2">
        <w:rPr>
          <w:rStyle w:val="EndnoteReference"/>
          <w:rFonts w:cs="Arial"/>
        </w:rPr>
        <w:endnoteReference w:id="6"/>
      </w:r>
    </w:p>
    <w:p w14:paraId="36A6C4F6" w14:textId="77777777" w:rsidR="009776AF" w:rsidRDefault="00BE5539" w:rsidP="00D9246A">
      <w:pPr>
        <w:spacing w:line="240" w:lineRule="auto"/>
        <w:rPr>
          <w:rFonts w:cs="Arial"/>
          <w:szCs w:val="24"/>
        </w:rPr>
      </w:pPr>
      <w:r w:rsidRPr="00595FE6">
        <w:rPr>
          <w:rFonts w:cs="Arial"/>
          <w:szCs w:val="24"/>
        </w:rPr>
        <w:t xml:space="preserve">Additional legislation and guidance </w:t>
      </w:r>
      <w:r w:rsidR="00FB3747" w:rsidRPr="00595FE6">
        <w:rPr>
          <w:rFonts w:cs="Arial"/>
          <w:szCs w:val="24"/>
        </w:rPr>
        <w:t>support</w:t>
      </w:r>
      <w:r w:rsidRPr="00595FE6">
        <w:rPr>
          <w:rFonts w:cs="Arial"/>
          <w:szCs w:val="24"/>
        </w:rPr>
        <w:t xml:space="preserve"> groups of children with particular needs, some but not all of whom may have a special educational need. Children and young people with a disability are protected from discrimination under </w:t>
      </w:r>
      <w:r w:rsidRPr="00595FE6">
        <w:rPr>
          <w:rFonts w:cs="Arial"/>
          <w:b/>
          <w:bCs/>
          <w:szCs w:val="24"/>
        </w:rPr>
        <w:t>The</w:t>
      </w:r>
      <w:r w:rsidRPr="00595FE6">
        <w:rPr>
          <w:rFonts w:cs="Arial"/>
          <w:szCs w:val="24"/>
        </w:rPr>
        <w:t xml:space="preserve"> </w:t>
      </w:r>
      <w:r w:rsidRPr="00595FE6">
        <w:rPr>
          <w:rFonts w:cs="Arial"/>
          <w:b/>
          <w:bCs/>
          <w:szCs w:val="24"/>
        </w:rPr>
        <w:t>Equality Act (2010)</w:t>
      </w:r>
      <w:r w:rsidRPr="00595FE6">
        <w:rPr>
          <w:rFonts w:cs="Arial"/>
          <w:szCs w:val="24"/>
        </w:rPr>
        <w:t xml:space="preserve">, which also requires education providers to make reasonable adjustments to facilitate equal participation and opportunity. </w:t>
      </w:r>
    </w:p>
    <w:p w14:paraId="687EB0D9" w14:textId="6B15994B" w:rsidR="00BE5539" w:rsidRPr="00595FE6" w:rsidRDefault="00BE5539" w:rsidP="00D9246A">
      <w:pPr>
        <w:spacing w:line="240" w:lineRule="auto"/>
        <w:rPr>
          <w:rFonts w:cs="Arial"/>
          <w:szCs w:val="24"/>
        </w:rPr>
      </w:pPr>
      <w:r w:rsidRPr="00595FE6">
        <w:rPr>
          <w:rFonts w:cs="Arial"/>
          <w:szCs w:val="24"/>
        </w:rPr>
        <w:t xml:space="preserve">Similarly, </w:t>
      </w:r>
      <w:r w:rsidRPr="00595FE6">
        <w:rPr>
          <w:rFonts w:cs="Arial"/>
          <w:b/>
          <w:bCs/>
          <w:szCs w:val="24"/>
        </w:rPr>
        <w:t>Supporting pupils at school with medical conditions (2015)</w:t>
      </w:r>
      <w:r w:rsidRPr="00595FE6">
        <w:rPr>
          <w:rFonts w:cs="Arial"/>
          <w:szCs w:val="24"/>
        </w:rPr>
        <w:t xml:space="preserve"> sets out the duty to ensure that all children with medical conditions, which will include some overlap with SEND, are supported to participate fully in school life, manage their condition, and have the opportunity to achieve their full potential.</w:t>
      </w:r>
      <w:r w:rsidRPr="00595FE6">
        <w:rPr>
          <w:rStyle w:val="EndnoteReference"/>
          <w:rFonts w:cs="Arial"/>
          <w:szCs w:val="24"/>
        </w:rPr>
        <w:endnoteReference w:id="7"/>
      </w:r>
    </w:p>
    <w:p w14:paraId="217C1BB8" w14:textId="77777777" w:rsidR="009776AF" w:rsidRDefault="00BE5539" w:rsidP="00D9246A">
      <w:pPr>
        <w:spacing w:line="240" w:lineRule="auto"/>
        <w:rPr>
          <w:rFonts w:cs="Arial"/>
          <w:szCs w:val="24"/>
        </w:rPr>
      </w:pPr>
      <w:r w:rsidRPr="00595FE6">
        <w:rPr>
          <w:rFonts w:cs="Arial"/>
          <w:b/>
          <w:bCs/>
          <w:szCs w:val="24"/>
        </w:rPr>
        <w:t>The Down’s Syndrome Act (2022)</w:t>
      </w:r>
      <w:r w:rsidRPr="00595FE6">
        <w:rPr>
          <w:rFonts w:cs="Arial"/>
          <w:szCs w:val="24"/>
        </w:rPr>
        <w:t xml:space="preserve"> places obligations on relevant authorities including health, social care, education and housing to meet the needs of people with Down’s syndrome. Follow up draft statutory guidance is due to be published in 2024. </w:t>
      </w:r>
    </w:p>
    <w:p w14:paraId="5F53515E" w14:textId="36DEEECE" w:rsidR="00BE5539" w:rsidRDefault="00BE5539" w:rsidP="00D9246A">
      <w:pPr>
        <w:spacing w:line="240" w:lineRule="auto"/>
        <w:rPr>
          <w:rFonts w:cs="Arial"/>
          <w:szCs w:val="24"/>
        </w:rPr>
      </w:pPr>
      <w:r w:rsidRPr="00595FE6">
        <w:rPr>
          <w:rFonts w:cs="Arial"/>
          <w:szCs w:val="24"/>
        </w:rPr>
        <w:t xml:space="preserve">The </w:t>
      </w:r>
      <w:r w:rsidRPr="00595FE6">
        <w:rPr>
          <w:rFonts w:cs="Arial"/>
          <w:b/>
          <w:bCs/>
          <w:szCs w:val="24"/>
        </w:rPr>
        <w:t>Autism Act (2009)</w:t>
      </w:r>
      <w:r w:rsidRPr="00595FE6">
        <w:rPr>
          <w:rFonts w:cs="Arial"/>
          <w:szCs w:val="24"/>
        </w:rPr>
        <w:t xml:space="preserve"> mandates a 5-yearly autism strategy at national and local government level to improve services for autistic adults. The most recent national strategy, which runs until 2026, extends the scope to include children and young people, and includes a focus on improving access to education, supporting transitions into adulthood and employment, and tackling health and care inequalities for autistic people.</w:t>
      </w:r>
      <w:r w:rsidRPr="00595FE6">
        <w:rPr>
          <w:rStyle w:val="EndnoteReference"/>
          <w:rFonts w:cs="Arial"/>
          <w:szCs w:val="24"/>
        </w:rPr>
        <w:endnoteReference w:id="8"/>
      </w:r>
    </w:p>
    <w:p w14:paraId="036CF628" w14:textId="2070FDB5" w:rsidR="00B37320" w:rsidRDefault="008C0F17" w:rsidP="00D9246A">
      <w:pPr>
        <w:spacing w:line="240" w:lineRule="auto"/>
        <w:rPr>
          <w:rFonts w:cs="Arial"/>
          <w:b/>
          <w:bCs/>
          <w:szCs w:val="24"/>
        </w:rPr>
      </w:pPr>
      <w:r w:rsidRPr="00E472EB">
        <w:rPr>
          <w:rFonts w:cs="Arial"/>
          <w:b/>
          <w:szCs w:val="24"/>
        </w:rPr>
        <w:lastRenderedPageBreak/>
        <w:t xml:space="preserve">Current position </w:t>
      </w:r>
    </w:p>
    <w:p w14:paraId="462F568A" w14:textId="76E4A8B6" w:rsidR="006F7C06" w:rsidRDefault="364C979A" w:rsidP="00D9246A">
      <w:pPr>
        <w:spacing w:line="240" w:lineRule="auto"/>
        <w:rPr>
          <w:rFonts w:cs="Arial"/>
        </w:rPr>
      </w:pPr>
      <w:r w:rsidRPr="00527C37">
        <w:rPr>
          <w:rFonts w:cs="Arial"/>
        </w:rPr>
        <w:t>Nationally, the SEND system continues to face significant pressure, characterised by rising demand for Education, Health and Care Plans, increasing complexity of need, and persistent delays in assessment and provision. The Government’s SEND Review and subsequent White Paper set out a national ambition to create a more consistent, inclusive, and financially sustainable system, proposing national standards, improved multi‑agency working, and strengthened accountability. Building on this, the SEND and Alternative Provision (AP)</w:t>
      </w:r>
      <w:r w:rsidR="004650C0">
        <w:rPr>
          <w:rFonts w:cs="Arial"/>
        </w:rPr>
        <w:t xml:space="preserve"> Change</w:t>
      </w:r>
      <w:r w:rsidRPr="00527C37">
        <w:rPr>
          <w:rFonts w:cs="Arial"/>
        </w:rPr>
        <w:t xml:space="preserve"> Programme is now driving phased implementation, testing reforms such as national standards, strengthened early intervention, and new local inclusion plans through regional Change Programme partnerships. These national reforms reflect widespread recognition that the current system is fragmented and difficult for families to navigate, and they signal a long‑term policy commitment to improving outcomes, reducing variation, and ensuring that support is delivered earlier and more effectively across education, health, and care. </w:t>
      </w:r>
    </w:p>
    <w:p w14:paraId="1A656981" w14:textId="073F636A" w:rsidR="00BE5539" w:rsidRPr="00595FE6" w:rsidRDefault="00F63E05" w:rsidP="0096012C">
      <w:pPr>
        <w:pStyle w:val="Heading3"/>
      </w:pPr>
      <w:r w:rsidRPr="00595FE6">
        <w:t xml:space="preserve">Joint </w:t>
      </w:r>
      <w:r w:rsidR="00610559">
        <w:t>c</w:t>
      </w:r>
      <w:r w:rsidR="00BE5539" w:rsidRPr="00595FE6">
        <w:t>ommissioning and the Local Offer</w:t>
      </w:r>
    </w:p>
    <w:p w14:paraId="3F8D31FC" w14:textId="77777777" w:rsidR="00BE5539" w:rsidRPr="00595FE6" w:rsidRDefault="00BE5539" w:rsidP="00D9246A">
      <w:pPr>
        <w:spacing w:line="240" w:lineRule="auto"/>
        <w:rPr>
          <w:rFonts w:cs="Arial"/>
          <w:szCs w:val="24"/>
        </w:rPr>
      </w:pPr>
      <w:r w:rsidRPr="00595FE6">
        <w:rPr>
          <w:rFonts w:cs="Arial"/>
          <w:szCs w:val="24"/>
        </w:rPr>
        <w:t xml:space="preserve">The SEND Code of Practice sets out in detail the requirement that local authorities work with partner bodies across education, health and social care to make </w:t>
      </w:r>
      <w:r w:rsidRPr="00595FE6">
        <w:rPr>
          <w:rFonts w:cs="Arial"/>
          <w:b/>
          <w:bCs/>
          <w:szCs w:val="24"/>
        </w:rPr>
        <w:t>joint commissioning</w:t>
      </w:r>
      <w:r w:rsidRPr="00595FE6">
        <w:rPr>
          <w:rFonts w:cs="Arial"/>
          <w:szCs w:val="24"/>
        </w:rPr>
        <w:t xml:space="preserve"> arrangements for the provision of services for children and young people with SEN and disabilities up to 25 years. This should be based on a comprehensive assessment of local needs as identified in the </w:t>
      </w:r>
      <w:r w:rsidRPr="00595FE6">
        <w:rPr>
          <w:rFonts w:cs="Arial"/>
          <w:b/>
          <w:bCs/>
          <w:szCs w:val="24"/>
        </w:rPr>
        <w:t>Joint Strategic Needs Assessment</w:t>
      </w:r>
      <w:r w:rsidRPr="00595FE6">
        <w:rPr>
          <w:rFonts w:cs="Arial"/>
          <w:szCs w:val="24"/>
        </w:rPr>
        <w:t xml:space="preserve"> and </w:t>
      </w:r>
      <w:r w:rsidRPr="00595FE6">
        <w:rPr>
          <w:rFonts w:cs="Arial"/>
          <w:b/>
          <w:bCs/>
          <w:szCs w:val="24"/>
        </w:rPr>
        <w:t>Joint Health and Wellbeing Strategy</w:t>
      </w:r>
      <w:r w:rsidRPr="00595FE6">
        <w:rPr>
          <w:rFonts w:cs="Arial"/>
          <w:szCs w:val="24"/>
        </w:rPr>
        <w:t>.</w:t>
      </w:r>
    </w:p>
    <w:p w14:paraId="370F9311" w14:textId="4EF0358A" w:rsidR="00147D38" w:rsidRPr="00FF70FB" w:rsidRDefault="00147D38" w:rsidP="00D9246A">
      <w:pPr>
        <w:spacing w:after="0" w:line="240" w:lineRule="auto"/>
        <w:rPr>
          <w:rFonts w:cs="Arial"/>
        </w:rPr>
      </w:pPr>
      <w:r w:rsidRPr="00FF70FB">
        <w:rPr>
          <w:rFonts w:cs="Arial"/>
        </w:rPr>
        <w:t xml:space="preserve">The SEND Local Offer is the name </w:t>
      </w:r>
      <w:r w:rsidR="00D9246A">
        <w:rPr>
          <w:rFonts w:cs="Arial"/>
        </w:rPr>
        <w:t>used</w:t>
      </w:r>
      <w:r w:rsidRPr="00FF70FB">
        <w:rPr>
          <w:rFonts w:cs="Arial"/>
        </w:rPr>
        <w:t xml:space="preserve"> for all the information, support and services available for children and young people aged 0 to 25 who have SEND, and their families:</w:t>
      </w:r>
    </w:p>
    <w:p w14:paraId="31B73102" w14:textId="1B2ADC48" w:rsidR="003E158C" w:rsidRPr="00FF70FB" w:rsidRDefault="00147D38" w:rsidP="009858E3">
      <w:pPr>
        <w:pStyle w:val="ListParagraph"/>
        <w:numPr>
          <w:ilvl w:val="0"/>
          <w:numId w:val="35"/>
        </w:numPr>
        <w:spacing w:line="240" w:lineRule="auto"/>
        <w:ind w:left="357" w:hanging="357"/>
        <w:rPr>
          <w:rFonts w:cs="Arial"/>
          <w:szCs w:val="24"/>
        </w:rPr>
      </w:pPr>
      <w:r w:rsidRPr="00FF70FB">
        <w:rPr>
          <w:rFonts w:cs="Arial"/>
          <w:szCs w:val="24"/>
        </w:rPr>
        <w:t>services relating to health, education, social care, the community and voluntary</w:t>
      </w:r>
      <w:r w:rsidR="003E158C" w:rsidRPr="00FF70FB">
        <w:rPr>
          <w:rFonts w:cs="Arial"/>
          <w:szCs w:val="24"/>
        </w:rPr>
        <w:t xml:space="preserve"> </w:t>
      </w:r>
      <w:r w:rsidRPr="00FF70FB">
        <w:rPr>
          <w:rFonts w:cs="Arial"/>
          <w:szCs w:val="24"/>
        </w:rPr>
        <w:t>sector</w:t>
      </w:r>
    </w:p>
    <w:p w14:paraId="1FC76CEC" w14:textId="38445D2C" w:rsidR="00147D38" w:rsidRPr="00FF70FB" w:rsidRDefault="00147D38" w:rsidP="009858E3">
      <w:pPr>
        <w:pStyle w:val="ListParagraph"/>
        <w:numPr>
          <w:ilvl w:val="0"/>
          <w:numId w:val="35"/>
        </w:numPr>
        <w:spacing w:line="240" w:lineRule="auto"/>
        <w:rPr>
          <w:rFonts w:cs="Arial"/>
          <w:szCs w:val="24"/>
        </w:rPr>
      </w:pPr>
      <w:r w:rsidRPr="00FF70FB">
        <w:rPr>
          <w:rFonts w:cs="Arial"/>
          <w:szCs w:val="24"/>
        </w:rPr>
        <w:t>information about Education, Health and Care (EHC) Plans and the law around SEND</w:t>
      </w:r>
    </w:p>
    <w:p w14:paraId="27A537F0" w14:textId="48F71A32" w:rsidR="00406FAC" w:rsidRPr="00344DF1" w:rsidRDefault="00BE5539" w:rsidP="00406FAC">
      <w:pPr>
        <w:spacing w:line="240" w:lineRule="auto"/>
        <w:rPr>
          <w:b/>
          <w:bCs/>
          <w:color w:val="A65588"/>
        </w:rPr>
      </w:pPr>
      <w:r w:rsidRPr="00344DF1">
        <w:rPr>
          <w:rFonts w:cs="Arial"/>
          <w:b/>
          <w:bCs/>
          <w:color w:val="A65588"/>
          <w:szCs w:val="24"/>
        </w:rPr>
        <w:t xml:space="preserve"> </w:t>
      </w:r>
      <w:r w:rsidR="00406FAC" w:rsidRPr="00344DF1">
        <w:rPr>
          <w:b/>
          <w:bCs/>
          <w:color w:val="A65588"/>
        </w:rPr>
        <w:t xml:space="preserve">Figure </w:t>
      </w:r>
      <w:r w:rsidR="00CA2D43">
        <w:rPr>
          <w:b/>
          <w:bCs/>
          <w:color w:val="A65588"/>
        </w:rPr>
        <w:fldChar w:fldCharType="begin"/>
      </w:r>
      <w:r w:rsidR="00CA2D43">
        <w:rPr>
          <w:b/>
          <w:bCs/>
          <w:color w:val="A65588"/>
        </w:rPr>
        <w:instrText xml:space="preserve"> SEQ Figure \* ARABIC </w:instrText>
      </w:r>
      <w:r w:rsidR="00CA2D43">
        <w:rPr>
          <w:b/>
          <w:bCs/>
          <w:color w:val="A65588"/>
        </w:rPr>
        <w:fldChar w:fldCharType="separate"/>
      </w:r>
      <w:r w:rsidR="00CA2D43">
        <w:rPr>
          <w:b/>
          <w:bCs/>
          <w:noProof/>
          <w:color w:val="A65588"/>
        </w:rPr>
        <w:t>1</w:t>
      </w:r>
      <w:r w:rsidR="00CA2D43">
        <w:rPr>
          <w:b/>
          <w:bCs/>
          <w:color w:val="A65588"/>
        </w:rPr>
        <w:fldChar w:fldCharType="end"/>
      </w:r>
      <w:r w:rsidR="00406FAC" w:rsidRPr="00344DF1">
        <w:rPr>
          <w:b/>
          <w:bCs/>
          <w:color w:val="A65588"/>
        </w:rPr>
        <w:t>: SEND Code of Practice: population needs and procurement, 2015</w:t>
      </w:r>
    </w:p>
    <w:p w14:paraId="01B885ED" w14:textId="67A0404D" w:rsidR="007E5C6C" w:rsidRPr="0004197A" w:rsidRDefault="00D9246A" w:rsidP="00D9246A">
      <w:pPr>
        <w:spacing w:line="240" w:lineRule="auto"/>
        <w:rPr>
          <w:rFonts w:cs="Arial"/>
        </w:rPr>
      </w:pPr>
      <w:r w:rsidRPr="00595FE6">
        <w:rPr>
          <w:rFonts w:cs="Arial"/>
          <w:i/>
          <w:iCs/>
          <w:noProof/>
        </w:rPr>
        <w:drawing>
          <wp:inline distT="0" distB="0" distL="0" distR="0" wp14:anchorId="18EF997E" wp14:editId="247AF96E">
            <wp:extent cx="6278326" cy="3590925"/>
            <wp:effectExtent l="0" t="0" r="8255" b="0"/>
            <wp:docPr id="1636895867" name="Picture 1" descr="An upside down pyramid diagram showing the SEND Code of Practice: population needs and procurement, 2015.&#10;&#10;Four part of the pyramid with the following text:&#10;&#10;Joint Strategic Needs Assessment / Joint Health and Wellbeing Strategy: Delivered by the Health and Wellbeing Board. Considers needs of whole population.&#10;&#10;Joint commissioning: Local authority/ICB applies JSNA analysis to 0-25 children and young people with SEN and disabilities to agree shared outcomes, working with partners, eg children and young people and Parent Carer Forums.&#10;&#10;Local offer: Local authority publishes a Local Offer setting out what support is available for 0-25 year olds with SEN or disabilities.&#10;&#10;EHC Plan: An EHC plan starts by focusing on outcomes that are important to the individual. Any education, health or care provision required to meet a child/young person's needs related to SEN must be included in the plan.&#10;&#10;Arrow from EHC plans to JSNA with the following text: Individual plans should inform the JSNA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895867" name="Picture 1" descr="An upside down pyramid diagram showing the SEND Code of Practice: population needs and procurement, 2015.&#10;&#10;Four part of the pyramid with the following text:&#10;&#10;Joint Strategic Needs Assessment / Joint Health and Wellbeing Strategy: Delivered by the Health and Wellbeing Board. Considers needs of whole population.&#10;&#10;Joint commissioning: Local authority/ICB applies JSNA analysis to 0-25 children and young people with SEN and disabilities to agree shared outcomes, working with partners, eg children and young people and Parent Carer Forums.&#10;&#10;Local offer: Local authority publishes a Local Offer setting out what support is available for 0-25 year olds with SEN or disabilities.&#10;&#10;EHC Plan: An EHC plan starts by focusing on outcomes that are important to the individual. Any education, health or care provision required to meet a child/young person's needs related to SEN must be included in the plan.&#10;&#10;Arrow from EHC plans to JSNA with the following text: Individual plans should inform the JSNA process."/>
                    <pic:cNvPicPr/>
                  </pic:nvPicPr>
                  <pic:blipFill rotWithShape="1">
                    <a:blip r:embed="rId17"/>
                    <a:srcRect t="13071" r="3380"/>
                    <a:stretch/>
                  </pic:blipFill>
                  <pic:spPr bwMode="auto">
                    <a:xfrm>
                      <a:off x="0" y="0"/>
                      <a:ext cx="6308466" cy="3608164"/>
                    </a:xfrm>
                    <a:prstGeom prst="rect">
                      <a:avLst/>
                    </a:prstGeom>
                    <a:ln>
                      <a:noFill/>
                    </a:ln>
                    <a:extLst>
                      <a:ext uri="{53640926-AAD7-44D8-BBD7-CCE9431645EC}">
                        <a14:shadowObscured xmlns:a14="http://schemas.microsoft.com/office/drawing/2010/main"/>
                      </a:ext>
                    </a:extLst>
                  </pic:spPr>
                </pic:pic>
              </a:graphicData>
            </a:graphic>
          </wp:inline>
        </w:drawing>
      </w:r>
      <w:r w:rsidR="007E5C6C" w:rsidRPr="00D9246A">
        <w:rPr>
          <w:rFonts w:cs="Arial"/>
          <w:b/>
        </w:rPr>
        <w:t>Source:</w:t>
      </w:r>
      <w:r w:rsidR="00407F20" w:rsidRPr="00631F46">
        <w:rPr>
          <w:rFonts w:cs="Arial"/>
          <w:b/>
          <w:bCs/>
        </w:rPr>
        <w:t xml:space="preserve"> </w:t>
      </w:r>
      <w:r w:rsidR="00407F20" w:rsidRPr="00A9671A">
        <w:rPr>
          <w:rFonts w:cs="Arial"/>
        </w:rPr>
        <w:t>D</w:t>
      </w:r>
      <w:r w:rsidR="007A532A" w:rsidRPr="00A9671A">
        <w:rPr>
          <w:rFonts w:cs="Arial"/>
        </w:rPr>
        <w:t>epartment for Education</w:t>
      </w:r>
      <w:r w:rsidR="00407F20" w:rsidRPr="00A9671A">
        <w:rPr>
          <w:rFonts w:cs="Arial"/>
        </w:rPr>
        <w:t>, SEND Code of Practice, 2015</w:t>
      </w:r>
    </w:p>
    <w:p w14:paraId="6CA73BF9" w14:textId="355B04D8" w:rsidR="00915527" w:rsidRPr="00595FE6" w:rsidRDefault="00915527" w:rsidP="0096012C">
      <w:pPr>
        <w:pStyle w:val="Heading3"/>
      </w:pPr>
      <w:r w:rsidRPr="00595FE6">
        <w:lastRenderedPageBreak/>
        <w:t>Funding</w:t>
      </w:r>
    </w:p>
    <w:p w14:paraId="1E8B82E0" w14:textId="529F1332" w:rsidR="00BE5539" w:rsidRPr="00595FE6" w:rsidRDefault="00BE5539" w:rsidP="00D9246A">
      <w:pPr>
        <w:spacing w:line="240" w:lineRule="auto"/>
        <w:rPr>
          <w:rFonts w:cs="Arial"/>
        </w:rPr>
      </w:pPr>
      <w:r w:rsidRPr="6C66D968">
        <w:rPr>
          <w:rFonts w:cs="Arial"/>
        </w:rPr>
        <w:t>High Needs Funding is provided to local authorities through the Dedicated Schools Grant to enable the provision of additional resources for students with SEND to support participation in education up to the age of 25 (excluding those aged 19-25 without an EHC plan).</w:t>
      </w:r>
      <w:r w:rsidRPr="6C66D968">
        <w:rPr>
          <w:rStyle w:val="EndnoteReference"/>
          <w:rFonts w:cs="Arial"/>
        </w:rPr>
        <w:endnoteReference w:id="9"/>
      </w:r>
    </w:p>
    <w:p w14:paraId="2005A578" w14:textId="0FAE9E98" w:rsidR="1F631546" w:rsidRDefault="1F631546" w:rsidP="00D9246A">
      <w:pPr>
        <w:spacing w:line="240" w:lineRule="auto"/>
        <w:rPr>
          <w:rFonts w:cs="Arial"/>
        </w:rPr>
      </w:pPr>
      <w:r w:rsidRPr="6C66D968">
        <w:rPr>
          <w:rFonts w:cs="Arial"/>
        </w:rPr>
        <w:t>The health provision in Section G of the EHC</w:t>
      </w:r>
      <w:r w:rsidR="00162DE1">
        <w:rPr>
          <w:rFonts w:cs="Arial"/>
        </w:rPr>
        <w:t xml:space="preserve"> </w:t>
      </w:r>
      <w:r w:rsidRPr="6C66D968">
        <w:rPr>
          <w:rFonts w:cs="Arial"/>
        </w:rPr>
        <w:t>P</w:t>
      </w:r>
      <w:r w:rsidR="00162DE1">
        <w:rPr>
          <w:rFonts w:cs="Arial"/>
        </w:rPr>
        <w:t>lan</w:t>
      </w:r>
      <w:r w:rsidRPr="6C66D968">
        <w:rPr>
          <w:rFonts w:cs="Arial"/>
        </w:rPr>
        <w:t xml:space="preserve"> is funded and delivered by the NHS</w:t>
      </w:r>
      <w:r w:rsidRPr="507932A3">
        <w:rPr>
          <w:rFonts w:cs="Arial"/>
        </w:rPr>
        <w:t>.</w:t>
      </w:r>
    </w:p>
    <w:p w14:paraId="69287C9A" w14:textId="135BB3C7" w:rsidR="00BE5539" w:rsidRPr="00595FE6" w:rsidRDefault="00BE5539" w:rsidP="0096012C">
      <w:pPr>
        <w:pStyle w:val="Heading3"/>
      </w:pPr>
      <w:r w:rsidRPr="00595FE6">
        <w:t>Inspection of SEND provision</w:t>
      </w:r>
    </w:p>
    <w:p w14:paraId="2A8448A4" w14:textId="179E457E" w:rsidR="004765EB" w:rsidRDefault="00BE5539" w:rsidP="00D9246A">
      <w:pPr>
        <w:spacing w:after="0" w:line="240" w:lineRule="auto"/>
        <w:rPr>
          <w:rFonts w:cs="Arial"/>
          <w:szCs w:val="24"/>
        </w:rPr>
      </w:pPr>
      <w:r w:rsidRPr="00595FE6">
        <w:rPr>
          <w:rFonts w:cs="Arial"/>
          <w:szCs w:val="24"/>
        </w:rPr>
        <w:t>Local arrangements are inspected by the Care Quality Commission and Ofsted, who launched an assessment framework in 2023. The core principles assessed fall into two categories</w:t>
      </w:r>
      <w:r w:rsidR="00AC2AC7">
        <w:rPr>
          <w:rFonts w:cs="Arial"/>
          <w:szCs w:val="24"/>
        </w:rPr>
        <w:t>:</w:t>
      </w:r>
    </w:p>
    <w:p w14:paraId="19BB70FE" w14:textId="46EA6DD4" w:rsidR="004765EB" w:rsidRDefault="00BE5539" w:rsidP="009858E3">
      <w:pPr>
        <w:pStyle w:val="ListParagraph"/>
        <w:numPr>
          <w:ilvl w:val="0"/>
          <w:numId w:val="35"/>
        </w:numPr>
        <w:spacing w:line="240" w:lineRule="auto"/>
        <w:rPr>
          <w:rFonts w:cs="Arial"/>
          <w:szCs w:val="24"/>
        </w:rPr>
      </w:pPr>
      <w:r w:rsidRPr="00595FE6">
        <w:rPr>
          <w:rFonts w:cs="Arial"/>
          <w:szCs w:val="24"/>
        </w:rPr>
        <w:t xml:space="preserve">The first evaluates the experiences and outcomes of children and young people with SEND. This includes timely identification of needs and provision of support; that children and young people are valued and included in their communities; that they are prepared for next steps and to achieve strong outcomes; and that they and their families participate fully in shared decision making. </w:t>
      </w:r>
    </w:p>
    <w:p w14:paraId="46ACAF51" w14:textId="3EE2B15F" w:rsidR="00BE5539" w:rsidRPr="00595FE6" w:rsidRDefault="00BE5539" w:rsidP="009858E3">
      <w:pPr>
        <w:pStyle w:val="ListParagraph"/>
        <w:numPr>
          <w:ilvl w:val="0"/>
          <w:numId w:val="35"/>
        </w:numPr>
        <w:spacing w:line="240" w:lineRule="auto"/>
        <w:rPr>
          <w:rFonts w:cs="Arial"/>
          <w:szCs w:val="24"/>
        </w:rPr>
      </w:pPr>
      <w:r w:rsidRPr="00595FE6">
        <w:rPr>
          <w:rFonts w:cs="Arial"/>
          <w:szCs w:val="24"/>
        </w:rPr>
        <w:t>The second category relates to how local area partners work together. It evaluates the extent to which leaders are</w:t>
      </w:r>
      <w:r w:rsidR="000A3D3E" w:rsidRPr="00595FE6">
        <w:rPr>
          <w:rFonts w:cs="Arial"/>
          <w:szCs w:val="24"/>
        </w:rPr>
        <w:t>:</w:t>
      </w:r>
      <w:r w:rsidRPr="00595FE6">
        <w:rPr>
          <w:rFonts w:cs="Arial"/>
          <w:szCs w:val="24"/>
        </w:rPr>
        <w:t xml:space="preserve"> ambitious for children and young people with SEND; understand needs and aspirations and commission services to meet them; and engage in effective multi-agency practice and ongoing improvement to services.</w:t>
      </w:r>
      <w:r w:rsidRPr="00595FE6">
        <w:rPr>
          <w:rStyle w:val="EndnoteReference"/>
          <w:rFonts w:cs="Arial"/>
          <w:szCs w:val="24"/>
        </w:rPr>
        <w:endnoteReference w:id="10"/>
      </w:r>
      <w:r w:rsidRPr="00595FE6">
        <w:rPr>
          <w:rFonts w:cs="Arial"/>
          <w:szCs w:val="24"/>
        </w:rPr>
        <w:t xml:space="preserve"> </w:t>
      </w:r>
    </w:p>
    <w:p w14:paraId="69CE9FC6" w14:textId="510D8090" w:rsidR="00BE5539" w:rsidRPr="00595FE6" w:rsidRDefault="00244E44" w:rsidP="0096012C">
      <w:pPr>
        <w:pStyle w:val="Heading3"/>
      </w:pPr>
      <w:r w:rsidRPr="00595FE6">
        <w:t xml:space="preserve">Early </w:t>
      </w:r>
      <w:r w:rsidR="007270F6">
        <w:t>i</w:t>
      </w:r>
      <w:r w:rsidR="00BE5539" w:rsidRPr="00595FE6">
        <w:t>dentif</w:t>
      </w:r>
      <w:r w:rsidRPr="00595FE6">
        <w:t xml:space="preserve">ication of </w:t>
      </w:r>
      <w:r w:rsidR="007270F6">
        <w:t>c</w:t>
      </w:r>
      <w:r w:rsidR="00BE5539" w:rsidRPr="00595FE6">
        <w:t xml:space="preserve">hildren and </w:t>
      </w:r>
      <w:r w:rsidR="007270F6">
        <w:t>y</w:t>
      </w:r>
      <w:r w:rsidR="00BE5539" w:rsidRPr="00595FE6">
        <w:t xml:space="preserve">oung </w:t>
      </w:r>
      <w:r w:rsidR="007270F6">
        <w:t>p</w:t>
      </w:r>
      <w:r w:rsidR="00BE5539" w:rsidRPr="00595FE6">
        <w:t>eople with SEND/LD/ND</w:t>
      </w:r>
    </w:p>
    <w:p w14:paraId="6E5170E4" w14:textId="77777777" w:rsidR="00A16513" w:rsidRDefault="00BE5539" w:rsidP="00D9246A">
      <w:pPr>
        <w:spacing w:line="240" w:lineRule="auto"/>
        <w:rPr>
          <w:rFonts w:cs="Arial"/>
          <w:szCs w:val="24"/>
        </w:rPr>
      </w:pPr>
      <w:r w:rsidRPr="00595FE6">
        <w:rPr>
          <w:rFonts w:cs="Arial"/>
          <w:szCs w:val="24"/>
        </w:rPr>
        <w:t>National guidance places an emphasis on early identification of need and effective support for children and young people with SEND, the recognised benefits of which are improved long-term outcomes. Parents, early years providers, schools and colleges, and the NHS play a key role in early identification. Particular care should be given to children whose first language is not English, and for all children other causal factors such as housing or domestic circumstances should be considered.</w:t>
      </w:r>
      <w:r w:rsidRPr="00595FE6">
        <w:rPr>
          <w:rStyle w:val="EndnoteReference"/>
          <w:rFonts w:cs="Arial"/>
          <w:szCs w:val="24"/>
        </w:rPr>
        <w:endnoteReference w:id="11"/>
      </w:r>
      <w:r w:rsidRPr="00595FE6">
        <w:rPr>
          <w:rFonts w:cs="Arial"/>
          <w:szCs w:val="24"/>
        </w:rPr>
        <w:t xml:space="preserve"> </w:t>
      </w:r>
    </w:p>
    <w:p w14:paraId="36D4579B" w14:textId="43E61F74" w:rsidR="00BE5539" w:rsidRPr="00595FE6" w:rsidRDefault="00BE5539" w:rsidP="00D9246A">
      <w:pPr>
        <w:spacing w:line="240" w:lineRule="auto"/>
        <w:rPr>
          <w:rFonts w:cs="Arial"/>
          <w:szCs w:val="24"/>
        </w:rPr>
      </w:pPr>
      <w:r w:rsidRPr="00595FE6">
        <w:rPr>
          <w:rFonts w:cs="Arial"/>
          <w:szCs w:val="24"/>
        </w:rPr>
        <w:t>Improved understanding and early identification of autism is also a key focus for the most recent national Autism Strategy, with a particular focus on identification and support for autistic girls.</w:t>
      </w:r>
      <w:r w:rsidRPr="00595FE6">
        <w:rPr>
          <w:rStyle w:val="EndnoteReference"/>
          <w:rFonts w:cs="Arial"/>
          <w:szCs w:val="24"/>
        </w:rPr>
        <w:endnoteReference w:id="12"/>
      </w:r>
    </w:p>
    <w:p w14:paraId="471FCBA7" w14:textId="77777777" w:rsidR="00A16513" w:rsidRDefault="00BE5539" w:rsidP="00D9246A">
      <w:pPr>
        <w:spacing w:line="240" w:lineRule="auto"/>
        <w:rPr>
          <w:rFonts w:cs="Arial"/>
          <w:szCs w:val="24"/>
        </w:rPr>
      </w:pPr>
      <w:r w:rsidRPr="00595FE6">
        <w:rPr>
          <w:rFonts w:cs="Arial"/>
          <w:szCs w:val="24"/>
        </w:rPr>
        <w:t xml:space="preserve">Before the age of two years, health services working with families are of primary importance in identifying possible SEN, and support at this stage may include Health Visitors and Speech and Language Therapy. The </w:t>
      </w:r>
      <w:r w:rsidRPr="00595FE6">
        <w:rPr>
          <w:rFonts w:cs="Arial"/>
          <w:b/>
          <w:bCs/>
          <w:szCs w:val="24"/>
        </w:rPr>
        <w:t>Early Years Foundation Stage Framework</w:t>
      </w:r>
      <w:r w:rsidRPr="00595FE6">
        <w:rPr>
          <w:rFonts w:cs="Arial"/>
          <w:szCs w:val="24"/>
        </w:rPr>
        <w:t xml:space="preserve"> supports early years practitioners in assessing learning and development from 0 to 5 years. It sets out two assessment points – a progress check between two and three years old, and an assessment at the end of reception year to identify any emerging needs.</w:t>
      </w:r>
      <w:r w:rsidRPr="00595FE6">
        <w:rPr>
          <w:rStyle w:val="EndnoteReference"/>
          <w:rFonts w:cs="Arial"/>
          <w:szCs w:val="24"/>
        </w:rPr>
        <w:endnoteReference w:id="13"/>
      </w:r>
      <w:r w:rsidRPr="00595FE6">
        <w:rPr>
          <w:rFonts w:cs="Arial"/>
          <w:szCs w:val="24"/>
        </w:rPr>
        <w:t xml:space="preserve"> </w:t>
      </w:r>
    </w:p>
    <w:p w14:paraId="0B31A5A3" w14:textId="4564CD2B" w:rsidR="00BE5539" w:rsidRPr="00595FE6" w:rsidRDefault="00BE5539" w:rsidP="00D9246A">
      <w:pPr>
        <w:spacing w:line="240" w:lineRule="auto"/>
        <w:rPr>
          <w:rFonts w:cs="Arial"/>
          <w:szCs w:val="24"/>
        </w:rPr>
      </w:pPr>
      <w:r w:rsidRPr="00595FE6">
        <w:rPr>
          <w:rFonts w:cs="Arial"/>
          <w:szCs w:val="24"/>
        </w:rPr>
        <w:t>Beyond this, mainstream schools must have arrangements in place to identify and respond to possible SEN and disabilities, which should be set out as part of the Local Offer. Further education establishments should also have mechanisms to support students where SEN become apparent at this stage.</w:t>
      </w:r>
      <w:r w:rsidRPr="00595FE6">
        <w:rPr>
          <w:rStyle w:val="EndnoteReference"/>
          <w:rFonts w:cs="Arial"/>
          <w:szCs w:val="24"/>
        </w:rPr>
        <w:endnoteReference w:id="14"/>
      </w:r>
      <w:r w:rsidRPr="00595FE6">
        <w:rPr>
          <w:rFonts w:cs="Arial"/>
          <w:szCs w:val="24"/>
          <w:vertAlign w:val="superscript"/>
        </w:rPr>
        <w:t>,</w:t>
      </w:r>
      <w:r w:rsidRPr="00595FE6">
        <w:rPr>
          <w:rStyle w:val="EndnoteReference"/>
          <w:rFonts w:cs="Arial"/>
          <w:szCs w:val="24"/>
        </w:rPr>
        <w:endnoteReference w:id="15"/>
      </w:r>
      <w:r w:rsidRPr="00595FE6">
        <w:rPr>
          <w:rFonts w:cs="Arial"/>
          <w:szCs w:val="24"/>
        </w:rPr>
        <w:t xml:space="preserve">  </w:t>
      </w:r>
    </w:p>
    <w:p w14:paraId="0AAC06E8" w14:textId="77777777" w:rsidR="00BE5539" w:rsidRPr="00595FE6" w:rsidRDefault="00BE5539" w:rsidP="00D9246A">
      <w:pPr>
        <w:spacing w:line="240" w:lineRule="auto"/>
        <w:rPr>
          <w:rFonts w:cs="Arial"/>
          <w:szCs w:val="24"/>
        </w:rPr>
      </w:pPr>
      <w:r w:rsidRPr="00595FE6">
        <w:rPr>
          <w:rFonts w:cs="Arial"/>
          <w:szCs w:val="24"/>
        </w:rPr>
        <w:t xml:space="preserve">Mainstream early years providers and schools must have a designated </w:t>
      </w:r>
      <w:r w:rsidRPr="00595FE6">
        <w:rPr>
          <w:rFonts w:cs="Arial"/>
          <w:b/>
          <w:bCs/>
          <w:szCs w:val="24"/>
        </w:rPr>
        <w:t>Special Educational Needs Coordinator</w:t>
      </w:r>
      <w:r w:rsidRPr="00595FE6">
        <w:rPr>
          <w:rFonts w:cs="Arial"/>
          <w:szCs w:val="24"/>
        </w:rPr>
        <w:t xml:space="preserve"> (</w:t>
      </w:r>
      <w:r w:rsidRPr="00595FE6">
        <w:rPr>
          <w:rFonts w:cs="Arial"/>
          <w:b/>
          <w:bCs/>
          <w:szCs w:val="24"/>
        </w:rPr>
        <w:t>SENCO</w:t>
      </w:r>
      <w:r w:rsidRPr="00595FE6">
        <w:rPr>
          <w:rFonts w:cs="Arial"/>
          <w:szCs w:val="24"/>
        </w:rPr>
        <w:t>). Their role is to work with children, teachers, and parents or carers, to identify need, facilitate assessment, and to support implementation and review of agreed supportive measures. In colleges there should be a named person with oversight of SEN provision who acts in a similar way.</w:t>
      </w:r>
      <w:r w:rsidRPr="00595FE6">
        <w:rPr>
          <w:rStyle w:val="EndnoteReference"/>
          <w:rFonts w:cs="Arial"/>
          <w:szCs w:val="24"/>
        </w:rPr>
        <w:endnoteReference w:id="16"/>
      </w:r>
    </w:p>
    <w:p w14:paraId="04919799" w14:textId="77777777" w:rsidR="00BE5539" w:rsidRPr="00595FE6" w:rsidRDefault="00BE5539" w:rsidP="0096012C">
      <w:pPr>
        <w:pStyle w:val="Heading3"/>
      </w:pPr>
      <w:r w:rsidRPr="00595FE6">
        <w:lastRenderedPageBreak/>
        <w:t xml:space="preserve">Educational support </w:t>
      </w:r>
    </w:p>
    <w:p w14:paraId="0DBE0177" w14:textId="019095C8" w:rsidR="00363CDD" w:rsidRPr="00363CDD" w:rsidRDefault="00BE5539" w:rsidP="00363CDD">
      <w:pPr>
        <w:spacing w:line="240" w:lineRule="auto"/>
        <w:rPr>
          <w:rFonts w:cs="Arial"/>
          <w:szCs w:val="24"/>
        </w:rPr>
      </w:pPr>
      <w:r w:rsidRPr="00595FE6">
        <w:rPr>
          <w:rFonts w:cs="Arial"/>
          <w:szCs w:val="24"/>
        </w:rPr>
        <w:t>Once a potential special educational need has been identified, for children and young people at any stage of education the first step should be to offer special educational supportive measures</w:t>
      </w:r>
      <w:r w:rsidR="00363CDD" w:rsidRPr="00363CDD">
        <w:rPr>
          <w:rFonts w:cs="Arial"/>
          <w:szCs w:val="24"/>
        </w:rPr>
        <w:t xml:space="preserve"> as described in the Ordinarily Available Inclusive Practice guidance.</w:t>
      </w:r>
    </w:p>
    <w:p w14:paraId="60718D97" w14:textId="5096FD2E" w:rsidR="00BE5539" w:rsidRPr="00595FE6" w:rsidRDefault="00BE5539" w:rsidP="00D9246A">
      <w:pPr>
        <w:spacing w:line="240" w:lineRule="auto"/>
        <w:rPr>
          <w:rFonts w:cs="Arial"/>
          <w:szCs w:val="24"/>
        </w:rPr>
      </w:pPr>
      <w:r w:rsidRPr="00595FE6">
        <w:rPr>
          <w:rFonts w:cs="Arial"/>
          <w:szCs w:val="24"/>
        </w:rPr>
        <w:t>At all stages this should be targeted to their areas of need, and does not require a formal diagnosis. The majority of children and young people with SEN or disabilities can have their needs met within mainstream settings. Examples of support include special learning programmes, extra individual help or smaller group work, or support with physical or personal care difficulties.</w:t>
      </w:r>
      <w:r w:rsidRPr="00595FE6">
        <w:rPr>
          <w:rStyle w:val="EndnoteReference"/>
          <w:rFonts w:cs="Arial"/>
          <w:szCs w:val="24"/>
        </w:rPr>
        <w:endnoteReference w:id="17"/>
      </w:r>
      <w:r w:rsidRPr="00595FE6">
        <w:rPr>
          <w:rFonts w:cs="Arial"/>
          <w:szCs w:val="24"/>
        </w:rPr>
        <w:t xml:space="preserve"> </w:t>
      </w:r>
    </w:p>
    <w:p w14:paraId="0C55CFFF" w14:textId="77777777" w:rsidR="00E83BBC" w:rsidRDefault="00BE5539" w:rsidP="00D9246A">
      <w:pPr>
        <w:spacing w:line="240" w:lineRule="auto"/>
        <w:rPr>
          <w:rFonts w:cs="Arial"/>
          <w:szCs w:val="24"/>
        </w:rPr>
      </w:pPr>
      <w:r w:rsidRPr="00595FE6">
        <w:rPr>
          <w:rFonts w:cs="Arial"/>
          <w:szCs w:val="24"/>
        </w:rPr>
        <w:t xml:space="preserve">If there is additional need for support beyond this, providers, in consultation with parents or carers, should consider involving specialists and consider an </w:t>
      </w:r>
      <w:r w:rsidRPr="00595FE6">
        <w:rPr>
          <w:rFonts w:cs="Arial"/>
          <w:b/>
          <w:bCs/>
          <w:szCs w:val="24"/>
        </w:rPr>
        <w:t>Education, Health and Care (EHC) needs assessment</w:t>
      </w:r>
      <w:r w:rsidRPr="00595FE6">
        <w:rPr>
          <w:rFonts w:cs="Arial"/>
          <w:szCs w:val="24"/>
        </w:rPr>
        <w:t xml:space="preserve">. This can be requested by the child’s parent, a young person aged 16-25, or an educational representative, however anyone can notify the local authority if they believe a child or young person may need an assessment. </w:t>
      </w:r>
    </w:p>
    <w:p w14:paraId="65CD05A3" w14:textId="3906EA4A" w:rsidR="00531BE6" w:rsidRDefault="00BE5539" w:rsidP="00D9246A">
      <w:pPr>
        <w:spacing w:line="240" w:lineRule="auto"/>
        <w:rPr>
          <w:rFonts w:cs="Arial"/>
          <w:szCs w:val="24"/>
        </w:rPr>
      </w:pPr>
      <w:r w:rsidRPr="00595FE6">
        <w:rPr>
          <w:rFonts w:cs="Arial"/>
          <w:szCs w:val="24"/>
        </w:rPr>
        <w:t xml:space="preserve">The EHC assessment determines the need for an </w:t>
      </w:r>
      <w:r w:rsidRPr="00595FE6">
        <w:rPr>
          <w:rFonts w:cs="Arial"/>
          <w:b/>
          <w:bCs/>
          <w:szCs w:val="24"/>
        </w:rPr>
        <w:t>Education Health and Care Plan (</w:t>
      </w:r>
      <w:r w:rsidR="001572D3">
        <w:rPr>
          <w:rFonts w:cs="Arial"/>
          <w:b/>
          <w:bCs/>
          <w:szCs w:val="24"/>
        </w:rPr>
        <w:t>EHC Plan</w:t>
      </w:r>
      <w:r w:rsidRPr="00595FE6">
        <w:rPr>
          <w:rFonts w:cs="Arial"/>
          <w:b/>
          <w:bCs/>
          <w:szCs w:val="24"/>
        </w:rPr>
        <w:t>)</w:t>
      </w:r>
      <w:r w:rsidRPr="00595FE6">
        <w:rPr>
          <w:rFonts w:cs="Arial"/>
          <w:szCs w:val="24"/>
        </w:rPr>
        <w:t xml:space="preserve">. This is a legal document which should be made with the involvement of children and young people and their parents. It describes the special educational, health and social needs of the child or young person, and the extra support that will be provided to support them to achieve their ambitions and prepare for adulthood. It may also include a plan for education within a specialist setting. Once requested, local authorities have a statutory obligation to respond within six weeks, and to issue a final </w:t>
      </w:r>
      <w:r w:rsidR="001572D3">
        <w:rPr>
          <w:rFonts w:cs="Arial"/>
          <w:szCs w:val="24"/>
        </w:rPr>
        <w:t>EHC Plan</w:t>
      </w:r>
      <w:r w:rsidRPr="00595FE6">
        <w:rPr>
          <w:rFonts w:cs="Arial"/>
          <w:szCs w:val="24"/>
        </w:rPr>
        <w:t xml:space="preserve">, if one is appropriate, within 20 weeks. </w:t>
      </w:r>
    </w:p>
    <w:p w14:paraId="7F51BEDB" w14:textId="588D56E2" w:rsidR="00BE5539" w:rsidRPr="00595FE6" w:rsidRDefault="00BE5539" w:rsidP="00D9246A">
      <w:pPr>
        <w:spacing w:line="240" w:lineRule="auto"/>
        <w:rPr>
          <w:rFonts w:cs="Arial"/>
          <w:szCs w:val="24"/>
        </w:rPr>
      </w:pPr>
      <w:r w:rsidRPr="00595FE6">
        <w:rPr>
          <w:rFonts w:cs="Arial"/>
          <w:szCs w:val="24"/>
        </w:rPr>
        <w:t xml:space="preserve">Children and young people with an </w:t>
      </w:r>
      <w:r w:rsidR="001572D3">
        <w:rPr>
          <w:rFonts w:cs="Arial"/>
          <w:szCs w:val="24"/>
        </w:rPr>
        <w:t>EHC Plan</w:t>
      </w:r>
      <w:r w:rsidRPr="00595FE6">
        <w:rPr>
          <w:rFonts w:cs="Arial"/>
          <w:szCs w:val="24"/>
        </w:rPr>
        <w:t xml:space="preserve"> can request a Personal Budget to support educational, health or social care needs. </w:t>
      </w:r>
      <w:r w:rsidR="001572D3">
        <w:rPr>
          <w:rFonts w:cs="Arial"/>
          <w:szCs w:val="24"/>
        </w:rPr>
        <w:t>EHC Plan</w:t>
      </w:r>
      <w:r w:rsidRPr="00595FE6">
        <w:rPr>
          <w:rFonts w:cs="Arial"/>
          <w:szCs w:val="24"/>
        </w:rPr>
        <w:t>s can continue up to the age of 25 if there are ongoing special educational needs and the young person remains in education or training.</w:t>
      </w:r>
      <w:r w:rsidRPr="00595FE6">
        <w:rPr>
          <w:rStyle w:val="EndnoteReference"/>
          <w:rFonts w:cs="Arial"/>
          <w:szCs w:val="24"/>
        </w:rPr>
        <w:endnoteReference w:id="18"/>
      </w:r>
      <w:r w:rsidRPr="00595FE6">
        <w:rPr>
          <w:rFonts w:cs="Arial"/>
          <w:szCs w:val="24"/>
        </w:rPr>
        <w:t xml:space="preserve">  </w:t>
      </w:r>
    </w:p>
    <w:p w14:paraId="7E13D210" w14:textId="2CAA27C1" w:rsidR="00BE5539" w:rsidRPr="00595FE6" w:rsidRDefault="00BE5539" w:rsidP="0096012C">
      <w:pPr>
        <w:pStyle w:val="Heading3"/>
      </w:pPr>
      <w:r w:rsidRPr="00595FE6">
        <w:t xml:space="preserve">Provisions for </w:t>
      </w:r>
      <w:r w:rsidR="007B1E05">
        <w:t>those</w:t>
      </w:r>
      <w:r w:rsidRPr="00595FE6">
        <w:t xml:space="preserve"> </w:t>
      </w:r>
      <w:r w:rsidR="007B5DF2" w:rsidRPr="007B5DF2">
        <w:t>who experience additional</w:t>
      </w:r>
      <w:r w:rsidR="007B1E05">
        <w:t xml:space="preserve"> barriers and challenges</w:t>
      </w:r>
    </w:p>
    <w:p w14:paraId="596EAF6A" w14:textId="4647F20A" w:rsidR="00BE5539" w:rsidRPr="00595FE6" w:rsidRDefault="00BE5539" w:rsidP="00D9246A">
      <w:pPr>
        <w:spacing w:line="240" w:lineRule="auto"/>
        <w:rPr>
          <w:rFonts w:cs="Arial"/>
          <w:szCs w:val="24"/>
        </w:rPr>
      </w:pPr>
      <w:r w:rsidRPr="00595FE6">
        <w:rPr>
          <w:rFonts w:cs="Arial"/>
          <w:szCs w:val="24"/>
        </w:rPr>
        <w:t xml:space="preserve">The SEND Code of Practice sets out additional considerations and statutory duties in relation to the support of particular groups of children and young people with SEN. </w:t>
      </w:r>
      <w:r w:rsidR="005B2ECA" w:rsidRPr="00595FE6">
        <w:rPr>
          <w:rFonts w:cs="Arial"/>
          <w:szCs w:val="24"/>
        </w:rPr>
        <w:t>These</w:t>
      </w:r>
      <w:r w:rsidR="00BA7E6B" w:rsidRPr="00595FE6">
        <w:rPr>
          <w:rFonts w:cs="Arial"/>
          <w:szCs w:val="24"/>
        </w:rPr>
        <w:t xml:space="preserve"> include groups who may face compound disadvantage</w:t>
      </w:r>
      <w:r w:rsidR="00EF5ACC" w:rsidRPr="00595FE6">
        <w:rPr>
          <w:rFonts w:cs="Arial"/>
          <w:szCs w:val="24"/>
        </w:rPr>
        <w:t xml:space="preserve"> and inequalities</w:t>
      </w:r>
      <w:r w:rsidR="00B4298C" w:rsidRPr="00595FE6">
        <w:rPr>
          <w:rFonts w:cs="Arial"/>
          <w:szCs w:val="24"/>
        </w:rPr>
        <w:t>, such as</w:t>
      </w:r>
      <w:r w:rsidRPr="00595FE6">
        <w:rPr>
          <w:rFonts w:cs="Arial"/>
          <w:szCs w:val="24"/>
        </w:rPr>
        <w:t xml:space="preserve"> looked after children, care leavers, those with social care needs, those in alternative provision, those educated at home or out of area, those in hospital, children of service personnel, and children or young people in youth custody. </w:t>
      </w:r>
    </w:p>
    <w:p w14:paraId="064C5C3D" w14:textId="6087E494" w:rsidR="00BE5539" w:rsidRPr="00595FE6" w:rsidRDefault="00BE5539" w:rsidP="0096012C">
      <w:pPr>
        <w:pStyle w:val="Heading3"/>
      </w:pPr>
      <w:r w:rsidRPr="00595FE6">
        <w:t xml:space="preserve">Transition points </w:t>
      </w:r>
    </w:p>
    <w:p w14:paraId="35ABB487" w14:textId="77777777" w:rsidR="007C6135" w:rsidRDefault="00BE5539" w:rsidP="00D9246A">
      <w:pPr>
        <w:spacing w:line="240" w:lineRule="auto"/>
        <w:rPr>
          <w:rFonts w:cs="Arial"/>
          <w:szCs w:val="24"/>
        </w:rPr>
      </w:pPr>
      <w:r w:rsidRPr="00595FE6">
        <w:rPr>
          <w:rFonts w:cs="Arial"/>
          <w:szCs w:val="24"/>
        </w:rPr>
        <w:t>The SEND Code of Practice emphasises early preparation for transitions between educational stages and into adulthood. SEN support should include proactive information sharing as the child moves into another school, to ensure that their needs are understood and met. This should be done in collaboration with young people and parents</w:t>
      </w:r>
      <w:r w:rsidR="001F7BAD">
        <w:rPr>
          <w:rFonts w:cs="Arial"/>
          <w:szCs w:val="24"/>
        </w:rPr>
        <w:t>/carers</w:t>
      </w:r>
      <w:r w:rsidRPr="00595FE6">
        <w:rPr>
          <w:rFonts w:cs="Arial"/>
          <w:szCs w:val="24"/>
        </w:rPr>
        <w:t>.</w:t>
      </w:r>
    </w:p>
    <w:p w14:paraId="13F33B5C" w14:textId="77777777" w:rsidR="007C6135" w:rsidRDefault="00BE5539" w:rsidP="00D9246A">
      <w:pPr>
        <w:spacing w:line="240" w:lineRule="auto"/>
        <w:rPr>
          <w:rFonts w:cs="Arial"/>
          <w:szCs w:val="24"/>
        </w:rPr>
      </w:pPr>
      <w:r w:rsidRPr="00595FE6">
        <w:rPr>
          <w:rFonts w:cs="Arial"/>
          <w:szCs w:val="24"/>
        </w:rPr>
        <w:t xml:space="preserve">Children and young people should be supported from an early age to make choices for themselves, and to realise their ambitions in higher education, employment or training, living as independently as possible, and being part of their communities. </w:t>
      </w:r>
    </w:p>
    <w:p w14:paraId="3A7B44C3" w14:textId="17398014" w:rsidR="00BE5539" w:rsidRPr="00595FE6" w:rsidRDefault="00BE5539" w:rsidP="00D9246A">
      <w:pPr>
        <w:spacing w:line="240" w:lineRule="auto"/>
        <w:rPr>
          <w:rFonts w:cs="Arial"/>
          <w:szCs w:val="24"/>
        </w:rPr>
      </w:pPr>
      <w:r w:rsidRPr="00595FE6">
        <w:rPr>
          <w:rFonts w:cs="Arial"/>
          <w:szCs w:val="24"/>
        </w:rPr>
        <w:t>From Year 9 onwards preparing for adult life should be included in educational support, and EHC plans from this point must consider future planning. This might include preparations for further education, employment, or training, transition to adult health and social care services and wider support such as with housing, navigating transport systems and engaging with social and community activities.</w:t>
      </w:r>
    </w:p>
    <w:p w14:paraId="2609B3F3" w14:textId="6EEB4428" w:rsidR="00BE5539" w:rsidRPr="00595FE6" w:rsidRDefault="00BE5539" w:rsidP="00D9246A">
      <w:pPr>
        <w:spacing w:line="240" w:lineRule="auto"/>
        <w:rPr>
          <w:rFonts w:cs="Arial"/>
          <w:szCs w:val="24"/>
        </w:rPr>
      </w:pPr>
      <w:r w:rsidRPr="00595FE6">
        <w:rPr>
          <w:rFonts w:cs="Arial"/>
          <w:szCs w:val="24"/>
        </w:rPr>
        <w:lastRenderedPageBreak/>
        <w:t>Supporting positive transitions into adulthood is also a national strategic priority for children and young people with autism. This entails improving access to employment or higher education opportunities, alongside improved welfare support for those unable to work.</w:t>
      </w:r>
      <w:r w:rsidRPr="00595FE6">
        <w:rPr>
          <w:rStyle w:val="EndnoteReference"/>
          <w:rFonts w:cs="Arial"/>
          <w:szCs w:val="24"/>
        </w:rPr>
        <w:endnoteReference w:id="19"/>
      </w:r>
      <w:r w:rsidRPr="00595FE6">
        <w:rPr>
          <w:rFonts w:cs="Arial"/>
          <w:szCs w:val="24"/>
        </w:rPr>
        <w:t xml:space="preserve"> </w:t>
      </w:r>
    </w:p>
    <w:p w14:paraId="5C3E98D3" w14:textId="77777777" w:rsidR="00BE5539" w:rsidRPr="00595FE6" w:rsidRDefault="00BE5539" w:rsidP="0096012C">
      <w:pPr>
        <w:pStyle w:val="Heading3"/>
      </w:pPr>
      <w:r w:rsidRPr="00595FE6">
        <w:t>Health and social care</w:t>
      </w:r>
    </w:p>
    <w:p w14:paraId="6879BA4E" w14:textId="77777777" w:rsidR="00BE5539" w:rsidRPr="00595FE6" w:rsidRDefault="00BE5539" w:rsidP="00D9246A">
      <w:pPr>
        <w:spacing w:line="240" w:lineRule="auto"/>
        <w:rPr>
          <w:rFonts w:cs="Arial"/>
          <w:szCs w:val="24"/>
        </w:rPr>
      </w:pPr>
      <w:r w:rsidRPr="00595FE6">
        <w:rPr>
          <w:rFonts w:cs="Arial"/>
          <w:szCs w:val="24"/>
        </w:rPr>
        <w:t xml:space="preserve">Many children and young people with SEND, LD and ND may also have health and social care needs. The 2014 Children and Families Act and SEND Code of Practice requires the integrated working of education, health and social care agencies and the co-commissioning of services to meet these diverse needs. </w:t>
      </w:r>
    </w:p>
    <w:p w14:paraId="20ED3281" w14:textId="77777777" w:rsidR="00BE5539" w:rsidRPr="00595FE6" w:rsidRDefault="00BE5539" w:rsidP="00D9246A">
      <w:pPr>
        <w:spacing w:line="240" w:lineRule="auto"/>
        <w:rPr>
          <w:rFonts w:cs="Arial"/>
          <w:szCs w:val="24"/>
        </w:rPr>
      </w:pPr>
      <w:r w:rsidRPr="00595FE6">
        <w:rPr>
          <w:rFonts w:cs="Arial"/>
          <w:szCs w:val="24"/>
        </w:rPr>
        <w:t>Multi-disciplinary health services have a key role in early identification of SEN and in support of children and young people with long-term conditions or disabilities. Healthcare professionals should work with the person and their family to optimally manage their health needs, including support with transition plans, coordination of care and referrals to other services. Within educational settings, children and young people who have SEN and medical conditions will usually have individual healthcare plans to support their needs; for those with EHC plans this will be formalised through the plan.</w:t>
      </w:r>
      <w:r w:rsidRPr="00595FE6">
        <w:rPr>
          <w:rStyle w:val="EndnoteReference"/>
          <w:rFonts w:cs="Arial"/>
          <w:szCs w:val="24"/>
        </w:rPr>
        <w:endnoteReference w:id="20"/>
      </w:r>
    </w:p>
    <w:p w14:paraId="46B7557B" w14:textId="0883F8C3" w:rsidR="00BE5539" w:rsidRPr="00595FE6" w:rsidRDefault="00BE5539" w:rsidP="00D9246A">
      <w:pPr>
        <w:spacing w:line="240" w:lineRule="auto"/>
        <w:rPr>
          <w:rFonts w:cs="Arial"/>
          <w:szCs w:val="24"/>
        </w:rPr>
      </w:pPr>
      <w:r w:rsidRPr="00595FE6">
        <w:rPr>
          <w:rFonts w:cs="Arial"/>
          <w:szCs w:val="24"/>
        </w:rPr>
        <w:t xml:space="preserve">There should be a Designated Medical </w:t>
      </w:r>
      <w:r w:rsidR="00AD1CE2">
        <w:rPr>
          <w:rFonts w:cs="Arial"/>
          <w:szCs w:val="24"/>
        </w:rPr>
        <w:t>or Clinical</w:t>
      </w:r>
      <w:r w:rsidRPr="00595FE6">
        <w:rPr>
          <w:rFonts w:cs="Arial"/>
          <w:szCs w:val="24"/>
        </w:rPr>
        <w:t xml:space="preserve"> Officer (DMO</w:t>
      </w:r>
      <w:r w:rsidR="00AD1CE2">
        <w:rPr>
          <w:rFonts w:cs="Arial"/>
          <w:szCs w:val="24"/>
        </w:rPr>
        <w:t xml:space="preserve"> / DCO</w:t>
      </w:r>
      <w:r w:rsidRPr="00595FE6">
        <w:rPr>
          <w:rFonts w:cs="Arial"/>
          <w:szCs w:val="24"/>
        </w:rPr>
        <w:t>) whose role is to maintain an oversight of local needs and provision of health services for children and young people with SEND, and to engage with social, education and health care providers, as well as children, young people and their families and carers, to support joined up working across these networks.</w:t>
      </w:r>
      <w:r w:rsidRPr="00595FE6">
        <w:rPr>
          <w:rStyle w:val="EndnoteReference"/>
          <w:rFonts w:cs="Arial"/>
          <w:szCs w:val="24"/>
        </w:rPr>
        <w:endnoteReference w:id="21"/>
      </w:r>
    </w:p>
    <w:p w14:paraId="0FB1CBC2" w14:textId="7EE41547" w:rsidR="71A64541" w:rsidRDefault="1A5EA8FE" w:rsidP="00D9246A">
      <w:pPr>
        <w:spacing w:line="240" w:lineRule="auto"/>
        <w:rPr>
          <w:rFonts w:cs="Arial"/>
          <w:color w:val="FF0000"/>
        </w:rPr>
      </w:pPr>
      <w:r w:rsidRPr="00527C37">
        <w:rPr>
          <w:rFonts w:cs="Arial"/>
        </w:rPr>
        <w:t>Social care teams must ensure that children with SEN or disabilities who have additional social care needs have appropriate provision and are assessed and reviewed within statutory timeframes and in line with their EHC plan. A designated social care contact is required to provide advice for educational providers, and social care teams must work closely with Virtual School Heads to coordinate provision for looked‑after children. For young people turning 18 years old, there must be appropriate planning and support for the transition into adult services, including support for parent carers as young people leave full‑time education.</w:t>
      </w:r>
      <w:r w:rsidR="00690EAA" w:rsidRPr="00527C37">
        <w:rPr>
          <w:rStyle w:val="EndnoteReference"/>
          <w:rFonts w:cs="Arial"/>
          <w:szCs w:val="24"/>
        </w:rPr>
        <w:t xml:space="preserve"> </w:t>
      </w:r>
      <w:r w:rsidR="00690EAA" w:rsidRPr="00595FE6">
        <w:rPr>
          <w:rStyle w:val="EndnoteReference"/>
          <w:rFonts w:cs="Arial"/>
          <w:szCs w:val="24"/>
        </w:rPr>
        <w:endnoteReference w:id="22"/>
      </w:r>
    </w:p>
    <w:p w14:paraId="025728A1" w14:textId="2BA29DBC" w:rsidR="00BE5539" w:rsidRPr="00595FE6" w:rsidRDefault="00BE5539" w:rsidP="00D9246A">
      <w:pPr>
        <w:spacing w:line="240" w:lineRule="auto"/>
        <w:rPr>
          <w:rFonts w:cs="Arial"/>
          <w:szCs w:val="24"/>
        </w:rPr>
      </w:pPr>
      <w:r w:rsidRPr="00595FE6">
        <w:rPr>
          <w:rFonts w:cs="Arial"/>
          <w:szCs w:val="24"/>
        </w:rPr>
        <w:t>Where young people are likely to need care and support in adulthood, they or their parents can request the local authority conduct a Child Needs Assessment as they approach the age of 18, whether or not they have an EHC plan (The Care Act, 2014, Section 58).</w:t>
      </w:r>
    </w:p>
    <w:p w14:paraId="64BE4CE7" w14:textId="77777777" w:rsidR="00BE5539" w:rsidRPr="00595FE6" w:rsidRDefault="00BE5539" w:rsidP="00D9246A">
      <w:pPr>
        <w:spacing w:line="240" w:lineRule="auto"/>
        <w:rPr>
          <w:rFonts w:cs="Arial"/>
          <w:szCs w:val="24"/>
        </w:rPr>
      </w:pPr>
      <w:r w:rsidRPr="00595FE6">
        <w:rPr>
          <w:rFonts w:cs="Arial"/>
          <w:szCs w:val="24"/>
        </w:rPr>
        <w:t>The role of Designated Social Care Officer is in development nationally to improve the integration of social care with the SEND system and may become embedded into the Code of Practice.</w:t>
      </w:r>
      <w:r w:rsidRPr="00595FE6">
        <w:rPr>
          <w:rStyle w:val="EndnoteReference"/>
          <w:rFonts w:cs="Arial"/>
          <w:szCs w:val="24"/>
        </w:rPr>
        <w:endnoteReference w:id="23"/>
      </w:r>
      <w:r w:rsidRPr="00595FE6">
        <w:rPr>
          <w:rFonts w:cs="Arial"/>
          <w:szCs w:val="24"/>
        </w:rPr>
        <w:t xml:space="preserve"> </w:t>
      </w:r>
    </w:p>
    <w:p w14:paraId="65241F25" w14:textId="77777777" w:rsidR="00B65446" w:rsidRDefault="00BE5539" w:rsidP="00D9246A">
      <w:pPr>
        <w:spacing w:line="240" w:lineRule="auto"/>
        <w:rPr>
          <w:rFonts w:cs="Arial"/>
        </w:rPr>
      </w:pPr>
      <w:r w:rsidRPr="37D40D45">
        <w:rPr>
          <w:rFonts w:cs="Arial"/>
        </w:rPr>
        <w:t xml:space="preserve">National guidance recognises disparities in health and social outcomes for children and young people with SEND, LD and ND. </w:t>
      </w:r>
    </w:p>
    <w:p w14:paraId="46C075CD" w14:textId="77777777" w:rsidR="009B0958" w:rsidRPr="00A549C1" w:rsidRDefault="009B0958" w:rsidP="00D9246A">
      <w:pPr>
        <w:spacing w:line="240" w:lineRule="auto"/>
        <w:rPr>
          <w:rFonts w:cs="Arial"/>
          <w:b/>
          <w:color w:val="0079C2"/>
        </w:rPr>
      </w:pPr>
      <w:r w:rsidRPr="00A549C1">
        <w:rPr>
          <w:rFonts w:cs="Arial"/>
          <w:b/>
          <w:color w:val="0079C2"/>
        </w:rPr>
        <w:t>Autistic young people</w:t>
      </w:r>
    </w:p>
    <w:p w14:paraId="32EF32EA" w14:textId="077B41A3" w:rsidR="007A35E6" w:rsidRDefault="0059183B" w:rsidP="00D9246A">
      <w:pPr>
        <w:spacing w:line="240" w:lineRule="auto"/>
        <w:rPr>
          <w:rFonts w:cs="Arial"/>
        </w:rPr>
      </w:pPr>
      <w:r>
        <w:rPr>
          <w:rFonts w:cs="Arial"/>
        </w:rPr>
        <w:t xml:space="preserve">Autistic children and young people often experience higher risk. </w:t>
      </w:r>
      <w:r w:rsidR="00BE5539" w:rsidRPr="37D40D45">
        <w:rPr>
          <w:rFonts w:cs="Arial"/>
        </w:rPr>
        <w:t xml:space="preserve">The National Suicide Prevention </w:t>
      </w:r>
      <w:r w:rsidR="00DF7EFB" w:rsidRPr="37D40D45">
        <w:rPr>
          <w:rFonts w:cs="Arial"/>
        </w:rPr>
        <w:t>S</w:t>
      </w:r>
      <w:r w:rsidR="00BE5539" w:rsidRPr="37D40D45">
        <w:rPr>
          <w:rFonts w:cs="Arial"/>
        </w:rPr>
        <w:t>trategy identifies autistic people, including children and young people to be at higher risk of dying by suicide.</w:t>
      </w:r>
      <w:r w:rsidR="00BE5539" w:rsidRPr="37D40D45">
        <w:rPr>
          <w:rStyle w:val="EndnoteReference"/>
          <w:rFonts w:cs="Arial"/>
        </w:rPr>
        <w:endnoteReference w:id="24"/>
      </w:r>
      <w:r w:rsidR="00BE5539" w:rsidRPr="37D40D45">
        <w:rPr>
          <w:rFonts w:cs="Arial"/>
        </w:rPr>
        <w:t xml:space="preserve"> </w:t>
      </w:r>
      <w:r w:rsidR="00E22388">
        <w:rPr>
          <w:rFonts w:cs="Arial"/>
        </w:rPr>
        <w:t xml:space="preserve">An analysis of </w:t>
      </w:r>
      <w:r w:rsidR="00EA0E0F">
        <w:rPr>
          <w:rFonts w:cs="Arial"/>
        </w:rPr>
        <w:t xml:space="preserve">37 </w:t>
      </w:r>
      <w:r w:rsidR="00482B60">
        <w:rPr>
          <w:rFonts w:cs="Arial"/>
        </w:rPr>
        <w:t>prevention of future death reports</w:t>
      </w:r>
      <w:r w:rsidR="00EA0E0F">
        <w:rPr>
          <w:rStyle w:val="FootnoteReference"/>
        </w:rPr>
        <w:footnoteReference w:id="2"/>
      </w:r>
      <w:r w:rsidR="00482B60">
        <w:rPr>
          <w:rFonts w:cs="Arial"/>
        </w:rPr>
        <w:t xml:space="preserve"> for </w:t>
      </w:r>
      <w:r w:rsidR="00E22388">
        <w:rPr>
          <w:rFonts w:cs="Arial"/>
        </w:rPr>
        <w:t xml:space="preserve">suicides in children in England and Wales from January 2015 to November 2023, 25% </w:t>
      </w:r>
      <w:r w:rsidR="00482B60">
        <w:rPr>
          <w:rFonts w:cs="Arial"/>
        </w:rPr>
        <w:t xml:space="preserve">had a diagnosis of </w:t>
      </w:r>
      <w:r w:rsidR="00D84896">
        <w:rPr>
          <w:rFonts w:cs="Arial"/>
        </w:rPr>
        <w:t>autism or Asperger’s</w:t>
      </w:r>
      <w:r w:rsidR="00EA0E0F">
        <w:rPr>
          <w:rFonts w:cs="Arial"/>
        </w:rPr>
        <w:t>.</w:t>
      </w:r>
      <w:r w:rsidR="00482B60">
        <w:rPr>
          <w:rFonts w:cs="Arial"/>
        </w:rPr>
        <w:t xml:space="preserve"> </w:t>
      </w:r>
      <w:r w:rsidR="00D34EC2" w:rsidRPr="00D34EC2">
        <w:rPr>
          <w:rFonts w:cs="Arial"/>
        </w:rPr>
        <w:t>Analysis identified that reports raised a lack of training available for staff working with children with additional needs such as autism</w:t>
      </w:r>
      <w:r w:rsidR="00563636">
        <w:rPr>
          <w:rFonts w:cs="Arial"/>
        </w:rPr>
        <w:t xml:space="preserve"> and noted that </w:t>
      </w:r>
      <w:r w:rsidR="00563636" w:rsidRPr="00563636">
        <w:rPr>
          <w:rFonts w:cs="Arial"/>
        </w:rPr>
        <w:lastRenderedPageBreak/>
        <w:t>delays in receiving diagnoses for conditions such as autism and access to specialist services for these conditions resulted in delays to support and inappropriate support.</w:t>
      </w:r>
      <w:r w:rsidR="00C91FFF">
        <w:rPr>
          <w:rStyle w:val="EndnoteReference"/>
        </w:rPr>
        <w:endnoteReference w:id="25"/>
      </w:r>
    </w:p>
    <w:p w14:paraId="73991E65" w14:textId="21FADA1A" w:rsidR="00BE5539" w:rsidRPr="00BC36B0" w:rsidRDefault="00BE5539" w:rsidP="00D9246A">
      <w:pPr>
        <w:spacing w:line="240" w:lineRule="auto"/>
        <w:rPr>
          <w:rFonts w:cs="Arial"/>
        </w:rPr>
      </w:pPr>
      <w:r w:rsidRPr="37D40D45">
        <w:rPr>
          <w:rFonts w:cs="Arial"/>
        </w:rPr>
        <w:t xml:space="preserve">In addition, a disproportionate number of </w:t>
      </w:r>
      <w:r w:rsidR="00FF2D38" w:rsidRPr="37D40D45">
        <w:rPr>
          <w:rFonts w:cs="Arial"/>
        </w:rPr>
        <w:t xml:space="preserve">autistic </w:t>
      </w:r>
      <w:r w:rsidRPr="37D40D45">
        <w:rPr>
          <w:rFonts w:cs="Arial"/>
        </w:rPr>
        <w:t xml:space="preserve">children and young people, </w:t>
      </w:r>
      <w:r w:rsidR="00BF579A">
        <w:rPr>
          <w:rFonts w:cs="Arial"/>
        </w:rPr>
        <w:t xml:space="preserve">children and young people with </w:t>
      </w:r>
      <w:r w:rsidRPr="37D40D45">
        <w:rPr>
          <w:rFonts w:cs="Arial"/>
        </w:rPr>
        <w:t xml:space="preserve">learning disabilities, or both, are inpatients in mental health facilities. </w:t>
      </w:r>
      <w:r w:rsidR="00BE12B6" w:rsidRPr="37D40D45">
        <w:rPr>
          <w:rFonts w:cs="Arial"/>
        </w:rPr>
        <w:t xml:space="preserve">Recent </w:t>
      </w:r>
      <w:r w:rsidR="007C6E45" w:rsidRPr="37D40D45">
        <w:rPr>
          <w:rFonts w:cs="Arial"/>
        </w:rPr>
        <w:t>guidance targets</w:t>
      </w:r>
      <w:r w:rsidRPr="37D40D45">
        <w:rPr>
          <w:rFonts w:cs="Arial"/>
        </w:rPr>
        <w:t xml:space="preserve"> improved diagnostic pathways, reducing the gap in life expectancy and other health </w:t>
      </w:r>
      <w:r w:rsidRPr="000A4F19">
        <w:rPr>
          <w:rFonts w:cs="Arial"/>
        </w:rPr>
        <w:t>out</w:t>
      </w:r>
      <w:r w:rsidRPr="4389EE82">
        <w:rPr>
          <w:rFonts w:cs="Arial"/>
        </w:rPr>
        <w:t>comes, and improving social care, mental health and housing support, to prevent autistic people reaching crisis point and requiring inpatient care.</w:t>
      </w:r>
      <w:r w:rsidRPr="00BC36B0">
        <w:rPr>
          <w:rStyle w:val="EndnoteReference"/>
          <w:rFonts w:cs="Arial"/>
        </w:rPr>
        <w:endnoteReference w:id="26"/>
      </w:r>
      <w:r w:rsidRPr="4389EE82">
        <w:rPr>
          <w:rFonts w:cs="Arial"/>
          <w:vertAlign w:val="superscript"/>
        </w:rPr>
        <w:t>,</w:t>
      </w:r>
      <w:r w:rsidRPr="00BC36B0">
        <w:rPr>
          <w:rStyle w:val="EndnoteReference"/>
          <w:rFonts w:cs="Arial"/>
        </w:rPr>
        <w:endnoteReference w:id="27"/>
      </w:r>
      <w:r w:rsidRPr="37D40D45">
        <w:rPr>
          <w:rFonts w:cs="Arial"/>
        </w:rPr>
        <w:t xml:space="preserve"> </w:t>
      </w:r>
    </w:p>
    <w:p w14:paraId="54300FC9" w14:textId="5F74452B" w:rsidR="00BE5539" w:rsidRPr="00BC36B0" w:rsidRDefault="00BE5539" w:rsidP="00D9246A">
      <w:pPr>
        <w:spacing w:line="240" w:lineRule="auto"/>
        <w:rPr>
          <w:rFonts w:cs="Arial"/>
        </w:rPr>
      </w:pPr>
      <w:r w:rsidRPr="4389EE82">
        <w:rPr>
          <w:rFonts w:cs="Arial"/>
        </w:rPr>
        <w:t xml:space="preserve">The NHS </w:t>
      </w:r>
      <w:r w:rsidR="00D12BC5" w:rsidRPr="00D66311">
        <w:rPr>
          <w:rFonts w:cs="Arial"/>
        </w:rPr>
        <w:t>Ten-Year Health Plan</w:t>
      </w:r>
      <w:r w:rsidRPr="4389EE82">
        <w:rPr>
          <w:rFonts w:cs="Arial"/>
        </w:rPr>
        <w:t xml:space="preserve"> includes actions on reducing waiting times for specialist services and developing tailored support for children with learning disabilities, autism or neurodevelopmental disorders, including a designated keyworker for those with most complex needs. It also commits to tackling morbidity and preventable deaths, via the expansion of targeted health checks and campaigns such as STOMP-STAMP (stopping over medication of people with a learning disability and autistic people [STOMP] and supporting treatment and appropriate medication in paediatrics [STAMP]).</w:t>
      </w:r>
      <w:r w:rsidRPr="00BC36B0">
        <w:rPr>
          <w:rStyle w:val="EndnoteReference"/>
          <w:rFonts w:cs="Arial"/>
        </w:rPr>
        <w:endnoteReference w:id="28"/>
      </w:r>
    </w:p>
    <w:p w14:paraId="52DA7F0A" w14:textId="0AF94E69" w:rsidR="00BE5539" w:rsidRPr="00BC36B0" w:rsidRDefault="00BE5539" w:rsidP="00D9246A">
      <w:pPr>
        <w:spacing w:line="240" w:lineRule="auto"/>
        <w:rPr>
          <w:rFonts w:cs="Arial"/>
        </w:rPr>
      </w:pPr>
      <w:r w:rsidRPr="4389EE82">
        <w:rPr>
          <w:rFonts w:cs="Arial"/>
        </w:rPr>
        <w:t>Alongside this is an emphasis on workforce training. The Health and Care Act 2022</w:t>
      </w:r>
      <w:r w:rsidR="001E2EBB">
        <w:rPr>
          <w:rStyle w:val="EndnoteReference"/>
        </w:rPr>
        <w:endnoteReference w:id="29"/>
      </w:r>
      <w:r w:rsidR="00D47BE9">
        <w:rPr>
          <w:rFonts w:cs="Arial"/>
        </w:rPr>
        <w:t xml:space="preserve"> </w:t>
      </w:r>
      <w:r w:rsidRPr="4389EE82">
        <w:rPr>
          <w:rFonts w:cs="Arial"/>
        </w:rPr>
        <w:t>introduced a requirement for all health and care professionals to undergo training in learning disabilities and autism. The Oliver McGowan mandatory training programme that supports this aims to ensure that health and social care professionals “</w:t>
      </w:r>
      <w:r w:rsidRPr="005D24E4">
        <w:rPr>
          <w:rFonts w:cs="Arial"/>
        </w:rPr>
        <w:t>understand the needs of people with a learning disability and autistic people, and how to make adjustments to their care</w:t>
      </w:r>
      <w:r w:rsidRPr="4389EE82">
        <w:rPr>
          <w:rFonts w:cs="Arial"/>
          <w:i/>
        </w:rPr>
        <w:t>”.</w:t>
      </w:r>
      <w:r w:rsidRPr="00BC36B0">
        <w:rPr>
          <w:rStyle w:val="EndnoteReference"/>
          <w:rFonts w:cs="Arial"/>
          <w:i/>
        </w:rPr>
        <w:endnoteReference w:id="30"/>
      </w:r>
      <w:r w:rsidRPr="4389EE82">
        <w:rPr>
          <w:rFonts w:cs="Arial"/>
          <w:i/>
        </w:rPr>
        <w:t xml:space="preserve"> </w:t>
      </w:r>
      <w:r w:rsidRPr="4389EE82">
        <w:rPr>
          <w:rFonts w:cs="Arial"/>
        </w:rPr>
        <w:t>The Department of Health &amp; Social Care publishes guidance on SEND resources for commissioners, health and wellbeing boards and health service providers and professionals, which covers a wide range of conditions.</w:t>
      </w:r>
      <w:r w:rsidRPr="00BC36B0">
        <w:rPr>
          <w:rStyle w:val="EndnoteReference"/>
          <w:rFonts w:cs="Arial"/>
        </w:rPr>
        <w:endnoteReference w:id="31"/>
      </w:r>
    </w:p>
    <w:p w14:paraId="346D4E82" w14:textId="0E09E709" w:rsidR="00ED5F9E" w:rsidRPr="00595FE6" w:rsidRDefault="00390F9C" w:rsidP="00D9246A">
      <w:pPr>
        <w:pStyle w:val="Heading2"/>
        <w:spacing w:before="0" w:after="120"/>
      </w:pPr>
      <w:r w:rsidRPr="00595FE6">
        <w:t xml:space="preserve">Local </w:t>
      </w:r>
      <w:r w:rsidR="00330453" w:rsidRPr="00595FE6">
        <w:t>c</w:t>
      </w:r>
      <w:r w:rsidRPr="00595FE6">
        <w:t>ontext</w:t>
      </w:r>
      <w:r w:rsidR="00053C0A">
        <w:t xml:space="preserve"> – </w:t>
      </w:r>
      <w:r w:rsidR="008350E5">
        <w:t xml:space="preserve">Brighton &amp; Hove </w:t>
      </w:r>
      <w:r w:rsidR="00053C0A">
        <w:t>and Sussex</w:t>
      </w:r>
      <w:r w:rsidR="00BF3C9E" w:rsidRPr="00595FE6">
        <w:t xml:space="preserve"> </w:t>
      </w:r>
    </w:p>
    <w:p w14:paraId="59B55103" w14:textId="2225C946" w:rsidR="005A5117" w:rsidRPr="00595FE6" w:rsidRDefault="005A5117" w:rsidP="0096012C">
      <w:pPr>
        <w:pStyle w:val="Heading3"/>
      </w:pPr>
      <w:r w:rsidRPr="00595FE6">
        <w:t>Local inspection outcomes</w:t>
      </w:r>
      <w:r w:rsidR="00BF147E">
        <w:t xml:space="preserve"> </w:t>
      </w:r>
    </w:p>
    <w:p w14:paraId="606A7C5B" w14:textId="0CB13BD3" w:rsidR="005A5117" w:rsidRPr="00595FE6" w:rsidRDefault="00BF147E" w:rsidP="00D9246A">
      <w:pPr>
        <w:spacing w:line="240" w:lineRule="auto"/>
        <w:rPr>
          <w:rFonts w:cs="Arial"/>
          <w:szCs w:val="24"/>
        </w:rPr>
      </w:pPr>
      <w:r>
        <w:rPr>
          <w:rFonts w:cs="Arial"/>
          <w:szCs w:val="24"/>
        </w:rPr>
        <w:t>In the</w:t>
      </w:r>
      <w:r w:rsidR="00F834BE" w:rsidRPr="00595FE6">
        <w:rPr>
          <w:rFonts w:cs="Arial"/>
          <w:szCs w:val="24"/>
        </w:rPr>
        <w:t xml:space="preserve"> </w:t>
      </w:r>
      <w:r w:rsidRPr="00BF147E">
        <w:rPr>
          <w:rFonts w:cs="Arial"/>
          <w:szCs w:val="24"/>
        </w:rPr>
        <w:t xml:space="preserve">Area SEND inspection of Brighton &amp; Hove Local Area Partnership </w:t>
      </w:r>
      <w:r>
        <w:rPr>
          <w:rFonts w:cs="Arial"/>
          <w:szCs w:val="24"/>
        </w:rPr>
        <w:t xml:space="preserve">in </w:t>
      </w:r>
      <w:r w:rsidR="008025BE" w:rsidRPr="00595FE6">
        <w:rPr>
          <w:rFonts w:cs="Arial"/>
          <w:szCs w:val="24"/>
        </w:rPr>
        <w:t>March 2023</w:t>
      </w:r>
      <w:r w:rsidRPr="00595FE6">
        <w:rPr>
          <w:rStyle w:val="EndnoteReference"/>
          <w:rFonts w:cs="Arial"/>
          <w:szCs w:val="24"/>
        </w:rPr>
        <w:endnoteReference w:id="32"/>
      </w:r>
      <w:r w:rsidR="008025BE" w:rsidRPr="00595FE6">
        <w:rPr>
          <w:rFonts w:cs="Arial"/>
          <w:szCs w:val="24"/>
        </w:rPr>
        <w:t xml:space="preserve"> Ofsted and the Care Quality Commission</w:t>
      </w:r>
      <w:r w:rsidR="00C016D7" w:rsidRPr="00595FE6">
        <w:rPr>
          <w:rFonts w:cs="Arial"/>
          <w:szCs w:val="24"/>
        </w:rPr>
        <w:t xml:space="preserve"> (CQC)</w:t>
      </w:r>
      <w:r w:rsidR="00F834BE" w:rsidRPr="00595FE6">
        <w:rPr>
          <w:rFonts w:cs="Arial"/>
          <w:szCs w:val="24"/>
        </w:rPr>
        <w:t xml:space="preserve"> inspection</w:t>
      </w:r>
      <w:r w:rsidR="00E71EE2" w:rsidRPr="00595FE6">
        <w:rPr>
          <w:rFonts w:cs="Arial"/>
          <w:szCs w:val="24"/>
        </w:rPr>
        <w:t xml:space="preserve"> outcome</w:t>
      </w:r>
      <w:r w:rsidR="008025BE" w:rsidRPr="00595FE6">
        <w:rPr>
          <w:rFonts w:cs="Arial"/>
          <w:szCs w:val="24"/>
        </w:rPr>
        <w:t xml:space="preserve"> </w:t>
      </w:r>
      <w:r w:rsidR="00ED1DAD" w:rsidRPr="00595FE6">
        <w:rPr>
          <w:rFonts w:cs="Arial"/>
          <w:szCs w:val="24"/>
        </w:rPr>
        <w:t>noted that arrangements</w:t>
      </w:r>
      <w:r w:rsidR="00F834BE" w:rsidRPr="00595FE6">
        <w:rPr>
          <w:rFonts w:cs="Arial"/>
          <w:szCs w:val="24"/>
        </w:rPr>
        <w:t xml:space="preserve"> </w:t>
      </w:r>
      <w:r w:rsidR="00ED1DAD" w:rsidRPr="00813ECE">
        <w:rPr>
          <w:rFonts w:cs="Arial"/>
          <w:color w:val="A65588"/>
          <w:szCs w:val="24"/>
        </w:rPr>
        <w:t xml:space="preserve">‘typically lead to positive </w:t>
      </w:r>
      <w:r w:rsidR="00B02127" w:rsidRPr="00813ECE">
        <w:rPr>
          <w:rFonts w:cs="Arial"/>
          <w:color w:val="A65588"/>
          <w:szCs w:val="24"/>
        </w:rPr>
        <w:t xml:space="preserve">experiences and outcomes </w:t>
      </w:r>
      <w:r w:rsidR="00491F7C" w:rsidRPr="00813ECE">
        <w:rPr>
          <w:rFonts w:cs="Arial"/>
          <w:color w:val="A65588"/>
          <w:szCs w:val="24"/>
        </w:rPr>
        <w:t xml:space="preserve">for children and young people with special educational needs and/or disabilities </w:t>
      </w:r>
      <w:r w:rsidR="00F834BE" w:rsidRPr="00813ECE">
        <w:rPr>
          <w:rFonts w:cs="Arial"/>
          <w:color w:val="A65588"/>
          <w:szCs w:val="24"/>
        </w:rPr>
        <w:t>(SEND).’</w:t>
      </w:r>
      <w:r w:rsidR="00D02E0C" w:rsidRPr="00595FE6">
        <w:rPr>
          <w:rFonts w:cs="Arial"/>
          <w:szCs w:val="24"/>
        </w:rPr>
        <w:t xml:space="preserve"> The report included </w:t>
      </w:r>
      <w:r w:rsidR="00B137A7" w:rsidRPr="00595FE6">
        <w:rPr>
          <w:rFonts w:cs="Arial"/>
          <w:szCs w:val="24"/>
        </w:rPr>
        <w:t>findings about what is effective, and wh</w:t>
      </w:r>
      <w:r w:rsidR="00D63C9C">
        <w:rPr>
          <w:rFonts w:cs="Arial"/>
          <w:szCs w:val="24"/>
        </w:rPr>
        <w:t>at</w:t>
      </w:r>
      <w:r w:rsidR="00B137A7" w:rsidRPr="00595FE6">
        <w:rPr>
          <w:rFonts w:cs="Arial"/>
          <w:szCs w:val="24"/>
        </w:rPr>
        <w:t xml:space="preserve"> it need</w:t>
      </w:r>
      <w:r w:rsidR="009A7811" w:rsidRPr="00595FE6">
        <w:rPr>
          <w:rFonts w:cs="Arial"/>
          <w:szCs w:val="24"/>
        </w:rPr>
        <w:t>s to do better.</w:t>
      </w:r>
    </w:p>
    <w:p w14:paraId="425F058A" w14:textId="5127386C" w:rsidR="009A7811" w:rsidRPr="001F6F21" w:rsidRDefault="009A7811" w:rsidP="00D9246A">
      <w:pPr>
        <w:spacing w:line="240" w:lineRule="auto"/>
        <w:rPr>
          <w:rFonts w:cs="Arial"/>
          <w:b/>
          <w:color w:val="0079C2"/>
          <w:szCs w:val="24"/>
        </w:rPr>
      </w:pPr>
      <w:r w:rsidRPr="001F6F21">
        <w:rPr>
          <w:rFonts w:cs="Arial"/>
          <w:b/>
          <w:color w:val="0079C2"/>
          <w:szCs w:val="24"/>
        </w:rPr>
        <w:t>What is the partnership doing that is effective?</w:t>
      </w:r>
    </w:p>
    <w:p w14:paraId="39231B6B" w14:textId="653FB628" w:rsidR="009A7811" w:rsidRPr="00F0366A" w:rsidRDefault="00D077C4" w:rsidP="009858E3">
      <w:pPr>
        <w:pStyle w:val="ListParagraph"/>
        <w:numPr>
          <w:ilvl w:val="0"/>
          <w:numId w:val="35"/>
        </w:numPr>
        <w:spacing w:line="240" w:lineRule="auto"/>
        <w:rPr>
          <w:rFonts w:cs="Arial"/>
          <w:color w:val="000000" w:themeColor="text1"/>
          <w:szCs w:val="24"/>
        </w:rPr>
      </w:pPr>
      <w:r w:rsidRPr="00562B5B">
        <w:rPr>
          <w:rFonts w:cs="Arial"/>
          <w:color w:val="000000" w:themeColor="text1"/>
          <w:szCs w:val="24"/>
        </w:rPr>
        <w:t>Practitioners</w:t>
      </w:r>
      <w:r w:rsidR="00411985" w:rsidRPr="00562B5B">
        <w:rPr>
          <w:rFonts w:cs="Arial"/>
          <w:color w:val="000000" w:themeColor="text1"/>
          <w:szCs w:val="24"/>
        </w:rPr>
        <w:t xml:space="preserve">, </w:t>
      </w:r>
      <w:r w:rsidR="00411985" w:rsidRPr="00F0366A">
        <w:rPr>
          <w:rFonts w:cs="Arial"/>
          <w:color w:val="000000" w:themeColor="text1"/>
          <w:szCs w:val="24"/>
        </w:rPr>
        <w:t>managers and leaders are ambitious for children and young people with SEND. Partnership working in the early years is strong</w:t>
      </w:r>
    </w:p>
    <w:p w14:paraId="0FEBA63D" w14:textId="7D16A437" w:rsidR="00411985" w:rsidRPr="00F0366A" w:rsidRDefault="007660C9" w:rsidP="009858E3">
      <w:pPr>
        <w:pStyle w:val="ListParagraph"/>
        <w:numPr>
          <w:ilvl w:val="0"/>
          <w:numId w:val="35"/>
        </w:numPr>
        <w:spacing w:line="240" w:lineRule="auto"/>
        <w:rPr>
          <w:rFonts w:cs="Arial"/>
          <w:color w:val="000000" w:themeColor="text1"/>
          <w:szCs w:val="24"/>
        </w:rPr>
      </w:pPr>
      <w:r w:rsidRPr="00F0366A">
        <w:rPr>
          <w:rFonts w:cs="Arial"/>
          <w:color w:val="000000" w:themeColor="text1"/>
          <w:szCs w:val="24"/>
        </w:rPr>
        <w:t>Leaders have a</w:t>
      </w:r>
      <w:r w:rsidR="00A11C28" w:rsidRPr="00F0366A">
        <w:rPr>
          <w:rFonts w:cs="Arial"/>
          <w:color w:val="000000" w:themeColor="text1"/>
          <w:szCs w:val="24"/>
        </w:rPr>
        <w:t>n accurate,</w:t>
      </w:r>
      <w:r w:rsidRPr="00F0366A">
        <w:rPr>
          <w:rFonts w:cs="Arial"/>
          <w:color w:val="000000" w:themeColor="text1"/>
          <w:szCs w:val="24"/>
        </w:rPr>
        <w:t xml:space="preserve"> shared understanding of needs, and </w:t>
      </w:r>
      <w:r w:rsidR="00993A43" w:rsidRPr="00F0366A">
        <w:rPr>
          <w:rFonts w:cs="Arial"/>
          <w:color w:val="000000" w:themeColor="text1"/>
          <w:szCs w:val="24"/>
        </w:rPr>
        <w:t xml:space="preserve">strategies and </w:t>
      </w:r>
      <w:r w:rsidR="005F226C" w:rsidRPr="00F0366A">
        <w:rPr>
          <w:rFonts w:cs="Arial"/>
          <w:color w:val="000000" w:themeColor="text1"/>
          <w:szCs w:val="24"/>
        </w:rPr>
        <w:t xml:space="preserve">new professional </w:t>
      </w:r>
      <w:r w:rsidR="00993A43" w:rsidRPr="00F0366A">
        <w:rPr>
          <w:rFonts w:cs="Arial"/>
          <w:color w:val="000000" w:themeColor="text1"/>
          <w:szCs w:val="24"/>
        </w:rPr>
        <w:t xml:space="preserve">roles </w:t>
      </w:r>
      <w:r w:rsidR="00A11C28" w:rsidRPr="00F0366A">
        <w:rPr>
          <w:rFonts w:cs="Arial"/>
          <w:color w:val="000000" w:themeColor="text1"/>
          <w:szCs w:val="24"/>
        </w:rPr>
        <w:t>across services reflect this</w:t>
      </w:r>
    </w:p>
    <w:p w14:paraId="238ED816" w14:textId="43409719" w:rsidR="00A11C28" w:rsidRPr="00F0366A" w:rsidRDefault="005001D9" w:rsidP="009858E3">
      <w:pPr>
        <w:pStyle w:val="ListParagraph"/>
        <w:numPr>
          <w:ilvl w:val="0"/>
          <w:numId w:val="35"/>
        </w:numPr>
        <w:spacing w:line="240" w:lineRule="auto"/>
        <w:rPr>
          <w:rFonts w:cs="Arial"/>
          <w:color w:val="000000" w:themeColor="text1"/>
          <w:szCs w:val="24"/>
        </w:rPr>
      </w:pPr>
      <w:r w:rsidRPr="00F0366A">
        <w:rPr>
          <w:rFonts w:cs="Arial"/>
          <w:color w:val="000000" w:themeColor="text1"/>
          <w:szCs w:val="24"/>
        </w:rPr>
        <w:t xml:space="preserve">Co-production is a strength, </w:t>
      </w:r>
      <w:r w:rsidR="00BC5DD8" w:rsidRPr="00F0366A">
        <w:rPr>
          <w:rFonts w:cs="Arial"/>
          <w:color w:val="000000" w:themeColor="text1"/>
          <w:szCs w:val="24"/>
        </w:rPr>
        <w:t xml:space="preserve">evidenced in strategic and operational examples across the city. The voices of parents, carers and children and young people </w:t>
      </w:r>
      <w:r w:rsidR="003A258A" w:rsidRPr="00F0366A">
        <w:rPr>
          <w:rFonts w:cs="Arial"/>
          <w:color w:val="000000" w:themeColor="text1"/>
          <w:szCs w:val="24"/>
        </w:rPr>
        <w:t xml:space="preserve">influence service and strategy development </w:t>
      </w:r>
    </w:p>
    <w:p w14:paraId="1DA8F7A3" w14:textId="7FFB5589" w:rsidR="00466067" w:rsidRPr="00F0366A" w:rsidRDefault="002124FC" w:rsidP="009858E3">
      <w:pPr>
        <w:pStyle w:val="ListParagraph"/>
        <w:numPr>
          <w:ilvl w:val="0"/>
          <w:numId w:val="35"/>
        </w:numPr>
        <w:spacing w:line="240" w:lineRule="auto"/>
        <w:rPr>
          <w:rFonts w:cs="Arial"/>
          <w:color w:val="000000" w:themeColor="text1"/>
          <w:szCs w:val="24"/>
        </w:rPr>
      </w:pPr>
      <w:r w:rsidRPr="00F0366A">
        <w:rPr>
          <w:rFonts w:cs="Arial"/>
          <w:color w:val="000000" w:themeColor="text1"/>
          <w:szCs w:val="24"/>
        </w:rPr>
        <w:t>Recent adaptations to forums that support children and young people have improved multi-agency support for those with complex needs</w:t>
      </w:r>
    </w:p>
    <w:p w14:paraId="64D751C2" w14:textId="61CC8DCE" w:rsidR="002124FC" w:rsidRPr="00F0366A" w:rsidRDefault="007C0E5B" w:rsidP="009858E3">
      <w:pPr>
        <w:pStyle w:val="ListParagraph"/>
        <w:numPr>
          <w:ilvl w:val="0"/>
          <w:numId w:val="35"/>
        </w:numPr>
        <w:spacing w:line="240" w:lineRule="auto"/>
        <w:rPr>
          <w:rFonts w:cs="Arial"/>
          <w:color w:val="000000" w:themeColor="text1"/>
          <w:szCs w:val="24"/>
        </w:rPr>
      </w:pPr>
      <w:r w:rsidRPr="00F0366A">
        <w:rPr>
          <w:rFonts w:cs="Arial"/>
          <w:color w:val="000000" w:themeColor="text1"/>
          <w:szCs w:val="24"/>
        </w:rPr>
        <w:t>Leaders have changed the culture</w:t>
      </w:r>
      <w:r w:rsidR="00EC03EE" w:rsidRPr="00F0366A">
        <w:rPr>
          <w:rFonts w:cs="Arial"/>
          <w:color w:val="000000" w:themeColor="text1"/>
          <w:szCs w:val="24"/>
        </w:rPr>
        <w:t xml:space="preserve"> so that provision is</w:t>
      </w:r>
      <w:r w:rsidRPr="00F0366A">
        <w:rPr>
          <w:rFonts w:cs="Arial"/>
          <w:color w:val="000000" w:themeColor="text1"/>
          <w:szCs w:val="24"/>
        </w:rPr>
        <w:t xml:space="preserve"> better</w:t>
      </w:r>
      <w:r w:rsidR="00EC03EE" w:rsidRPr="00F0366A">
        <w:rPr>
          <w:rFonts w:cs="Arial"/>
          <w:color w:val="000000" w:themeColor="text1"/>
          <w:szCs w:val="24"/>
        </w:rPr>
        <w:t xml:space="preserve"> matched to needs</w:t>
      </w:r>
      <w:r w:rsidR="00DE7388" w:rsidRPr="00F0366A">
        <w:rPr>
          <w:rFonts w:cs="Arial"/>
          <w:color w:val="000000" w:themeColor="text1"/>
          <w:szCs w:val="24"/>
        </w:rPr>
        <w:t xml:space="preserve"> across different communities</w:t>
      </w:r>
    </w:p>
    <w:p w14:paraId="7AE66AAB" w14:textId="2D6293F4" w:rsidR="00DE7388" w:rsidRPr="00F0366A" w:rsidRDefault="009F4DA3" w:rsidP="009858E3">
      <w:pPr>
        <w:pStyle w:val="ListParagraph"/>
        <w:numPr>
          <w:ilvl w:val="0"/>
          <w:numId w:val="35"/>
        </w:numPr>
        <w:spacing w:line="240" w:lineRule="auto"/>
        <w:rPr>
          <w:rFonts w:cs="Arial"/>
          <w:color w:val="000000" w:themeColor="text1"/>
          <w:szCs w:val="24"/>
        </w:rPr>
      </w:pPr>
      <w:r w:rsidRPr="00F0366A">
        <w:rPr>
          <w:rFonts w:cs="Arial"/>
          <w:color w:val="000000" w:themeColor="text1"/>
          <w:szCs w:val="24"/>
        </w:rPr>
        <w:t>Improved training and understanding in education is helping school leaders to reduce suspension and improve attendance across the city</w:t>
      </w:r>
    </w:p>
    <w:p w14:paraId="67F4AAC4" w14:textId="6A5A5091" w:rsidR="009F4DA3" w:rsidRPr="00595FE6" w:rsidRDefault="000A3B21" w:rsidP="009858E3">
      <w:pPr>
        <w:pStyle w:val="ListParagraph"/>
        <w:numPr>
          <w:ilvl w:val="0"/>
          <w:numId w:val="35"/>
        </w:numPr>
        <w:spacing w:line="240" w:lineRule="auto"/>
        <w:rPr>
          <w:rFonts w:cs="Arial"/>
          <w:szCs w:val="24"/>
        </w:rPr>
      </w:pPr>
      <w:r w:rsidRPr="00F0366A">
        <w:rPr>
          <w:rFonts w:cs="Arial"/>
          <w:color w:val="000000" w:themeColor="text1"/>
          <w:szCs w:val="24"/>
        </w:rPr>
        <w:t>Plans are in place to increase the number of special school places for</w:t>
      </w:r>
      <w:r w:rsidR="00F90EF3" w:rsidRPr="00F0366A">
        <w:rPr>
          <w:rFonts w:cs="Arial"/>
          <w:color w:val="000000" w:themeColor="text1"/>
          <w:szCs w:val="24"/>
        </w:rPr>
        <w:t xml:space="preserve"> Autism Spectrum Condition or social</w:t>
      </w:r>
      <w:r w:rsidR="00F90EF3" w:rsidRPr="00595FE6">
        <w:rPr>
          <w:rFonts w:cs="Arial"/>
          <w:szCs w:val="24"/>
        </w:rPr>
        <w:t>, emotional and mental health concerns</w:t>
      </w:r>
      <w:r w:rsidR="00807058">
        <w:rPr>
          <w:rFonts w:cs="Arial"/>
          <w:szCs w:val="24"/>
        </w:rPr>
        <w:t>.</w:t>
      </w:r>
    </w:p>
    <w:p w14:paraId="55773D15" w14:textId="2CF40043" w:rsidR="008447BD" w:rsidRPr="001F6F21" w:rsidRDefault="008447BD" w:rsidP="00D9246A">
      <w:pPr>
        <w:spacing w:line="240" w:lineRule="auto"/>
        <w:rPr>
          <w:rFonts w:cs="Arial"/>
          <w:b/>
          <w:color w:val="0079C2"/>
          <w:szCs w:val="24"/>
        </w:rPr>
      </w:pPr>
      <w:r w:rsidRPr="001F6F21">
        <w:rPr>
          <w:rFonts w:cs="Arial"/>
          <w:b/>
          <w:color w:val="0079C2"/>
          <w:szCs w:val="24"/>
        </w:rPr>
        <w:t>What does the area partnership need to do better?</w:t>
      </w:r>
    </w:p>
    <w:p w14:paraId="46693A8C" w14:textId="1074A0A7" w:rsidR="008447BD" w:rsidRPr="00F0366A" w:rsidRDefault="005D3F89" w:rsidP="009858E3">
      <w:pPr>
        <w:pStyle w:val="ListParagraph"/>
        <w:numPr>
          <w:ilvl w:val="0"/>
          <w:numId w:val="35"/>
        </w:numPr>
        <w:spacing w:line="240" w:lineRule="auto"/>
        <w:rPr>
          <w:rFonts w:cs="Arial"/>
          <w:color w:val="000000" w:themeColor="text1"/>
          <w:szCs w:val="24"/>
        </w:rPr>
      </w:pPr>
      <w:r w:rsidRPr="00F0366A">
        <w:rPr>
          <w:rFonts w:cs="Arial"/>
          <w:color w:val="000000" w:themeColor="text1"/>
          <w:szCs w:val="24"/>
        </w:rPr>
        <w:lastRenderedPageBreak/>
        <w:t xml:space="preserve">Improvement in preparation for adulthood is needed, </w:t>
      </w:r>
      <w:r w:rsidR="00BB1B44" w:rsidRPr="00F0366A">
        <w:rPr>
          <w:rFonts w:cs="Arial"/>
          <w:color w:val="000000" w:themeColor="text1"/>
          <w:szCs w:val="24"/>
        </w:rPr>
        <w:t>including earlier identification and planning, and addressing specific gaps in provision</w:t>
      </w:r>
    </w:p>
    <w:p w14:paraId="754E638B" w14:textId="7AED7DE7" w:rsidR="00BB1B44" w:rsidRPr="00F0366A" w:rsidRDefault="0090221A" w:rsidP="009858E3">
      <w:pPr>
        <w:pStyle w:val="ListParagraph"/>
        <w:numPr>
          <w:ilvl w:val="0"/>
          <w:numId w:val="35"/>
        </w:numPr>
        <w:spacing w:line="240" w:lineRule="auto"/>
        <w:rPr>
          <w:rFonts w:cs="Arial"/>
          <w:color w:val="000000" w:themeColor="text1"/>
          <w:szCs w:val="24"/>
        </w:rPr>
      </w:pPr>
      <w:r w:rsidRPr="00F0366A">
        <w:rPr>
          <w:rFonts w:cs="Arial"/>
          <w:color w:val="000000" w:themeColor="text1"/>
          <w:szCs w:val="24"/>
        </w:rPr>
        <w:t>EHC plans are not specific enough to the needs of the individual</w:t>
      </w:r>
    </w:p>
    <w:p w14:paraId="28A92C90" w14:textId="07D8454F" w:rsidR="0090221A" w:rsidRPr="00F0366A" w:rsidRDefault="001619C3" w:rsidP="009858E3">
      <w:pPr>
        <w:pStyle w:val="ListParagraph"/>
        <w:numPr>
          <w:ilvl w:val="0"/>
          <w:numId w:val="35"/>
        </w:numPr>
        <w:spacing w:line="240" w:lineRule="auto"/>
        <w:rPr>
          <w:rFonts w:cs="Arial"/>
          <w:color w:val="000000" w:themeColor="text1"/>
          <w:szCs w:val="24"/>
        </w:rPr>
      </w:pPr>
      <w:r w:rsidRPr="00F0366A">
        <w:rPr>
          <w:rFonts w:cs="Arial"/>
          <w:color w:val="000000" w:themeColor="text1"/>
          <w:szCs w:val="24"/>
        </w:rPr>
        <w:t>Some children requiring alternative provision do not receive placements</w:t>
      </w:r>
      <w:r w:rsidR="002A4420" w:rsidRPr="00F0366A">
        <w:rPr>
          <w:rFonts w:cs="Arial"/>
          <w:color w:val="000000" w:themeColor="text1"/>
          <w:szCs w:val="24"/>
        </w:rPr>
        <w:t xml:space="preserve"> that are </w:t>
      </w:r>
      <w:r w:rsidR="00BD004B" w:rsidRPr="00F0366A">
        <w:rPr>
          <w:rFonts w:cs="Arial"/>
          <w:color w:val="000000" w:themeColor="text1"/>
          <w:szCs w:val="24"/>
        </w:rPr>
        <w:t>well enough</w:t>
      </w:r>
      <w:r w:rsidRPr="00F0366A">
        <w:rPr>
          <w:rFonts w:cs="Arial"/>
          <w:color w:val="000000" w:themeColor="text1"/>
          <w:szCs w:val="24"/>
        </w:rPr>
        <w:t xml:space="preserve"> tailored to their needs</w:t>
      </w:r>
    </w:p>
    <w:p w14:paraId="14DF1C8B" w14:textId="3FAE74C2" w:rsidR="00775422" w:rsidRPr="00F0366A" w:rsidRDefault="00775422" w:rsidP="009858E3">
      <w:pPr>
        <w:pStyle w:val="ListParagraph"/>
        <w:numPr>
          <w:ilvl w:val="0"/>
          <w:numId w:val="35"/>
        </w:numPr>
        <w:spacing w:line="240" w:lineRule="auto"/>
        <w:rPr>
          <w:rFonts w:cs="Arial"/>
          <w:color w:val="000000" w:themeColor="text1"/>
          <w:szCs w:val="24"/>
        </w:rPr>
      </w:pPr>
      <w:r w:rsidRPr="00F0366A">
        <w:rPr>
          <w:rFonts w:cs="Arial"/>
          <w:color w:val="000000" w:themeColor="text1"/>
          <w:szCs w:val="24"/>
        </w:rPr>
        <w:t>Some children and young people wait too long to find a specialist school place</w:t>
      </w:r>
    </w:p>
    <w:p w14:paraId="099CC93D" w14:textId="7C9FE60B" w:rsidR="00775422" w:rsidRPr="00F0366A" w:rsidRDefault="00414D6A" w:rsidP="009858E3">
      <w:pPr>
        <w:pStyle w:val="ListParagraph"/>
        <w:numPr>
          <w:ilvl w:val="0"/>
          <w:numId w:val="35"/>
        </w:numPr>
        <w:spacing w:line="240" w:lineRule="auto"/>
        <w:rPr>
          <w:rFonts w:cs="Arial"/>
          <w:color w:val="000000" w:themeColor="text1"/>
          <w:szCs w:val="24"/>
        </w:rPr>
      </w:pPr>
      <w:r w:rsidRPr="00F0366A">
        <w:rPr>
          <w:rFonts w:cs="Arial"/>
          <w:color w:val="000000" w:themeColor="text1"/>
          <w:szCs w:val="24"/>
        </w:rPr>
        <w:t>The role of designated medical/clinical officer for SEND is under-resourced</w:t>
      </w:r>
      <w:r w:rsidR="00C30397" w:rsidRPr="00F0366A">
        <w:rPr>
          <w:rFonts w:cs="Arial"/>
          <w:color w:val="000000" w:themeColor="text1"/>
          <w:szCs w:val="24"/>
        </w:rPr>
        <w:t xml:space="preserve">, </w:t>
      </w:r>
      <w:r w:rsidR="00C874DA" w:rsidRPr="00F0366A">
        <w:rPr>
          <w:rFonts w:cs="Arial"/>
          <w:color w:val="000000" w:themeColor="text1"/>
          <w:szCs w:val="24"/>
        </w:rPr>
        <w:t>limiting</w:t>
      </w:r>
      <w:r w:rsidR="00182035" w:rsidRPr="00F0366A">
        <w:rPr>
          <w:rFonts w:cs="Arial"/>
          <w:color w:val="000000" w:themeColor="text1"/>
          <w:szCs w:val="24"/>
        </w:rPr>
        <w:t xml:space="preserve"> improvements to health planning </w:t>
      </w:r>
      <w:r w:rsidR="00F26DBE" w:rsidRPr="00F0366A">
        <w:rPr>
          <w:rFonts w:cs="Arial"/>
          <w:color w:val="000000" w:themeColor="text1"/>
          <w:szCs w:val="24"/>
        </w:rPr>
        <w:t>and practice</w:t>
      </w:r>
    </w:p>
    <w:p w14:paraId="082AB473" w14:textId="59F45CA3" w:rsidR="005055BE" w:rsidRDefault="00505CD0" w:rsidP="005055BE">
      <w:pPr>
        <w:pStyle w:val="ListParagraph"/>
        <w:numPr>
          <w:ilvl w:val="0"/>
          <w:numId w:val="35"/>
        </w:numPr>
        <w:spacing w:line="240" w:lineRule="auto"/>
        <w:ind w:left="357" w:hanging="357"/>
        <w:contextualSpacing w:val="0"/>
        <w:rPr>
          <w:rFonts w:cs="Arial"/>
          <w:color w:val="000000" w:themeColor="text1"/>
          <w:szCs w:val="24"/>
        </w:rPr>
      </w:pPr>
      <w:r w:rsidRPr="00F0366A">
        <w:rPr>
          <w:rFonts w:cs="Arial"/>
          <w:color w:val="000000" w:themeColor="text1"/>
          <w:szCs w:val="24"/>
        </w:rPr>
        <w:t>Better communication is needed between the partnership</w:t>
      </w:r>
      <w:r w:rsidR="00ED5745" w:rsidRPr="00F0366A">
        <w:rPr>
          <w:rFonts w:cs="Arial"/>
          <w:color w:val="000000" w:themeColor="text1"/>
          <w:szCs w:val="24"/>
        </w:rPr>
        <w:t>, children and families and wider partners about the improvements being made and the pace of change</w:t>
      </w:r>
      <w:r w:rsidR="00807058">
        <w:rPr>
          <w:rFonts w:cs="Arial"/>
          <w:color w:val="000000" w:themeColor="text1"/>
          <w:szCs w:val="24"/>
        </w:rPr>
        <w:t>.</w:t>
      </w:r>
    </w:p>
    <w:p w14:paraId="41451F5B" w14:textId="13EA64EB" w:rsidR="003448F5" w:rsidRPr="003448F5" w:rsidRDefault="00960F22" w:rsidP="003448F5">
      <w:pPr>
        <w:spacing w:line="240" w:lineRule="auto"/>
        <w:rPr>
          <w:rFonts w:cs="Arial"/>
          <w:color w:val="000000" w:themeColor="text1"/>
          <w:szCs w:val="24"/>
        </w:rPr>
      </w:pPr>
      <w:r>
        <w:rPr>
          <w:rFonts w:cs="Arial"/>
          <w:color w:val="000000" w:themeColor="text1"/>
          <w:szCs w:val="24"/>
        </w:rPr>
        <w:t xml:space="preserve">Actions are taken forward through single agency work and via </w:t>
      </w:r>
      <w:r w:rsidR="00111C50">
        <w:rPr>
          <w:rFonts w:cs="Arial"/>
          <w:color w:val="000000" w:themeColor="text1"/>
          <w:szCs w:val="24"/>
        </w:rPr>
        <w:t>joint local area partnership</w:t>
      </w:r>
      <w:r w:rsidR="001E5FA3">
        <w:rPr>
          <w:rFonts w:cs="Arial"/>
          <w:color w:val="000000" w:themeColor="text1"/>
          <w:szCs w:val="24"/>
        </w:rPr>
        <w:t xml:space="preserve"> workstreams and / or via the SEND and AP Partnership Board. </w:t>
      </w:r>
      <w:r w:rsidR="00111C50">
        <w:rPr>
          <w:rFonts w:cs="Arial"/>
          <w:color w:val="000000" w:themeColor="text1"/>
          <w:szCs w:val="24"/>
        </w:rPr>
        <w:t xml:space="preserve"> </w:t>
      </w:r>
    </w:p>
    <w:p w14:paraId="06BE9438" w14:textId="475562C0" w:rsidR="3080E3DB" w:rsidRDefault="3080E3DB" w:rsidP="0096012C">
      <w:pPr>
        <w:pStyle w:val="Heading3"/>
      </w:pPr>
      <w:bookmarkStart w:id="186" w:name="_Toc200008312"/>
      <w:bookmarkStart w:id="187" w:name="_Toc200034849"/>
      <w:bookmarkStart w:id="188" w:name="_Toc200100785"/>
      <w:bookmarkEnd w:id="186"/>
      <w:bookmarkEnd w:id="187"/>
      <w:bookmarkEnd w:id="188"/>
      <w:r w:rsidRPr="7BCC60D3">
        <w:t xml:space="preserve">Progress since the Area SEND </w:t>
      </w:r>
      <w:r w:rsidRPr="13391E07">
        <w:t>Inspection</w:t>
      </w:r>
    </w:p>
    <w:p w14:paraId="074D2429" w14:textId="72F16CE0" w:rsidR="3080E3DB" w:rsidRPr="002F69B7" w:rsidRDefault="3080E3DB" w:rsidP="00D9246A">
      <w:pPr>
        <w:spacing w:line="240" w:lineRule="auto"/>
      </w:pPr>
      <w:r w:rsidRPr="002F69B7">
        <w:t>The area has achieved significant progress in strengthening inclusion, co‑production, and the quality of SEND provision. The launch of the Ordinarily Available Inclusive Practice framework and the co‑produced “Principles of Belonging”</w:t>
      </w:r>
      <w:r w:rsidR="000D0BCC" w:rsidRPr="002F69B7">
        <w:t xml:space="preserve"> </w:t>
      </w:r>
      <w:r w:rsidRPr="002F69B7">
        <w:t xml:space="preserve">have begun to embed more consistent inclusive practice across schools, with children and young people directly shaping the approach. Early outcomes from the SEND Graduated Response model are positive, particularly through </w:t>
      </w:r>
      <w:r w:rsidRPr="00A77238">
        <w:rPr>
          <w:rFonts w:cs="Arial"/>
          <w:szCs w:val="24"/>
        </w:rPr>
        <w:t>the</w:t>
      </w:r>
      <w:r w:rsidRPr="002F69B7">
        <w:t xml:space="preserve"> pilot of Inclusion Intervention Spaces</w:t>
      </w:r>
      <w:r w:rsidR="00710B02">
        <w:t xml:space="preserve">, </w:t>
      </w:r>
      <w:r w:rsidRPr="002F69B7">
        <w:t>which has led to improved attendance, emotional regulation, and curriculum engagement; this work is now expanding to additional schools with targeted investment.</w:t>
      </w:r>
      <w:r w:rsidR="00F60D64">
        <w:t xml:space="preserve"> A</w:t>
      </w:r>
      <w:r w:rsidR="00F60D64" w:rsidRPr="00F60D64">
        <w:t xml:space="preserve">dditional </w:t>
      </w:r>
      <w:r w:rsidR="00213919">
        <w:t xml:space="preserve">inclusion </w:t>
      </w:r>
      <w:r w:rsidR="00F60D64" w:rsidRPr="00F60D64">
        <w:t xml:space="preserve">funding </w:t>
      </w:r>
      <w:r w:rsidR="00213919">
        <w:t xml:space="preserve">has been </w:t>
      </w:r>
      <w:r w:rsidR="00F60D64" w:rsidRPr="00F60D64">
        <w:t xml:space="preserve">provided to </w:t>
      </w:r>
      <w:r w:rsidR="00213919">
        <w:t xml:space="preserve">city </w:t>
      </w:r>
      <w:r w:rsidR="00F60D64" w:rsidRPr="00F60D64">
        <w:t>Secondary Schools for Tier 1 support</w:t>
      </w:r>
      <w:r w:rsidR="00213919">
        <w:t xml:space="preserve">. </w:t>
      </w:r>
    </w:p>
    <w:p w14:paraId="034DAA0F" w14:textId="49FCEE42" w:rsidR="3080E3DB" w:rsidRPr="002F69B7" w:rsidRDefault="3080E3DB" w:rsidP="00D9246A">
      <w:pPr>
        <w:spacing w:line="240" w:lineRule="auto"/>
      </w:pPr>
      <w:r w:rsidRPr="002F69B7">
        <w:t>A strong culture of co‑production has continued to deliver tangible benefits, with the Parent and Carers’ Council (PaCC) influencing strategic decisions and health partners contributing to improved joint working across autism, SEND health pathways, and wider system planning. Despite rising demand and workforce pressures, the area has maintained momentum in developing inclusive mainstream practice and has taken proactive steps to understand and respond to increasing Section 19 requests.</w:t>
      </w:r>
    </w:p>
    <w:p w14:paraId="2B87C2A0" w14:textId="71B5E1FB" w:rsidR="3080E3DB" w:rsidRPr="002F69B7" w:rsidRDefault="3080E3DB" w:rsidP="00D9246A">
      <w:pPr>
        <w:spacing w:line="240" w:lineRule="auto"/>
      </w:pPr>
      <w:r w:rsidRPr="002F69B7">
        <w:t>Significant improvements have also been made in Alternative Provision (AP), including the establishment of an AP Specialist Taskforce</w:t>
      </w:r>
      <w:r w:rsidR="00D26F42">
        <w:t>,</w:t>
      </w:r>
      <w:r w:rsidR="2F3D99DB" w:rsidRPr="002F69B7">
        <w:t xml:space="preserve"> </w:t>
      </w:r>
      <w:r w:rsidRPr="002F69B7">
        <w:t>the successful delivery of new specialist pathways, and strengthened governance through an AP Steering Group and emerging quality assurance framework. Preparation for adulthood has advanced through a new transitions strategy, improved cross‑council collaboration, and positive feedback from families on the impact of this joined‑up approach</w:t>
      </w:r>
      <w:r w:rsidR="00D26F42">
        <w:t>.</w:t>
      </w:r>
    </w:p>
    <w:p w14:paraId="5C59EC17" w14:textId="4EA803D4" w:rsidR="3080E3DB" w:rsidRPr="002F69B7" w:rsidRDefault="3080E3DB" w:rsidP="00D9246A">
      <w:pPr>
        <w:spacing w:line="240" w:lineRule="auto"/>
      </w:pPr>
      <w:r w:rsidRPr="002F69B7">
        <w:t>Monitoring of the SEND strategy shows encouraging system‑level outcomes: exclusion rates have fallen, attainment has improved, and reliance on out‑of‑city SEMH placements has reduced. Health outcomes have also strengthened, with shorter waiting times and increased completion of annual health checks. The Designated Clinical Officer has played a key role in improving timeliness and coordination across the system.</w:t>
      </w:r>
    </w:p>
    <w:p w14:paraId="005AF1BF" w14:textId="20CF6235" w:rsidR="1188099C" w:rsidRPr="00650F33" w:rsidRDefault="3080E3DB" w:rsidP="00D9246A">
      <w:pPr>
        <w:spacing w:line="240" w:lineRule="auto"/>
      </w:pPr>
      <w:r w:rsidRPr="002F69B7">
        <w:t>Leadership and governance have been further strengthened through the appointment of a Director of Education and Learning, enabling closer alignment between education and SEND, more consistent co‑production, and clearer oversight through strategic boards. SEND has been identified as a priority across the wider Pan‑Sussex system, supporting a more coherent regional focus on improving outcomes for children and young people.</w:t>
      </w:r>
    </w:p>
    <w:p w14:paraId="44715119" w14:textId="57D8EF35" w:rsidR="007C6FC5" w:rsidRPr="00595FE6" w:rsidRDefault="007C6FC5" w:rsidP="0096012C">
      <w:pPr>
        <w:pStyle w:val="Heading3"/>
      </w:pPr>
      <w:r w:rsidRPr="00595FE6">
        <w:t xml:space="preserve">Local policies and guidance </w:t>
      </w:r>
      <w:r w:rsidR="008F0CDC" w:rsidRPr="00595FE6">
        <w:t>(</w:t>
      </w:r>
      <w:r w:rsidR="009F43C2">
        <w:t xml:space="preserve">Brighton &amp; Hove and </w:t>
      </w:r>
      <w:r w:rsidR="008F0CDC" w:rsidRPr="00595FE6">
        <w:t xml:space="preserve">Sussex) </w:t>
      </w:r>
    </w:p>
    <w:p w14:paraId="30FCC08F" w14:textId="7CCC85DA" w:rsidR="007953AA" w:rsidRPr="0037441F" w:rsidRDefault="007953AA" w:rsidP="00D9246A">
      <w:pPr>
        <w:spacing w:line="240" w:lineRule="auto"/>
        <w:rPr>
          <w:rFonts w:cs="Arial"/>
          <w:szCs w:val="24"/>
        </w:rPr>
      </w:pPr>
      <w:r w:rsidRPr="0037441F">
        <w:rPr>
          <w:rFonts w:cs="Arial"/>
          <w:szCs w:val="24"/>
        </w:rPr>
        <w:t xml:space="preserve">Health services across England are changing. As part of these national changes, NHS England’s work will move into the Department of Health and Social Care. </w:t>
      </w:r>
    </w:p>
    <w:p w14:paraId="6B740829" w14:textId="0B1F6BB9" w:rsidR="007953AA" w:rsidRPr="0037441F" w:rsidRDefault="003167AC" w:rsidP="00D9246A">
      <w:pPr>
        <w:spacing w:line="240" w:lineRule="auto"/>
        <w:rPr>
          <w:rFonts w:cs="Arial"/>
        </w:rPr>
      </w:pPr>
      <w:r>
        <w:rPr>
          <w:rFonts w:cs="Arial"/>
        </w:rPr>
        <w:lastRenderedPageBreak/>
        <w:t>F</w:t>
      </w:r>
      <w:r w:rsidR="00CD635C" w:rsidRPr="24B066D2">
        <w:rPr>
          <w:rFonts w:cs="Arial"/>
        </w:rPr>
        <w:t>rom 1</w:t>
      </w:r>
      <w:r w:rsidR="00CD635C" w:rsidRPr="0037441F">
        <w:rPr>
          <w:rFonts w:cs="Arial"/>
          <w:vertAlign w:val="superscript"/>
        </w:rPr>
        <w:t>st</w:t>
      </w:r>
      <w:r w:rsidR="00CD635C" w:rsidRPr="24B066D2">
        <w:rPr>
          <w:rFonts w:cs="Arial"/>
        </w:rPr>
        <w:t xml:space="preserve"> April 2027</w:t>
      </w:r>
      <w:r w:rsidR="007953AA" w:rsidRPr="24B066D2">
        <w:rPr>
          <w:rFonts w:cs="Arial"/>
        </w:rPr>
        <w:t xml:space="preserve">, </w:t>
      </w:r>
      <w:r w:rsidR="007953AA" w:rsidRPr="0037441F">
        <w:rPr>
          <w:rFonts w:cs="Arial"/>
        </w:rPr>
        <w:t>NHS Sussex and NHS Surrey Heartlands will become one organisation</w:t>
      </w:r>
      <w:r>
        <w:rPr>
          <w:rFonts w:cs="Arial"/>
        </w:rPr>
        <w:t xml:space="preserve"> and</w:t>
      </w:r>
      <w:r w:rsidR="007953AA" w:rsidRPr="0037441F">
        <w:rPr>
          <w:rFonts w:cs="Arial"/>
        </w:rPr>
        <w:t xml:space="preserve"> take on a more focused role as strategic commissioners. This will help deliver the ambitions in the new </w:t>
      </w:r>
      <w:hyperlink r:id="rId18" w:history="1">
        <w:r w:rsidR="00CD635C" w:rsidRPr="00A83AEF">
          <w:rPr>
            <w:rStyle w:val="Hyperlink"/>
            <w:rFonts w:cs="Arial"/>
          </w:rPr>
          <w:t>Ten</w:t>
        </w:r>
        <w:r w:rsidR="007953AA" w:rsidRPr="00A83AEF">
          <w:rPr>
            <w:rStyle w:val="Hyperlink"/>
            <w:rFonts w:cs="Arial"/>
          </w:rPr>
          <w:t xml:space="preserve">-Year </w:t>
        </w:r>
        <w:r w:rsidR="2AF7C949" w:rsidRPr="00A83AEF">
          <w:rPr>
            <w:rStyle w:val="Hyperlink"/>
            <w:rFonts w:cs="Arial"/>
          </w:rPr>
          <w:t xml:space="preserve">NHS </w:t>
        </w:r>
        <w:r w:rsidR="007953AA" w:rsidRPr="00A83AEF">
          <w:rPr>
            <w:rStyle w:val="Hyperlink"/>
            <w:rFonts w:cs="Arial"/>
          </w:rPr>
          <w:t>Health Plan</w:t>
        </w:r>
      </w:hyperlink>
      <w:r w:rsidR="007953AA" w:rsidRPr="0037441F">
        <w:rPr>
          <w:rFonts w:cs="Arial"/>
        </w:rPr>
        <w:t xml:space="preserve"> and improve long-term health outcomes. It will reduce costs and strengthen the way services work together. </w:t>
      </w:r>
      <w:r w:rsidR="00A83AEF">
        <w:rPr>
          <w:rFonts w:cs="Arial"/>
        </w:rPr>
        <w:t>It</w:t>
      </w:r>
      <w:r w:rsidR="007953AA" w:rsidRPr="0037441F">
        <w:rPr>
          <w:rFonts w:cs="Arial"/>
        </w:rPr>
        <w:t xml:space="preserve"> will continue to work closely with families and partners to make sure care and support for children and young people with special educational needs and disabilities stays consistent, joined up, and centred on what each child needs.</w:t>
      </w:r>
    </w:p>
    <w:p w14:paraId="6E924233" w14:textId="741C1FAB" w:rsidR="007953AA" w:rsidRPr="00CD635C" w:rsidRDefault="00A8214B" w:rsidP="00D9246A">
      <w:pPr>
        <w:spacing w:line="240" w:lineRule="auto"/>
      </w:pPr>
      <w:r w:rsidRPr="00CD635C">
        <w:rPr>
          <w:rFonts w:cs="Arial"/>
          <w:szCs w:val="24"/>
        </w:rPr>
        <w:t>SEND</w:t>
      </w:r>
      <w:r w:rsidR="00B90342">
        <w:rPr>
          <w:rFonts w:cs="Arial"/>
          <w:szCs w:val="24"/>
        </w:rPr>
        <w:t xml:space="preserve">, neuro-developmental pathways and children’s mental health remain </w:t>
      </w:r>
      <w:r w:rsidR="00CD2047">
        <w:rPr>
          <w:rFonts w:cs="Arial"/>
          <w:szCs w:val="24"/>
        </w:rPr>
        <w:t>as three of</w:t>
      </w:r>
      <w:r w:rsidRPr="00CD635C">
        <w:rPr>
          <w:rFonts w:cs="Arial"/>
          <w:szCs w:val="24"/>
        </w:rPr>
        <w:t xml:space="preserve"> four key priority areas for the Multi-Agency Pan Sussex </w:t>
      </w:r>
      <w:r w:rsidR="00313F98" w:rsidRPr="00CD635C">
        <w:rPr>
          <w:rFonts w:cs="Arial"/>
          <w:szCs w:val="24"/>
        </w:rPr>
        <w:t>Children’s Board</w:t>
      </w:r>
      <w:r w:rsidR="008C176D">
        <w:rPr>
          <w:rFonts w:cs="Arial"/>
          <w:szCs w:val="24"/>
        </w:rPr>
        <w:t>,</w:t>
      </w:r>
      <w:r w:rsidR="00313F98" w:rsidRPr="00CD635C">
        <w:rPr>
          <w:rFonts w:cs="Arial"/>
          <w:szCs w:val="24"/>
        </w:rPr>
        <w:t xml:space="preserve"> reflected in the Sussex Children’s Metric Dashboard</w:t>
      </w:r>
      <w:r w:rsidR="00CD635C" w:rsidRPr="00CD635C">
        <w:rPr>
          <w:rFonts w:cs="Arial"/>
          <w:szCs w:val="24"/>
        </w:rPr>
        <w:t xml:space="preserve"> </w:t>
      </w:r>
      <w:r w:rsidR="00A8509A">
        <w:rPr>
          <w:rFonts w:cs="Arial"/>
          <w:szCs w:val="24"/>
        </w:rPr>
        <w:t>covering</w:t>
      </w:r>
      <w:r w:rsidR="00CD635C" w:rsidRPr="00CD635C">
        <w:rPr>
          <w:rFonts w:cs="Arial"/>
          <w:szCs w:val="24"/>
        </w:rPr>
        <w:t>: 0-5</w:t>
      </w:r>
      <w:r w:rsidR="00A8509A">
        <w:rPr>
          <w:rFonts w:cs="Arial"/>
          <w:szCs w:val="24"/>
        </w:rPr>
        <w:t>s</w:t>
      </w:r>
      <w:r w:rsidR="00CD635C" w:rsidRPr="00CD635C">
        <w:rPr>
          <w:rFonts w:cs="Arial"/>
          <w:szCs w:val="24"/>
        </w:rPr>
        <w:t xml:space="preserve">, mental health, physical health, SEND and vulnerable groups. Performance is tracked on a monthly basis and </w:t>
      </w:r>
      <w:r w:rsidR="00D02FC5">
        <w:rPr>
          <w:rFonts w:cs="Arial"/>
          <w:szCs w:val="24"/>
        </w:rPr>
        <w:t>published</w:t>
      </w:r>
      <w:r w:rsidR="00CD635C" w:rsidRPr="00CD635C">
        <w:rPr>
          <w:rFonts w:cs="Arial"/>
          <w:szCs w:val="24"/>
        </w:rPr>
        <w:t xml:space="preserve"> quarterly.</w:t>
      </w:r>
    </w:p>
    <w:p w14:paraId="74952D92" w14:textId="39EC5157" w:rsidR="00665F29" w:rsidRPr="0037441F" w:rsidRDefault="00665F29" w:rsidP="00D9246A">
      <w:pPr>
        <w:spacing w:line="240" w:lineRule="auto"/>
        <w:rPr>
          <w:rFonts w:cs="Arial"/>
          <w:color w:val="000000" w:themeColor="text1"/>
        </w:rPr>
      </w:pPr>
      <w:r w:rsidRPr="0037441F">
        <w:rPr>
          <w:rFonts w:cs="Arial"/>
          <w:color w:val="000000" w:themeColor="text1"/>
        </w:rPr>
        <w:t xml:space="preserve">Sussex have used findings from the three </w:t>
      </w:r>
      <w:r w:rsidR="00D02FC5" w:rsidRPr="689B9F0F">
        <w:rPr>
          <w:rFonts w:cs="Arial"/>
          <w:color w:val="000000" w:themeColor="text1"/>
        </w:rPr>
        <w:t xml:space="preserve">Sussex </w:t>
      </w:r>
      <w:r w:rsidRPr="0037441F">
        <w:rPr>
          <w:rFonts w:cs="Arial"/>
          <w:color w:val="000000" w:themeColor="text1"/>
        </w:rPr>
        <w:t>Joint Area SEND inspections</w:t>
      </w:r>
      <w:r w:rsidRPr="689B9F0F">
        <w:rPr>
          <w:rFonts w:cs="Arial"/>
          <w:color w:val="000000" w:themeColor="text1"/>
        </w:rPr>
        <w:t xml:space="preserve"> </w:t>
      </w:r>
      <w:r w:rsidR="617A60F6" w:rsidRPr="689B9F0F">
        <w:rPr>
          <w:rFonts w:cs="Arial"/>
          <w:color w:val="000000" w:themeColor="text1"/>
        </w:rPr>
        <w:t>(Brighton and Hove, East and West Sussex)</w:t>
      </w:r>
      <w:r w:rsidRPr="0037441F">
        <w:rPr>
          <w:rFonts w:cs="Arial"/>
          <w:color w:val="000000" w:themeColor="text1"/>
        </w:rPr>
        <w:t xml:space="preserve"> and ongoing consultation with partners to develop five priority areas for SEND f</w:t>
      </w:r>
      <w:r w:rsidR="12FC576F" w:rsidRPr="689B9F0F">
        <w:rPr>
          <w:rFonts w:cs="Arial"/>
          <w:color w:val="000000" w:themeColor="text1"/>
        </w:rPr>
        <w:t>or</w:t>
      </w:r>
      <w:r w:rsidRPr="0037441F">
        <w:rPr>
          <w:rFonts w:cs="Arial"/>
          <w:color w:val="000000" w:themeColor="text1"/>
        </w:rPr>
        <w:t xml:space="preserve"> 2025</w:t>
      </w:r>
      <w:r w:rsidR="68292F4D" w:rsidRPr="689B9F0F">
        <w:rPr>
          <w:rFonts w:cs="Arial"/>
          <w:color w:val="000000" w:themeColor="text1"/>
        </w:rPr>
        <w:t xml:space="preserve"> onwards</w:t>
      </w:r>
      <w:r w:rsidR="00875FC6">
        <w:rPr>
          <w:rFonts w:cs="Arial"/>
          <w:color w:val="000000" w:themeColor="text1"/>
        </w:rPr>
        <w:t xml:space="preserve">, with </w:t>
      </w:r>
      <w:r w:rsidR="00875FC6">
        <w:rPr>
          <w:rFonts w:cs="Arial"/>
          <w:color w:val="000000" w:themeColor="text1"/>
          <w:szCs w:val="24"/>
        </w:rPr>
        <w:t>progress is monitored through strategic boards including place SEND Partnership Boards</w:t>
      </w:r>
      <w:r w:rsidRPr="0037441F">
        <w:rPr>
          <w:rFonts w:cs="Arial"/>
          <w:color w:val="000000" w:themeColor="text1"/>
        </w:rPr>
        <w:t>:</w:t>
      </w:r>
    </w:p>
    <w:p w14:paraId="1A024170" w14:textId="2E08FD19" w:rsidR="00665F29" w:rsidRPr="0037441F" w:rsidRDefault="00077F64" w:rsidP="009858E3">
      <w:pPr>
        <w:numPr>
          <w:ilvl w:val="0"/>
          <w:numId w:val="29"/>
        </w:numPr>
        <w:spacing w:line="240" w:lineRule="auto"/>
        <w:ind w:left="357" w:hanging="357"/>
        <w:jc w:val="both"/>
        <w:rPr>
          <w:rFonts w:cs="Arial"/>
          <w:color w:val="000000" w:themeColor="text1"/>
          <w:szCs w:val="24"/>
        </w:rPr>
      </w:pPr>
      <w:r>
        <w:rPr>
          <w:rFonts w:cs="Arial"/>
          <w:color w:val="000000" w:themeColor="text1"/>
          <w:szCs w:val="24"/>
        </w:rPr>
        <w:t>W</w:t>
      </w:r>
      <w:r w:rsidR="00665F29" w:rsidRPr="0037441F">
        <w:rPr>
          <w:rFonts w:cs="Arial"/>
          <w:color w:val="000000" w:themeColor="text1"/>
          <w:szCs w:val="24"/>
        </w:rPr>
        <w:t xml:space="preserve">aits for health services (including in pathway waits): Therapy Servies; Wheelchairs; ND Pathways; Emotional and Mental Health; and Video Fluoroscopy </w:t>
      </w:r>
    </w:p>
    <w:p w14:paraId="639521DA" w14:textId="77777777" w:rsidR="00665F29" w:rsidRPr="0037441F" w:rsidRDefault="00665F29" w:rsidP="009858E3">
      <w:pPr>
        <w:numPr>
          <w:ilvl w:val="0"/>
          <w:numId w:val="29"/>
        </w:numPr>
        <w:spacing w:line="240" w:lineRule="auto"/>
        <w:ind w:left="357" w:hanging="357"/>
        <w:jc w:val="both"/>
        <w:rPr>
          <w:rFonts w:cs="Arial"/>
          <w:color w:val="000000" w:themeColor="text1"/>
          <w:szCs w:val="24"/>
        </w:rPr>
      </w:pPr>
      <w:r w:rsidRPr="0037441F">
        <w:rPr>
          <w:rFonts w:cs="Arial"/>
          <w:color w:val="000000" w:themeColor="text1"/>
          <w:szCs w:val="24"/>
        </w:rPr>
        <w:t>Health input into Education Health and Care Plans – EHCNAs Timeliness and Quality; Annual Reviews; and Tribunals</w:t>
      </w:r>
    </w:p>
    <w:p w14:paraId="6B40A2ED" w14:textId="77777777" w:rsidR="00665F29" w:rsidRPr="0037441F" w:rsidRDefault="00665F29" w:rsidP="009858E3">
      <w:pPr>
        <w:numPr>
          <w:ilvl w:val="0"/>
          <w:numId w:val="29"/>
        </w:numPr>
        <w:spacing w:line="240" w:lineRule="auto"/>
        <w:ind w:left="357" w:hanging="357"/>
        <w:jc w:val="both"/>
        <w:rPr>
          <w:rFonts w:cs="Arial"/>
          <w:color w:val="000000" w:themeColor="text1"/>
          <w:szCs w:val="24"/>
        </w:rPr>
      </w:pPr>
      <w:r w:rsidRPr="0037441F">
        <w:rPr>
          <w:rFonts w:cs="Arial"/>
          <w:color w:val="000000" w:themeColor="text1"/>
          <w:szCs w:val="24"/>
        </w:rPr>
        <w:t>Transition Pathways – Early Years and Post 16</w:t>
      </w:r>
    </w:p>
    <w:p w14:paraId="29B74C2B" w14:textId="77777777" w:rsidR="00665F29" w:rsidRPr="0037441F" w:rsidRDefault="00665F29" w:rsidP="009858E3">
      <w:pPr>
        <w:numPr>
          <w:ilvl w:val="0"/>
          <w:numId w:val="29"/>
        </w:numPr>
        <w:spacing w:line="240" w:lineRule="auto"/>
        <w:ind w:left="357" w:hanging="357"/>
        <w:jc w:val="both"/>
        <w:rPr>
          <w:rFonts w:cs="Arial"/>
          <w:color w:val="000000" w:themeColor="text1"/>
          <w:szCs w:val="24"/>
        </w:rPr>
      </w:pPr>
      <w:r w:rsidRPr="0037441F">
        <w:rPr>
          <w:rFonts w:cs="Arial"/>
          <w:color w:val="000000" w:themeColor="text1"/>
          <w:szCs w:val="24"/>
        </w:rPr>
        <w:t>Inclusion in Education and Other Settings – Special School Nursing; Managing medical Conditions in Education and Other Settings; Education Based Prevention Work</w:t>
      </w:r>
    </w:p>
    <w:p w14:paraId="372A47EB" w14:textId="51AC9B27" w:rsidR="00D02FC5" w:rsidRPr="00875FC6" w:rsidRDefault="00665F29" w:rsidP="009858E3">
      <w:pPr>
        <w:numPr>
          <w:ilvl w:val="0"/>
          <w:numId w:val="29"/>
        </w:numPr>
        <w:spacing w:line="240" w:lineRule="auto"/>
        <w:ind w:left="357" w:hanging="357"/>
        <w:jc w:val="both"/>
        <w:rPr>
          <w:color w:val="000000" w:themeColor="text1"/>
        </w:rPr>
      </w:pPr>
      <w:r w:rsidRPr="0037441F">
        <w:rPr>
          <w:rFonts w:cs="Arial"/>
          <w:color w:val="000000" w:themeColor="text1"/>
          <w:szCs w:val="24"/>
        </w:rPr>
        <w:t>Advice, Support and Engagement – Co-production with Parent Carers and Children and Young People; SENDIASS and Mediation; Support Whilst Waiting Offers</w:t>
      </w:r>
      <w:r w:rsidR="003D66F7">
        <w:rPr>
          <w:rFonts w:cs="Arial"/>
          <w:color w:val="000000" w:themeColor="text1"/>
          <w:szCs w:val="24"/>
        </w:rPr>
        <w:t>.</w:t>
      </w:r>
    </w:p>
    <w:p w14:paraId="496598B1" w14:textId="1C4101A2" w:rsidR="007C6FC5" w:rsidRPr="00595FE6" w:rsidRDefault="007C6FC5" w:rsidP="00B431B6">
      <w:pPr>
        <w:pStyle w:val="Heading4"/>
      </w:pPr>
      <w:r w:rsidRPr="00595FE6">
        <w:t xml:space="preserve">Brighton &amp; Hove Special </w:t>
      </w:r>
      <w:r w:rsidRPr="003F6629">
        <w:t>Educational</w:t>
      </w:r>
      <w:r w:rsidRPr="00595FE6">
        <w:t xml:space="preserve"> Needs and Disability (SEND) Strategy 2021 to 2026</w:t>
      </w:r>
      <w:r w:rsidRPr="00595FE6">
        <w:rPr>
          <w:rStyle w:val="EndnoteReference"/>
          <w:rFonts w:cs="Arial"/>
          <w:szCs w:val="24"/>
        </w:rPr>
        <w:endnoteReference w:id="33"/>
      </w:r>
    </w:p>
    <w:p w14:paraId="25930697" w14:textId="708E7F29" w:rsidR="00A75A8C" w:rsidRDefault="007C6FC5" w:rsidP="00D9246A">
      <w:pPr>
        <w:spacing w:line="240" w:lineRule="auto"/>
        <w:rPr>
          <w:rFonts w:cs="Arial"/>
          <w:szCs w:val="24"/>
        </w:rPr>
      </w:pPr>
      <w:r w:rsidRPr="00595FE6">
        <w:rPr>
          <w:rFonts w:cs="Arial"/>
          <w:szCs w:val="24"/>
        </w:rPr>
        <w:t xml:space="preserve">The current </w:t>
      </w:r>
      <w:r w:rsidR="004812C5">
        <w:rPr>
          <w:rFonts w:cs="Arial"/>
          <w:szCs w:val="24"/>
        </w:rPr>
        <w:t xml:space="preserve">Brighton &amp; Hove </w:t>
      </w:r>
      <w:r w:rsidRPr="00595FE6">
        <w:rPr>
          <w:rFonts w:cs="Arial"/>
          <w:szCs w:val="24"/>
        </w:rPr>
        <w:t xml:space="preserve">SEND strategy is co-produced between local providers and commissioners of services in local authority, health and education, the city’s Parent and Carer Council (PaCC), partners in the voluntary and community sector, and families. </w:t>
      </w:r>
    </w:p>
    <w:p w14:paraId="5B194FF1" w14:textId="17664225" w:rsidR="001D4F5E" w:rsidRPr="001D4F5E" w:rsidRDefault="007C6FC5" w:rsidP="00D9246A">
      <w:pPr>
        <w:spacing w:line="240" w:lineRule="auto"/>
        <w:rPr>
          <w:rFonts w:cs="Arial"/>
          <w:b/>
          <w:bCs/>
        </w:rPr>
      </w:pPr>
      <w:r w:rsidRPr="001D4F5E">
        <w:rPr>
          <w:rFonts w:cs="Arial"/>
        </w:rPr>
        <w:t>It sets out six key priorities to enhance the outcomes and life chances of children and young people with SEND and adults with Learning Disabilities</w:t>
      </w:r>
      <w:r w:rsidR="00DC3C36" w:rsidRPr="001D4F5E">
        <w:rPr>
          <w:rFonts w:cs="Arial"/>
          <w:b/>
        </w:rPr>
        <w:t xml:space="preserve"> </w:t>
      </w:r>
      <w:r w:rsidR="00DC3C36" w:rsidRPr="00A440A1">
        <w:rPr>
          <w:rFonts w:cs="Arial"/>
        </w:rPr>
        <w:t xml:space="preserve">(Figure </w:t>
      </w:r>
      <w:r w:rsidR="006D5B7D" w:rsidRPr="00A440A1">
        <w:rPr>
          <w:rFonts w:cs="Arial"/>
        </w:rPr>
        <w:t>2</w:t>
      </w:r>
      <w:r w:rsidR="00DC3C36" w:rsidRPr="00A440A1">
        <w:rPr>
          <w:rFonts w:cs="Arial"/>
        </w:rPr>
        <w:t>)</w:t>
      </w:r>
      <w:r w:rsidRPr="00A440A1">
        <w:rPr>
          <w:rFonts w:cs="Arial"/>
        </w:rPr>
        <w:t>.</w:t>
      </w:r>
      <w:r w:rsidRPr="001D4F5E">
        <w:rPr>
          <w:rFonts w:cs="Arial"/>
          <w:b/>
        </w:rPr>
        <w:t xml:space="preserve"> </w:t>
      </w:r>
    </w:p>
    <w:p w14:paraId="75A1E6DB" w14:textId="07D39575" w:rsidR="00875FC6" w:rsidRPr="00595FE6" w:rsidRDefault="00875FC6" w:rsidP="00D9246A">
      <w:pPr>
        <w:spacing w:line="240" w:lineRule="auto"/>
        <w:rPr>
          <w:rFonts w:cs="Arial"/>
          <w:szCs w:val="24"/>
        </w:rPr>
      </w:pPr>
      <w:r w:rsidRPr="00595FE6">
        <w:rPr>
          <w:rFonts w:cs="Arial"/>
          <w:szCs w:val="24"/>
        </w:rPr>
        <w:t>Each priority is underpinned by detailed actions and outcomes, and delivery is overseen by the SEND Partnership Board.</w:t>
      </w:r>
    </w:p>
    <w:p w14:paraId="5E1C6A73" w14:textId="77777777" w:rsidR="00D51607" w:rsidRDefault="00D51607" w:rsidP="00D9246A">
      <w:pPr>
        <w:spacing w:line="240" w:lineRule="auto"/>
        <w:rPr>
          <w:b/>
          <w:bCs/>
          <w:color w:val="A65588"/>
        </w:rPr>
      </w:pPr>
      <w:r>
        <w:rPr>
          <w:b/>
          <w:bCs/>
          <w:color w:val="A65588"/>
        </w:rPr>
        <w:br w:type="page"/>
      </w:r>
    </w:p>
    <w:p w14:paraId="1927E3D4" w14:textId="4AB4C701" w:rsidR="00231771" w:rsidRPr="00612B12" w:rsidRDefault="00231771" w:rsidP="00D9246A">
      <w:pPr>
        <w:spacing w:line="240" w:lineRule="auto"/>
        <w:rPr>
          <w:b/>
          <w:color w:val="A65588"/>
        </w:rPr>
      </w:pPr>
      <w:r w:rsidRPr="00612B12">
        <w:rPr>
          <w:b/>
          <w:color w:val="A65588"/>
        </w:rPr>
        <w:lastRenderedPageBreak/>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2</w:t>
      </w:r>
      <w:r w:rsidR="00CA2D43">
        <w:rPr>
          <w:b/>
          <w:color w:val="A65588"/>
        </w:rPr>
        <w:fldChar w:fldCharType="end"/>
      </w:r>
      <w:r w:rsidRPr="00612B12">
        <w:rPr>
          <w:b/>
          <w:color w:val="A65588"/>
        </w:rPr>
        <w:t xml:space="preserve">: Brighton &amp; Hove SEND Strategy </w:t>
      </w:r>
      <w:r w:rsidR="00974503" w:rsidRPr="00612B12">
        <w:rPr>
          <w:b/>
          <w:bCs/>
          <w:color w:val="A65588"/>
        </w:rPr>
        <w:t>2021</w:t>
      </w:r>
      <w:r w:rsidR="00974503">
        <w:rPr>
          <w:b/>
          <w:bCs/>
          <w:color w:val="A65588"/>
        </w:rPr>
        <w:t>-</w:t>
      </w:r>
      <w:r w:rsidR="00974503" w:rsidRPr="00612B12">
        <w:rPr>
          <w:b/>
          <w:bCs/>
          <w:color w:val="A65588"/>
        </w:rPr>
        <w:t>2026</w:t>
      </w:r>
      <w:r w:rsidR="00974503">
        <w:rPr>
          <w:b/>
          <w:bCs/>
          <w:color w:val="A65588"/>
        </w:rPr>
        <w:t>,</w:t>
      </w:r>
      <w:r w:rsidRPr="00612B12">
        <w:rPr>
          <w:b/>
          <w:color w:val="A65588"/>
        </w:rPr>
        <w:t xml:space="preserve"> key priorities</w:t>
      </w:r>
      <w:r w:rsidR="00631F46" w:rsidRPr="00612B12">
        <w:rPr>
          <w:b/>
          <w:bCs/>
          <w:color w:val="A65588"/>
        </w:rPr>
        <w:t xml:space="preserve"> </w:t>
      </w:r>
    </w:p>
    <w:p w14:paraId="0574D417" w14:textId="77777777" w:rsidR="00ED45D0" w:rsidRDefault="004812C5" w:rsidP="00D9246A">
      <w:pPr>
        <w:keepNext/>
        <w:spacing w:line="240" w:lineRule="auto"/>
      </w:pPr>
      <w:r>
        <w:rPr>
          <w:rFonts w:cs="Arial"/>
          <w:noProof/>
          <w:szCs w:val="24"/>
        </w:rPr>
        <w:drawing>
          <wp:inline distT="0" distB="0" distL="0" distR="0" wp14:anchorId="6B1DAE71" wp14:editId="01F6D77B">
            <wp:extent cx="6323330" cy="4768223"/>
            <wp:effectExtent l="19050" t="0" r="39370" b="13335"/>
            <wp:docPr id="2121807778" name="Diagram 9" descr="The six priorities presented in coloured boxes:&#10;• Inclusive services and support&#10;• Early identification and intervention&#10;• Ensuring access to the right support from services, easily and quickly&#10;• Supporting people to achieve their full potential across health, education and social care&#10;• Ensuring that moves between services or changes across all ages are “smooth, seamless and supportive” and improving the approach to preparation for adulthood&#10;• Ensuring sufficient and accessible SEND and LD service provision across all ages.&#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7C4331F" w14:textId="285C0A82" w:rsidR="00A106D3" w:rsidRPr="00595FE6" w:rsidRDefault="00D32CF6" w:rsidP="00B431B6">
      <w:pPr>
        <w:pStyle w:val="Heading4"/>
      </w:pPr>
      <w:r w:rsidRPr="00595FE6">
        <w:t>Brighton &amp; Hove Transition to Adulthood Strategy 2024-2027</w:t>
      </w:r>
      <w:r w:rsidR="00901BE0" w:rsidRPr="00595FE6">
        <w:rPr>
          <w:rStyle w:val="EndnoteReference"/>
          <w:rFonts w:cs="Arial"/>
          <w:szCs w:val="24"/>
        </w:rPr>
        <w:endnoteReference w:id="34"/>
      </w:r>
    </w:p>
    <w:p w14:paraId="58B2D5DE" w14:textId="583CF016" w:rsidR="00612B12" w:rsidRDefault="008C176D" w:rsidP="00D9246A">
      <w:pPr>
        <w:spacing w:line="240" w:lineRule="auto"/>
        <w:rPr>
          <w:b/>
          <w:bCs/>
          <w:color w:val="A65588"/>
        </w:rPr>
      </w:pPr>
      <w:r>
        <w:rPr>
          <w:rFonts w:cs="Arial"/>
          <w:szCs w:val="24"/>
        </w:rPr>
        <w:t>A</w:t>
      </w:r>
      <w:r w:rsidR="0094391D" w:rsidRPr="00595FE6">
        <w:rPr>
          <w:rFonts w:cs="Arial"/>
          <w:szCs w:val="24"/>
        </w:rPr>
        <w:t xml:space="preserve"> co-produced plan </w:t>
      </w:r>
      <w:r w:rsidR="00742F5C" w:rsidRPr="00595FE6">
        <w:rPr>
          <w:rFonts w:cs="Arial"/>
          <w:szCs w:val="24"/>
        </w:rPr>
        <w:t xml:space="preserve">to support the transition of young people with additional needs </w:t>
      </w:r>
      <w:r w:rsidR="00163E47" w:rsidRPr="00595FE6">
        <w:rPr>
          <w:rFonts w:cs="Arial"/>
          <w:szCs w:val="24"/>
        </w:rPr>
        <w:t>to adulthood and independence.</w:t>
      </w:r>
      <w:r w:rsidR="00251656" w:rsidRPr="00595FE6">
        <w:rPr>
          <w:rFonts w:cs="Arial"/>
          <w:szCs w:val="24"/>
        </w:rPr>
        <w:t xml:space="preserve"> It sets out the need</w:t>
      </w:r>
      <w:r w:rsidR="00BF7833" w:rsidRPr="00595FE6">
        <w:rPr>
          <w:rFonts w:cs="Arial"/>
          <w:szCs w:val="24"/>
        </w:rPr>
        <w:t xml:space="preserve"> to address gaps in current provision</w:t>
      </w:r>
      <w:r w:rsidR="00C347FF" w:rsidRPr="00595FE6">
        <w:rPr>
          <w:rFonts w:cs="Arial"/>
          <w:szCs w:val="24"/>
        </w:rPr>
        <w:t>, for earlier planning</w:t>
      </w:r>
      <w:r w:rsidR="003D2EB2" w:rsidRPr="00595FE6">
        <w:rPr>
          <w:rFonts w:cs="Arial"/>
          <w:szCs w:val="24"/>
        </w:rPr>
        <w:t xml:space="preserve">, and to deliver coordinated support to children and young </w:t>
      </w:r>
      <w:r w:rsidR="00B1581B" w:rsidRPr="00595FE6">
        <w:rPr>
          <w:rFonts w:cs="Arial"/>
          <w:szCs w:val="24"/>
        </w:rPr>
        <w:t>people and their parents and carers.</w:t>
      </w:r>
      <w:r w:rsidR="008A5315" w:rsidRPr="00595FE6">
        <w:rPr>
          <w:rFonts w:cs="Arial"/>
          <w:szCs w:val="24"/>
        </w:rPr>
        <w:t xml:space="preserve"> </w:t>
      </w:r>
      <w:r w:rsidR="00FC3117" w:rsidRPr="00595FE6">
        <w:rPr>
          <w:rFonts w:cs="Arial"/>
          <w:szCs w:val="24"/>
        </w:rPr>
        <w:t>Five key care pathways are included in this strategy: Learning Disabilities; Physical Disabilities &amp; Complex Health Needs; Mental Health needs; Neurodiversit</w:t>
      </w:r>
      <w:r w:rsidR="00CC300A" w:rsidRPr="00595FE6">
        <w:rPr>
          <w:rFonts w:cs="Arial"/>
          <w:szCs w:val="24"/>
        </w:rPr>
        <w:t>y; Looked after children approaching leaving care.</w:t>
      </w:r>
      <w:r w:rsidR="00DC6DC4" w:rsidRPr="00595FE6">
        <w:rPr>
          <w:rFonts w:cs="Arial"/>
          <w:szCs w:val="24"/>
        </w:rPr>
        <w:t xml:space="preserve"> The strategy sets out nine key standards and associated plans</w:t>
      </w:r>
      <w:r w:rsidR="00C32110" w:rsidRPr="00595FE6">
        <w:rPr>
          <w:rFonts w:cs="Arial"/>
          <w:szCs w:val="24"/>
        </w:rPr>
        <w:t xml:space="preserve"> to address gaps in provision</w:t>
      </w:r>
      <w:r w:rsidR="000673E4" w:rsidRPr="00595FE6">
        <w:rPr>
          <w:rFonts w:cs="Arial"/>
          <w:szCs w:val="24"/>
        </w:rPr>
        <w:t xml:space="preserve"> </w:t>
      </w:r>
      <w:r w:rsidR="008709F9">
        <w:rPr>
          <w:rFonts w:cs="Arial"/>
          <w:szCs w:val="24"/>
        </w:rPr>
        <w:t xml:space="preserve">(Figure </w:t>
      </w:r>
      <w:r w:rsidR="0061398C">
        <w:rPr>
          <w:rFonts w:cs="Arial"/>
          <w:szCs w:val="24"/>
        </w:rPr>
        <w:t>3</w:t>
      </w:r>
      <w:r w:rsidR="008709F9">
        <w:rPr>
          <w:rFonts w:cs="Arial"/>
          <w:szCs w:val="24"/>
        </w:rPr>
        <w:t>).</w:t>
      </w:r>
      <w:r w:rsidR="00612B12">
        <w:rPr>
          <w:b/>
          <w:bCs/>
          <w:color w:val="A65588"/>
        </w:rPr>
        <w:br w:type="page"/>
      </w:r>
    </w:p>
    <w:p w14:paraId="54916458" w14:textId="14435F36" w:rsidR="003C431A" w:rsidRPr="00612B12" w:rsidRDefault="003C431A" w:rsidP="00D9246A">
      <w:pPr>
        <w:spacing w:line="240" w:lineRule="auto"/>
        <w:rPr>
          <w:b/>
          <w:color w:val="A65588"/>
        </w:rPr>
      </w:pPr>
      <w:r w:rsidRPr="00612B12">
        <w:rPr>
          <w:b/>
          <w:color w:val="A65588"/>
        </w:rPr>
        <w:lastRenderedPageBreak/>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3</w:t>
      </w:r>
      <w:r w:rsidR="00CA2D43">
        <w:rPr>
          <w:b/>
          <w:color w:val="A65588"/>
        </w:rPr>
        <w:fldChar w:fldCharType="end"/>
      </w:r>
      <w:r w:rsidRPr="00612B12">
        <w:rPr>
          <w:b/>
          <w:color w:val="A65588"/>
        </w:rPr>
        <w:t xml:space="preserve">: Brighton &amp; Hove Transition to Adulthood Strategy </w:t>
      </w:r>
      <w:r w:rsidR="00F55898">
        <w:rPr>
          <w:b/>
          <w:bCs/>
          <w:color w:val="A65588"/>
        </w:rPr>
        <w:t>9</w:t>
      </w:r>
      <w:r w:rsidRPr="00612B12">
        <w:rPr>
          <w:b/>
          <w:color w:val="A65588"/>
        </w:rPr>
        <w:t xml:space="preserve"> key priorities</w:t>
      </w:r>
      <w:r w:rsidR="00631F46" w:rsidRPr="00612B12">
        <w:rPr>
          <w:b/>
          <w:color w:val="A65588"/>
        </w:rPr>
        <w:t>, 2024</w:t>
      </w:r>
      <w:r w:rsidR="00F55898">
        <w:rPr>
          <w:b/>
          <w:bCs/>
          <w:color w:val="A65588"/>
        </w:rPr>
        <w:t>-</w:t>
      </w:r>
      <w:r w:rsidR="00631F46" w:rsidRPr="00612B12">
        <w:rPr>
          <w:b/>
          <w:bCs/>
          <w:color w:val="A65588"/>
        </w:rPr>
        <w:t>27</w:t>
      </w:r>
    </w:p>
    <w:p w14:paraId="4909AF93" w14:textId="77777777" w:rsidR="00F720A0" w:rsidRDefault="00EB5623" w:rsidP="00D9246A">
      <w:pPr>
        <w:keepNext/>
        <w:spacing w:line="240" w:lineRule="auto"/>
      </w:pPr>
      <w:r>
        <w:rPr>
          <w:rFonts w:cs="Arial"/>
          <w:noProof/>
          <w:szCs w:val="24"/>
        </w:rPr>
        <w:drawing>
          <wp:inline distT="0" distB="0" distL="0" distR="0" wp14:anchorId="2098237D" wp14:editId="2E169F7A">
            <wp:extent cx="6188710" cy="3600450"/>
            <wp:effectExtent l="19050" t="0" r="21590" b="0"/>
            <wp:docPr id="139958332" name="Diagram 9" descr="The nine priorities presented in coloured boxes:&#10;• Co-production&#10;• Information and communication&#10;• Systems and processes to support good outcomes&#10;• Education&#10;• Employment&#10;• Friends and community inclusion&#10;• Health&#10;• Independent living&#10;• Transitional safeguarding.&#10;&#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78063AE" w14:textId="5688C396" w:rsidR="007C6FC5" w:rsidRPr="00595FE6" w:rsidRDefault="007C6FC5" w:rsidP="00B431B6">
      <w:pPr>
        <w:pStyle w:val="Heading4"/>
      </w:pPr>
      <w:r w:rsidRPr="00595FE6">
        <w:t>SEND and AP Change Partnership Programme</w:t>
      </w:r>
      <w:r w:rsidRPr="00595FE6">
        <w:rPr>
          <w:rStyle w:val="EndnoteReference"/>
          <w:rFonts w:cs="Arial"/>
          <w:szCs w:val="24"/>
        </w:rPr>
        <w:endnoteReference w:id="35"/>
      </w:r>
    </w:p>
    <w:p w14:paraId="56B73AC3" w14:textId="77777777" w:rsidR="00A75A8C" w:rsidRDefault="007C6FC5" w:rsidP="00D9246A">
      <w:pPr>
        <w:spacing w:line="240" w:lineRule="auto"/>
        <w:rPr>
          <w:rFonts w:cs="Arial"/>
          <w:szCs w:val="24"/>
        </w:rPr>
      </w:pPr>
      <w:r w:rsidRPr="00595FE6">
        <w:rPr>
          <w:rFonts w:cs="Arial"/>
          <w:szCs w:val="24"/>
        </w:rPr>
        <w:t xml:space="preserve">Brighton &amp; Hove are part of the South-East partnership, alongside Portsmouth, West Sussex and East Sussex. This is one of nine regional Change Programme Partners set up in England to test proposed reforms under the SEND and Alternative Provision Improvement Plan published by the Department for Education in 2023. </w:t>
      </w:r>
    </w:p>
    <w:p w14:paraId="01628675" w14:textId="0A616DA0" w:rsidR="00C04DE3" w:rsidRPr="00595FE6" w:rsidRDefault="007C6FC5" w:rsidP="00D9246A">
      <w:pPr>
        <w:spacing w:line="240" w:lineRule="auto"/>
        <w:rPr>
          <w:rFonts w:cs="Arial"/>
          <w:szCs w:val="24"/>
        </w:rPr>
      </w:pPr>
      <w:r w:rsidRPr="00595FE6">
        <w:rPr>
          <w:rFonts w:cs="Arial"/>
          <w:szCs w:val="24"/>
        </w:rPr>
        <w:t xml:space="preserve">Across the four local authority areas, ten proposed reforms will be tested, and feedback shared with the Change Programme. </w:t>
      </w:r>
    </w:p>
    <w:p w14:paraId="0301D94E" w14:textId="77777777" w:rsidR="007C6FC5" w:rsidRPr="00595FE6" w:rsidRDefault="007C6FC5" w:rsidP="00B431B6">
      <w:pPr>
        <w:pStyle w:val="Heading4"/>
      </w:pPr>
      <w:r w:rsidRPr="00595FE6">
        <w:t>Brighton &amp; Hove Adult Learning Disability Strategy: The Big Plan 2021-2026</w:t>
      </w:r>
      <w:r w:rsidRPr="00595FE6">
        <w:rPr>
          <w:rStyle w:val="EndnoteReference"/>
          <w:rFonts w:cs="Arial"/>
          <w:szCs w:val="24"/>
        </w:rPr>
        <w:endnoteReference w:id="36"/>
      </w:r>
      <w:r w:rsidRPr="00595FE6">
        <w:t xml:space="preserve"> </w:t>
      </w:r>
    </w:p>
    <w:p w14:paraId="1852A6DF" w14:textId="0DA77486" w:rsidR="00A75A8C" w:rsidRDefault="007C6FC5" w:rsidP="00D9246A">
      <w:pPr>
        <w:spacing w:line="240" w:lineRule="auto"/>
        <w:rPr>
          <w:rFonts w:cs="Arial"/>
          <w:szCs w:val="24"/>
        </w:rPr>
      </w:pPr>
      <w:r w:rsidRPr="00595FE6">
        <w:rPr>
          <w:rFonts w:cs="Arial"/>
          <w:szCs w:val="24"/>
        </w:rPr>
        <w:t>This co-produced strategy is for people over the age of 18 who have a learning disability. It is of relevance to this JSNA work in its application to young people aged 18-25</w:t>
      </w:r>
      <w:r w:rsidR="009F43C2">
        <w:rPr>
          <w:rFonts w:cs="Arial"/>
          <w:szCs w:val="24"/>
        </w:rPr>
        <w:t xml:space="preserve"> </w:t>
      </w:r>
      <w:r w:rsidR="00BF6582">
        <w:rPr>
          <w:rFonts w:cs="Arial"/>
          <w:szCs w:val="24"/>
        </w:rPr>
        <w:t>years</w:t>
      </w:r>
      <w:r w:rsidR="00BF6582" w:rsidRPr="00595FE6">
        <w:rPr>
          <w:rFonts w:cs="Arial"/>
          <w:szCs w:val="24"/>
        </w:rPr>
        <w:t xml:space="preserve"> and</w:t>
      </w:r>
      <w:r w:rsidRPr="00595FE6">
        <w:rPr>
          <w:rFonts w:cs="Arial"/>
          <w:szCs w:val="24"/>
        </w:rPr>
        <w:t xml:space="preserve"> includes a focus on transitions between services. </w:t>
      </w:r>
    </w:p>
    <w:p w14:paraId="78FA446C" w14:textId="1253A45A" w:rsidR="007C6FC5" w:rsidRPr="00595FE6" w:rsidRDefault="007C6FC5" w:rsidP="00D9246A">
      <w:pPr>
        <w:spacing w:line="240" w:lineRule="auto"/>
        <w:rPr>
          <w:rFonts w:cs="Arial"/>
          <w:szCs w:val="24"/>
        </w:rPr>
      </w:pPr>
      <w:r w:rsidRPr="00595FE6">
        <w:rPr>
          <w:rFonts w:cs="Arial"/>
          <w:szCs w:val="24"/>
        </w:rPr>
        <w:t xml:space="preserve">The strategy has been developed to enhance the outcomes of adults with learning disabilities and sets out </w:t>
      </w:r>
      <w:r w:rsidR="009F43C2">
        <w:rPr>
          <w:rFonts w:cs="Arial"/>
          <w:szCs w:val="24"/>
        </w:rPr>
        <w:t>six</w:t>
      </w:r>
      <w:r w:rsidRPr="00595FE6">
        <w:rPr>
          <w:rFonts w:cs="Arial"/>
          <w:szCs w:val="24"/>
        </w:rPr>
        <w:t xml:space="preserve"> key priorities to deliver this, with progress monitored by the Adult Learning Disability Partnership Board and the SEND Partnership Board</w:t>
      </w:r>
      <w:r w:rsidR="0092067B">
        <w:rPr>
          <w:rFonts w:cs="Arial"/>
          <w:szCs w:val="24"/>
        </w:rPr>
        <w:t xml:space="preserve"> (Figure </w:t>
      </w:r>
      <w:r w:rsidR="00A06643">
        <w:rPr>
          <w:rFonts w:cs="Arial"/>
          <w:szCs w:val="24"/>
        </w:rPr>
        <w:t>4</w:t>
      </w:r>
      <w:r w:rsidR="0092067B">
        <w:rPr>
          <w:rFonts w:cs="Arial"/>
          <w:szCs w:val="24"/>
        </w:rPr>
        <w:t>).</w:t>
      </w:r>
    </w:p>
    <w:p w14:paraId="628D4560" w14:textId="77777777" w:rsidR="00D51607" w:rsidRDefault="00D51607" w:rsidP="00D9246A">
      <w:pPr>
        <w:spacing w:line="240" w:lineRule="auto"/>
        <w:rPr>
          <w:b/>
          <w:bCs/>
          <w:color w:val="A65588"/>
        </w:rPr>
      </w:pPr>
      <w:r>
        <w:rPr>
          <w:b/>
          <w:bCs/>
          <w:color w:val="A65588"/>
        </w:rPr>
        <w:br w:type="page"/>
      </w:r>
    </w:p>
    <w:p w14:paraId="0C709F87" w14:textId="77A85908" w:rsidR="00B93F61" w:rsidRPr="00B93F61" w:rsidRDefault="00B93F61" w:rsidP="00B93F61">
      <w:pPr>
        <w:pStyle w:val="Caption"/>
        <w:rPr>
          <w:color w:val="A65588"/>
        </w:rPr>
      </w:pPr>
      <w:r w:rsidRPr="00B93F61">
        <w:rPr>
          <w:color w:val="A65588"/>
        </w:rPr>
        <w:lastRenderedPageBreak/>
        <w:t xml:space="preserve">Figure </w:t>
      </w:r>
      <w:r w:rsidR="00CA2D43">
        <w:rPr>
          <w:color w:val="A65588"/>
        </w:rPr>
        <w:fldChar w:fldCharType="begin"/>
      </w:r>
      <w:r w:rsidR="00CA2D43">
        <w:rPr>
          <w:color w:val="A65588"/>
        </w:rPr>
        <w:instrText xml:space="preserve"> SEQ Figure \* ARABIC </w:instrText>
      </w:r>
      <w:r w:rsidR="00CA2D43">
        <w:rPr>
          <w:color w:val="A65588"/>
        </w:rPr>
        <w:fldChar w:fldCharType="separate"/>
      </w:r>
      <w:r w:rsidR="00CA2D43">
        <w:rPr>
          <w:noProof/>
          <w:color w:val="A65588"/>
        </w:rPr>
        <w:t>4</w:t>
      </w:r>
      <w:r w:rsidR="00CA2D43">
        <w:rPr>
          <w:color w:val="A65588"/>
        </w:rPr>
        <w:fldChar w:fldCharType="end"/>
      </w:r>
      <w:r w:rsidRPr="00B93F61">
        <w:rPr>
          <w:color w:val="A65588"/>
        </w:rPr>
        <w:t>: Brighton &amp; Hove Adult Learning Disability Strategy 2021-26, key priorities</w:t>
      </w:r>
    </w:p>
    <w:p w14:paraId="3F0E65F8" w14:textId="266AB589" w:rsidR="009E413B" w:rsidRPr="00595FE6" w:rsidRDefault="009E413B" w:rsidP="00D9246A">
      <w:pPr>
        <w:spacing w:line="240" w:lineRule="auto"/>
        <w:rPr>
          <w:rFonts w:cs="Arial"/>
          <w:szCs w:val="24"/>
        </w:rPr>
      </w:pPr>
      <w:r>
        <w:rPr>
          <w:rFonts w:cs="Arial"/>
          <w:noProof/>
          <w:szCs w:val="24"/>
        </w:rPr>
        <w:drawing>
          <wp:inline distT="0" distB="0" distL="0" distR="0" wp14:anchorId="66C30576" wp14:editId="103175E5">
            <wp:extent cx="6188710" cy="3381375"/>
            <wp:effectExtent l="38100" t="0" r="21590" b="28575"/>
            <wp:docPr id="635640877" name="Diagram 9" descr="The nine priorities presented in coloured boxes:&#10;• Co-production&#10;• Information and communication&#10;• Systems and processes to support good outcomes&#10;• Education&#10;• Employment&#10;• Friends and community inclusion&#10;• Health&#10;• Independent living&#10;• Transitional safeguarding.&#10;&#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6DC99151" w14:textId="3E37B594" w:rsidR="007C6FC5" w:rsidRPr="00595FE6" w:rsidRDefault="007C6FC5" w:rsidP="00B431B6">
      <w:pPr>
        <w:pStyle w:val="Heading4"/>
      </w:pPr>
      <w:r w:rsidRPr="00595FE6">
        <w:t>Brighton &amp; Hove Adult Autism Strategy and Action Plan</w:t>
      </w:r>
      <w:r w:rsidR="00374D68">
        <w:t xml:space="preserve"> 2023-2028</w:t>
      </w:r>
      <w:r w:rsidRPr="00595FE6">
        <w:rPr>
          <w:rStyle w:val="EndnoteReference"/>
          <w:rFonts w:cs="Arial"/>
          <w:szCs w:val="24"/>
        </w:rPr>
        <w:endnoteReference w:id="37"/>
      </w:r>
    </w:p>
    <w:p w14:paraId="7E841747" w14:textId="2BB11F56" w:rsidR="006E2C75" w:rsidRDefault="0017087E" w:rsidP="00D9246A">
      <w:pPr>
        <w:spacing w:line="240" w:lineRule="auto"/>
        <w:rPr>
          <w:rFonts w:cs="Arial"/>
          <w:szCs w:val="24"/>
        </w:rPr>
      </w:pPr>
      <w:r>
        <w:rPr>
          <w:rFonts w:cs="Arial"/>
          <w:szCs w:val="24"/>
        </w:rPr>
        <w:t>D</w:t>
      </w:r>
      <w:r w:rsidR="007C6FC5" w:rsidRPr="00595FE6">
        <w:rPr>
          <w:rFonts w:cs="Arial"/>
          <w:szCs w:val="24"/>
        </w:rPr>
        <w:t xml:space="preserve">eveloped by Brighton &amp; Hove Autism Partnership Board in consultation with local partners, autistic people, families and carers. It aims to improve the lives of autistic adults without a learning disability, their </w:t>
      </w:r>
      <w:proofErr w:type="spellStart"/>
      <w:r w:rsidR="007C6FC5" w:rsidRPr="00595FE6">
        <w:rPr>
          <w:rFonts w:cs="Arial"/>
          <w:szCs w:val="24"/>
        </w:rPr>
        <w:t>carers</w:t>
      </w:r>
      <w:proofErr w:type="spellEnd"/>
      <w:r w:rsidR="007C6FC5" w:rsidRPr="00595FE6">
        <w:rPr>
          <w:rFonts w:cs="Arial"/>
          <w:szCs w:val="24"/>
        </w:rPr>
        <w:t xml:space="preserve"> and support networks. </w:t>
      </w:r>
    </w:p>
    <w:p w14:paraId="35BE5540" w14:textId="316010FD" w:rsidR="006E2C75" w:rsidRDefault="007C6FC5" w:rsidP="00D9246A">
      <w:pPr>
        <w:spacing w:line="240" w:lineRule="auto"/>
        <w:rPr>
          <w:rFonts w:cs="Arial"/>
          <w:szCs w:val="24"/>
        </w:rPr>
      </w:pPr>
      <w:r w:rsidRPr="00595FE6">
        <w:rPr>
          <w:rFonts w:cs="Arial"/>
          <w:szCs w:val="24"/>
        </w:rPr>
        <w:t>There are six priority areas with underpinning action plans</w:t>
      </w:r>
      <w:r w:rsidR="00090E84">
        <w:rPr>
          <w:rFonts w:cs="Arial"/>
          <w:szCs w:val="24"/>
        </w:rPr>
        <w:t xml:space="preserve"> (Figure </w:t>
      </w:r>
      <w:r w:rsidR="00025783">
        <w:rPr>
          <w:rFonts w:cs="Arial"/>
          <w:szCs w:val="24"/>
        </w:rPr>
        <w:t>5</w:t>
      </w:r>
      <w:r w:rsidR="00090E84">
        <w:rPr>
          <w:rFonts w:cs="Arial"/>
          <w:szCs w:val="24"/>
        </w:rPr>
        <w:t>)</w:t>
      </w:r>
      <w:r w:rsidRPr="00595FE6">
        <w:rPr>
          <w:rFonts w:cs="Arial"/>
          <w:szCs w:val="24"/>
        </w:rPr>
        <w:t xml:space="preserve">. </w:t>
      </w:r>
    </w:p>
    <w:p w14:paraId="1D6F8D9E" w14:textId="106C6D83" w:rsidR="00B305B8" w:rsidRPr="00B305B8" w:rsidRDefault="00B305B8" w:rsidP="00B305B8">
      <w:pPr>
        <w:pStyle w:val="Caption"/>
        <w:rPr>
          <w:color w:val="A65588"/>
        </w:rPr>
      </w:pPr>
      <w:r w:rsidRPr="00B305B8">
        <w:rPr>
          <w:color w:val="A65588"/>
        </w:rPr>
        <w:t xml:space="preserve">Figure </w:t>
      </w:r>
      <w:r w:rsidR="00CA2D43">
        <w:rPr>
          <w:color w:val="A65588"/>
        </w:rPr>
        <w:fldChar w:fldCharType="begin"/>
      </w:r>
      <w:r w:rsidR="00CA2D43">
        <w:rPr>
          <w:color w:val="A65588"/>
        </w:rPr>
        <w:instrText xml:space="preserve"> SEQ Figure \* ARABIC </w:instrText>
      </w:r>
      <w:r w:rsidR="00CA2D43">
        <w:rPr>
          <w:color w:val="A65588"/>
        </w:rPr>
        <w:fldChar w:fldCharType="separate"/>
      </w:r>
      <w:r w:rsidR="00CA2D43">
        <w:rPr>
          <w:noProof/>
          <w:color w:val="A65588"/>
        </w:rPr>
        <w:t>5</w:t>
      </w:r>
      <w:r w:rsidR="00CA2D43">
        <w:rPr>
          <w:color w:val="A65588"/>
        </w:rPr>
        <w:fldChar w:fldCharType="end"/>
      </w:r>
      <w:r w:rsidRPr="00B305B8">
        <w:rPr>
          <w:color w:val="A65588"/>
        </w:rPr>
        <w:t>: Brighton &amp; Hove Adult Autism Strategy &amp; Action Plan 2023-2028 priorities</w:t>
      </w:r>
    </w:p>
    <w:p w14:paraId="7FC6562A" w14:textId="76E477ED" w:rsidR="00B3165C" w:rsidRDefault="00B3165C" w:rsidP="00D9246A">
      <w:pPr>
        <w:spacing w:line="240" w:lineRule="auto"/>
        <w:rPr>
          <w:rFonts w:cs="Arial"/>
          <w:szCs w:val="24"/>
        </w:rPr>
      </w:pPr>
      <w:r>
        <w:rPr>
          <w:rFonts w:cs="Arial"/>
          <w:noProof/>
          <w:szCs w:val="24"/>
        </w:rPr>
        <w:drawing>
          <wp:inline distT="0" distB="0" distL="0" distR="0" wp14:anchorId="35D9A3E1" wp14:editId="35324123">
            <wp:extent cx="6188710" cy="2200275"/>
            <wp:effectExtent l="19050" t="0" r="21590" b="28575"/>
            <wp:docPr id="148266252" name="Diagram 9" descr="The nine priorities presented in coloured boxes:&#10;• Co-production&#10;• Information and communication&#10;• Systems and processes to support good outcomes&#10;• Education&#10;• Employment&#10;• Friends and community inclusion&#10;• Health&#10;• Independent living&#10;• Transitional safeguarding.&#10;&#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68D8BF64" w14:textId="48752B4F" w:rsidR="007C6FC5" w:rsidRPr="00595FE6" w:rsidRDefault="00497363" w:rsidP="00D9246A">
      <w:pPr>
        <w:spacing w:line="240" w:lineRule="auto"/>
        <w:rPr>
          <w:rFonts w:cs="Arial"/>
          <w:szCs w:val="24"/>
        </w:rPr>
      </w:pPr>
      <w:r>
        <w:rPr>
          <w:rFonts w:cs="Arial"/>
          <w:szCs w:val="24"/>
        </w:rPr>
        <w:t>Whilst</w:t>
      </w:r>
      <w:r w:rsidR="007C6FC5" w:rsidRPr="00595FE6">
        <w:rPr>
          <w:rFonts w:cs="Arial"/>
          <w:szCs w:val="24"/>
        </w:rPr>
        <w:t xml:space="preserve"> it is an adult strategy, it is relevan</w:t>
      </w:r>
      <w:r>
        <w:rPr>
          <w:rFonts w:cs="Arial"/>
          <w:szCs w:val="24"/>
        </w:rPr>
        <w:t>t</w:t>
      </w:r>
      <w:r w:rsidR="007C6FC5" w:rsidRPr="00595FE6">
        <w:rPr>
          <w:rFonts w:cs="Arial"/>
          <w:szCs w:val="24"/>
        </w:rPr>
        <w:t xml:space="preserve"> </w:t>
      </w:r>
      <w:r>
        <w:rPr>
          <w:rFonts w:cs="Arial"/>
          <w:szCs w:val="24"/>
        </w:rPr>
        <w:t>as considers</w:t>
      </w:r>
      <w:r w:rsidR="007C6FC5" w:rsidRPr="00595FE6">
        <w:rPr>
          <w:rFonts w:cs="Arial"/>
          <w:szCs w:val="24"/>
        </w:rPr>
        <w:t xml:space="preserve"> issues that affect autistic people of all ages, and in outcomes targeted towards people aged 18-25</w:t>
      </w:r>
      <w:r w:rsidR="0017087E">
        <w:rPr>
          <w:rFonts w:cs="Arial"/>
          <w:szCs w:val="24"/>
        </w:rPr>
        <w:t xml:space="preserve"> years</w:t>
      </w:r>
      <w:r w:rsidR="007C6FC5" w:rsidRPr="00595FE6">
        <w:rPr>
          <w:rFonts w:cs="Arial"/>
          <w:szCs w:val="24"/>
        </w:rPr>
        <w:t xml:space="preserve">. </w:t>
      </w:r>
      <w:r w:rsidR="006E2C75">
        <w:rPr>
          <w:rFonts w:cs="Arial"/>
          <w:szCs w:val="24"/>
        </w:rPr>
        <w:t xml:space="preserve">It </w:t>
      </w:r>
      <w:r w:rsidR="007C6FC5" w:rsidRPr="00595FE6">
        <w:rPr>
          <w:rFonts w:cs="Arial"/>
          <w:szCs w:val="24"/>
        </w:rPr>
        <w:t>includes</w:t>
      </w:r>
      <w:r w:rsidR="007C6FC5" w:rsidRPr="00595FE6" w:rsidDel="008F61ED">
        <w:rPr>
          <w:rFonts w:cs="Arial"/>
          <w:szCs w:val="24"/>
        </w:rPr>
        <w:t xml:space="preserve"> </w:t>
      </w:r>
      <w:r w:rsidR="007C6FC5" w:rsidRPr="00595FE6">
        <w:rPr>
          <w:rFonts w:cs="Arial"/>
          <w:szCs w:val="24"/>
        </w:rPr>
        <w:t>an action plan for local universities to co-produce a review on support for mental health and wellbeing of autistic students, and the development of guidelines to support autistic young people without a learning disability in transition between Children’s and Adult Social Care Services.</w:t>
      </w:r>
    </w:p>
    <w:p w14:paraId="5E335FFA" w14:textId="77777777" w:rsidR="007C6FC5" w:rsidRPr="00595FE6" w:rsidRDefault="007C6FC5" w:rsidP="00B431B6">
      <w:pPr>
        <w:pStyle w:val="Heading4"/>
      </w:pPr>
      <w:r w:rsidRPr="00595FE6">
        <w:lastRenderedPageBreak/>
        <w:t>Sussex NHS Commissioners All Age Learning Disability and Autism Strategy 2021-24</w:t>
      </w:r>
      <w:r w:rsidRPr="00595FE6">
        <w:rPr>
          <w:rStyle w:val="EndnoteReference"/>
          <w:rFonts w:cs="Arial"/>
          <w:szCs w:val="24"/>
        </w:rPr>
        <w:endnoteReference w:id="38"/>
      </w:r>
    </w:p>
    <w:p w14:paraId="03F33BAB" w14:textId="6A5E8ADA" w:rsidR="00A449DE" w:rsidRDefault="0017087E" w:rsidP="00D9246A">
      <w:pPr>
        <w:spacing w:line="240" w:lineRule="auto"/>
        <w:rPr>
          <w:rFonts w:cs="Arial"/>
          <w:szCs w:val="24"/>
        </w:rPr>
      </w:pPr>
      <w:r>
        <w:rPr>
          <w:rFonts w:cs="Arial"/>
          <w:szCs w:val="24"/>
        </w:rPr>
        <w:t>H</w:t>
      </w:r>
      <w:r w:rsidR="007C6FC5" w:rsidRPr="00595FE6">
        <w:rPr>
          <w:rFonts w:cs="Arial"/>
          <w:szCs w:val="24"/>
        </w:rPr>
        <w:t>as three key objectives</w:t>
      </w:r>
      <w:r w:rsidR="007C6FC5" w:rsidRPr="00595FE6" w:rsidDel="00895CAF">
        <w:rPr>
          <w:rFonts w:cs="Arial"/>
          <w:szCs w:val="24"/>
        </w:rPr>
        <w:t xml:space="preserve"> </w:t>
      </w:r>
      <w:r w:rsidR="007C6FC5" w:rsidRPr="00595FE6">
        <w:rPr>
          <w:rFonts w:cs="Arial"/>
          <w:szCs w:val="24"/>
        </w:rPr>
        <w:t>to reduce health inequalities</w:t>
      </w:r>
      <w:r w:rsidR="00A449DE">
        <w:rPr>
          <w:rFonts w:cs="Arial"/>
          <w:szCs w:val="24"/>
        </w:rPr>
        <w:t xml:space="preserve"> (Figure </w:t>
      </w:r>
      <w:r w:rsidR="00137221">
        <w:rPr>
          <w:rFonts w:cs="Arial"/>
          <w:szCs w:val="24"/>
        </w:rPr>
        <w:t>6</w:t>
      </w:r>
      <w:r w:rsidR="00A449DE">
        <w:rPr>
          <w:rFonts w:cs="Arial"/>
          <w:szCs w:val="24"/>
        </w:rPr>
        <w:t>)</w:t>
      </w:r>
      <w:r w:rsidR="00A449DE" w:rsidRPr="00A449DE">
        <w:rPr>
          <w:rFonts w:cs="Arial"/>
          <w:szCs w:val="24"/>
        </w:rPr>
        <w:t xml:space="preserve"> </w:t>
      </w:r>
      <w:r w:rsidR="00A449DE">
        <w:rPr>
          <w:rFonts w:cs="Arial"/>
          <w:szCs w:val="24"/>
        </w:rPr>
        <w:t>and review</w:t>
      </w:r>
      <w:r w:rsidR="00A449DE" w:rsidRPr="00595FE6">
        <w:rPr>
          <w:rFonts w:cs="Arial"/>
          <w:szCs w:val="24"/>
        </w:rPr>
        <w:t>s Sussex’s progress against the NHS Long Term Plan</w:t>
      </w:r>
      <w:r w:rsidR="00A449DE">
        <w:rPr>
          <w:rFonts w:cs="Arial"/>
          <w:szCs w:val="24"/>
        </w:rPr>
        <w:t xml:space="preserve"> </w:t>
      </w:r>
      <w:r w:rsidR="006205A2">
        <w:rPr>
          <w:rFonts w:cs="Arial"/>
          <w:szCs w:val="24"/>
        </w:rPr>
        <w:t>2019</w:t>
      </w:r>
      <w:r w:rsidR="006205A2" w:rsidRPr="00595FE6">
        <w:rPr>
          <w:rFonts w:cs="Arial"/>
          <w:szCs w:val="24"/>
        </w:rPr>
        <w:t xml:space="preserve"> and</w:t>
      </w:r>
      <w:r w:rsidR="00A449DE" w:rsidRPr="00595FE6">
        <w:rPr>
          <w:rFonts w:cs="Arial"/>
          <w:szCs w:val="24"/>
        </w:rPr>
        <w:t xml:space="preserve"> sets out detailed priorities for action.</w:t>
      </w:r>
    </w:p>
    <w:p w14:paraId="6EFE18E6" w14:textId="2AB1F9C2" w:rsidR="00025776" w:rsidRPr="00025776" w:rsidRDefault="00025776" w:rsidP="00025776">
      <w:pPr>
        <w:pStyle w:val="Caption"/>
        <w:rPr>
          <w:color w:val="A65588"/>
        </w:rPr>
      </w:pPr>
      <w:r w:rsidRPr="00025776">
        <w:rPr>
          <w:color w:val="A65588"/>
        </w:rPr>
        <w:t xml:space="preserve">Figure </w:t>
      </w:r>
      <w:r w:rsidR="00CA2D43">
        <w:rPr>
          <w:color w:val="A65588"/>
        </w:rPr>
        <w:fldChar w:fldCharType="begin"/>
      </w:r>
      <w:r w:rsidR="00CA2D43">
        <w:rPr>
          <w:color w:val="A65588"/>
        </w:rPr>
        <w:instrText xml:space="preserve"> SEQ Figure \* ARABIC </w:instrText>
      </w:r>
      <w:r w:rsidR="00CA2D43">
        <w:rPr>
          <w:color w:val="A65588"/>
        </w:rPr>
        <w:fldChar w:fldCharType="separate"/>
      </w:r>
      <w:r w:rsidR="00CA2D43">
        <w:rPr>
          <w:noProof/>
          <w:color w:val="A65588"/>
        </w:rPr>
        <w:t>6</w:t>
      </w:r>
      <w:r w:rsidR="00CA2D43">
        <w:rPr>
          <w:color w:val="A65588"/>
        </w:rPr>
        <w:fldChar w:fldCharType="end"/>
      </w:r>
      <w:r w:rsidRPr="00025776">
        <w:rPr>
          <w:color w:val="A65588"/>
        </w:rPr>
        <w:t>: Sussex NHS Commissioners All Age Learning Disability and Autism Strategy 2021-24, three key objectives</w:t>
      </w:r>
    </w:p>
    <w:p w14:paraId="3AD24E84" w14:textId="311AFCD0" w:rsidR="00A449DE" w:rsidRPr="00595FE6" w:rsidRDefault="00A449DE" w:rsidP="00D9246A">
      <w:pPr>
        <w:spacing w:line="240" w:lineRule="auto"/>
        <w:rPr>
          <w:rFonts w:cs="Arial"/>
          <w:szCs w:val="24"/>
        </w:rPr>
      </w:pPr>
      <w:r>
        <w:rPr>
          <w:rFonts w:cs="Arial"/>
          <w:noProof/>
          <w:szCs w:val="24"/>
        </w:rPr>
        <w:drawing>
          <wp:inline distT="0" distB="0" distL="0" distR="0" wp14:anchorId="73618FC0" wp14:editId="315E4D76">
            <wp:extent cx="6188710" cy="1924050"/>
            <wp:effectExtent l="19050" t="0" r="59690" b="0"/>
            <wp:docPr id="183498406" name="Diagram 9" descr="The nine priorities presented in coloured boxes:&#10;• Co-production&#10;• Information and communication&#10;• Systems and processes to support good outcomes&#10;• Education&#10;• Employment&#10;• Friends and community inclusion&#10;• Health&#10;• Independent living&#10;• Transitional safeguarding.&#10;&#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03E6B920" w14:textId="401BE9BA" w:rsidR="007C6FC5" w:rsidRPr="00595FE6" w:rsidRDefault="007C6FC5" w:rsidP="00B431B6">
      <w:pPr>
        <w:pStyle w:val="Heading4"/>
      </w:pPr>
      <w:r w:rsidRPr="00595FE6">
        <w:t>Sussex All Age Neurodevelopmental Pathway Programme</w:t>
      </w:r>
      <w:r w:rsidRPr="00595FE6">
        <w:rPr>
          <w:rStyle w:val="EndnoteReference"/>
          <w:rFonts w:cs="Arial"/>
          <w:szCs w:val="24"/>
        </w:rPr>
        <w:endnoteReference w:id="39"/>
      </w:r>
    </w:p>
    <w:p w14:paraId="4558ACAF" w14:textId="767B1FB7" w:rsidR="007C6FC5" w:rsidRPr="00595FE6" w:rsidRDefault="0017087E" w:rsidP="00D9246A">
      <w:pPr>
        <w:spacing w:line="240" w:lineRule="auto"/>
        <w:rPr>
          <w:rFonts w:cs="Arial"/>
          <w:szCs w:val="24"/>
        </w:rPr>
      </w:pPr>
      <w:r>
        <w:rPr>
          <w:rFonts w:cs="Arial"/>
          <w:szCs w:val="24"/>
        </w:rPr>
        <w:t>A</w:t>
      </w:r>
      <w:r w:rsidR="007C6FC5" w:rsidRPr="00595FE6">
        <w:rPr>
          <w:rFonts w:cs="Arial"/>
          <w:szCs w:val="24"/>
        </w:rPr>
        <w:t xml:space="preserve"> programme that brings together NHS, local authority, voluntary, community and social enterprise organisations, and people with lived experience, to make longer-term improvements to services and support for Autism, ADHD and other neurodevelopmental conditions. It includes a focus on a </w:t>
      </w:r>
      <w:r w:rsidR="007C6FC5" w:rsidRPr="00497363">
        <w:rPr>
          <w:rFonts w:cs="Arial"/>
          <w:color w:val="A65588"/>
          <w:szCs w:val="24"/>
        </w:rPr>
        <w:t>“needs based approach to support children and young people, irrespective of diagnosis”</w:t>
      </w:r>
      <w:r w:rsidR="007C6FC5" w:rsidRPr="00595FE6">
        <w:rPr>
          <w:rFonts w:cs="Arial"/>
          <w:szCs w:val="24"/>
        </w:rPr>
        <w:t>. It prioritises improving assessment processes and access to services and support.</w:t>
      </w:r>
    </w:p>
    <w:p w14:paraId="384F8FA2" w14:textId="38F2BE85" w:rsidR="00F01C37" w:rsidRPr="00595FE6" w:rsidRDefault="00F01C37" w:rsidP="00B431B6">
      <w:pPr>
        <w:pStyle w:val="Heading4"/>
      </w:pPr>
      <w:r w:rsidRPr="00595FE6">
        <w:t>Sussex Health</w:t>
      </w:r>
      <w:r w:rsidR="009D3788" w:rsidRPr="00595FE6">
        <w:t xml:space="preserve"> &amp; Care Improving Lives Together</w:t>
      </w:r>
      <w:r w:rsidR="00D57713" w:rsidRPr="00595FE6">
        <w:t>. Ambition to Reality: Our Shared Delivery Plan</w:t>
      </w:r>
      <w:r w:rsidR="007E463B" w:rsidRPr="00595FE6">
        <w:t>. 2023</w:t>
      </w:r>
      <w:r w:rsidR="00D57713" w:rsidRPr="00595FE6">
        <w:rPr>
          <w:rStyle w:val="EndnoteReference"/>
          <w:rFonts w:cs="Arial"/>
        </w:rPr>
        <w:endnoteReference w:id="40"/>
      </w:r>
    </w:p>
    <w:p w14:paraId="502945CB" w14:textId="426F832D" w:rsidR="006D0785" w:rsidRDefault="00C04E1E" w:rsidP="00D9246A">
      <w:pPr>
        <w:spacing w:line="240" w:lineRule="auto"/>
        <w:rPr>
          <w:rFonts w:cs="Arial"/>
          <w:szCs w:val="24"/>
        </w:rPr>
      </w:pPr>
      <w:r w:rsidRPr="00595FE6">
        <w:rPr>
          <w:rFonts w:cs="Arial"/>
          <w:szCs w:val="24"/>
        </w:rPr>
        <w:t>This</w:t>
      </w:r>
      <w:r w:rsidR="000211CD" w:rsidRPr="00595FE6">
        <w:rPr>
          <w:rFonts w:cs="Arial"/>
          <w:szCs w:val="24"/>
        </w:rPr>
        <w:t xml:space="preserve"> Integrated Care Strategy sets out improvement </w:t>
      </w:r>
      <w:r w:rsidR="00674AB7" w:rsidRPr="00595FE6">
        <w:rPr>
          <w:rFonts w:cs="Arial"/>
          <w:szCs w:val="24"/>
        </w:rPr>
        <w:t>priorities</w:t>
      </w:r>
      <w:r w:rsidR="000211CD" w:rsidRPr="00595FE6">
        <w:rPr>
          <w:rFonts w:cs="Arial"/>
          <w:szCs w:val="24"/>
        </w:rPr>
        <w:t xml:space="preserve"> for health and care in Sussex over the next five years and beyond.</w:t>
      </w:r>
      <w:r w:rsidR="0086246F" w:rsidRPr="00595FE6">
        <w:rPr>
          <w:rFonts w:cs="Arial"/>
          <w:szCs w:val="24"/>
        </w:rPr>
        <w:t xml:space="preserve"> It includes</w:t>
      </w:r>
      <w:r w:rsidR="006B17B8" w:rsidRPr="00595FE6">
        <w:rPr>
          <w:rFonts w:cs="Arial"/>
          <w:szCs w:val="24"/>
        </w:rPr>
        <w:t xml:space="preserve"> four key delivery areas</w:t>
      </w:r>
      <w:r w:rsidR="00B0665F" w:rsidRPr="00595FE6">
        <w:rPr>
          <w:rFonts w:cs="Arial"/>
          <w:szCs w:val="24"/>
        </w:rPr>
        <w:t>. One</w:t>
      </w:r>
      <w:r w:rsidR="005B2031" w:rsidRPr="00595FE6">
        <w:rPr>
          <w:rFonts w:cs="Arial"/>
          <w:szCs w:val="24"/>
        </w:rPr>
        <w:t xml:space="preserve"> </w:t>
      </w:r>
      <w:r w:rsidR="00FC5128" w:rsidRPr="00595FE6">
        <w:rPr>
          <w:rFonts w:cs="Arial"/>
          <w:szCs w:val="24"/>
        </w:rPr>
        <w:t>of these focusses on continuous improvement areas</w:t>
      </w:r>
      <w:r w:rsidR="00042367" w:rsidRPr="00595FE6">
        <w:rPr>
          <w:rFonts w:cs="Arial"/>
          <w:szCs w:val="24"/>
        </w:rPr>
        <w:t>, of which</w:t>
      </w:r>
      <w:r w:rsidR="005B2852" w:rsidRPr="00595FE6">
        <w:rPr>
          <w:rFonts w:cs="Arial"/>
          <w:szCs w:val="24"/>
        </w:rPr>
        <w:t xml:space="preserve"> </w:t>
      </w:r>
      <w:r w:rsidR="00FB3E11" w:rsidRPr="0054685F">
        <w:rPr>
          <w:rFonts w:cs="Arial"/>
          <w:szCs w:val="24"/>
        </w:rPr>
        <w:t>a</w:t>
      </w:r>
      <w:r w:rsidR="005B2852" w:rsidRPr="00B615DA">
        <w:rPr>
          <w:rFonts w:cs="Arial"/>
          <w:szCs w:val="24"/>
        </w:rPr>
        <w:t>ddressing</w:t>
      </w:r>
      <w:r w:rsidR="005B2852" w:rsidRPr="00B615DA" w:rsidDel="00FB3E11">
        <w:rPr>
          <w:rFonts w:cs="Arial"/>
          <w:szCs w:val="24"/>
        </w:rPr>
        <w:t xml:space="preserve"> </w:t>
      </w:r>
      <w:r w:rsidR="005B2852" w:rsidRPr="00B615DA">
        <w:rPr>
          <w:rFonts w:cs="Arial"/>
          <w:szCs w:val="24"/>
        </w:rPr>
        <w:t>mental health, learning disabilities and autism service</w:t>
      </w:r>
      <w:r w:rsidR="00B436EB" w:rsidRPr="00B615DA">
        <w:rPr>
          <w:rFonts w:cs="Arial"/>
          <w:szCs w:val="24"/>
        </w:rPr>
        <w:t xml:space="preserve"> improvements</w:t>
      </w:r>
      <w:r w:rsidR="00B436EB" w:rsidRPr="00595FE6">
        <w:rPr>
          <w:rFonts w:cs="Arial"/>
          <w:szCs w:val="24"/>
        </w:rPr>
        <w:t xml:space="preserve"> is </w:t>
      </w:r>
      <w:r w:rsidR="00FC5128" w:rsidRPr="00595FE6">
        <w:rPr>
          <w:rFonts w:cs="Arial"/>
          <w:szCs w:val="24"/>
        </w:rPr>
        <w:t>a key strand</w:t>
      </w:r>
      <w:r w:rsidR="00B436EB" w:rsidRPr="00595FE6">
        <w:rPr>
          <w:rFonts w:cs="Arial"/>
          <w:szCs w:val="24"/>
        </w:rPr>
        <w:t>.</w:t>
      </w:r>
      <w:r w:rsidR="00D12EE2" w:rsidRPr="00595FE6">
        <w:rPr>
          <w:rFonts w:cs="Arial"/>
          <w:szCs w:val="24"/>
        </w:rPr>
        <w:t xml:space="preserve"> </w:t>
      </w:r>
    </w:p>
    <w:p w14:paraId="75E587EB" w14:textId="3B904265" w:rsidR="00667123" w:rsidRPr="00595FE6" w:rsidRDefault="00C12475" w:rsidP="00D9246A">
      <w:pPr>
        <w:spacing w:line="240" w:lineRule="auto"/>
        <w:rPr>
          <w:rFonts w:cs="Arial"/>
          <w:szCs w:val="24"/>
        </w:rPr>
      </w:pPr>
      <w:r w:rsidRPr="00595FE6">
        <w:rPr>
          <w:rFonts w:cs="Arial"/>
          <w:szCs w:val="24"/>
        </w:rPr>
        <w:t>In</w:t>
      </w:r>
      <w:r w:rsidR="00D12EE2" w:rsidRPr="00595FE6">
        <w:rPr>
          <w:rFonts w:cs="Arial"/>
          <w:szCs w:val="24"/>
        </w:rPr>
        <w:t xml:space="preserve"> Brighton and Hove</w:t>
      </w:r>
      <w:r w:rsidR="009C3BAA" w:rsidRPr="00595FE6">
        <w:rPr>
          <w:rFonts w:cs="Arial"/>
          <w:szCs w:val="24"/>
        </w:rPr>
        <w:t xml:space="preserve">, </w:t>
      </w:r>
      <w:r w:rsidR="00F26DA8">
        <w:rPr>
          <w:rFonts w:cs="Arial"/>
          <w:szCs w:val="24"/>
        </w:rPr>
        <w:t>c</w:t>
      </w:r>
      <w:r w:rsidR="009C3BAA" w:rsidRPr="00595FE6">
        <w:rPr>
          <w:rFonts w:cs="Arial"/>
          <w:szCs w:val="24"/>
        </w:rPr>
        <w:t xml:space="preserve">hildren and </w:t>
      </w:r>
      <w:r w:rsidR="00F26DA8">
        <w:rPr>
          <w:rFonts w:cs="Arial"/>
          <w:szCs w:val="24"/>
        </w:rPr>
        <w:t>y</w:t>
      </w:r>
      <w:r w:rsidR="009C3BAA" w:rsidRPr="00595FE6">
        <w:rPr>
          <w:rFonts w:cs="Arial"/>
          <w:szCs w:val="24"/>
        </w:rPr>
        <w:t xml:space="preserve">oung </w:t>
      </w:r>
      <w:r w:rsidR="00F26DA8">
        <w:rPr>
          <w:rFonts w:cs="Arial"/>
          <w:szCs w:val="24"/>
        </w:rPr>
        <w:t>p</w:t>
      </w:r>
      <w:r w:rsidR="009C3BAA" w:rsidRPr="00595FE6">
        <w:rPr>
          <w:rFonts w:cs="Arial"/>
          <w:szCs w:val="24"/>
        </w:rPr>
        <w:t xml:space="preserve">eople </w:t>
      </w:r>
      <w:r w:rsidR="00AE2172" w:rsidRPr="00595FE6">
        <w:rPr>
          <w:rFonts w:cs="Arial"/>
          <w:szCs w:val="24"/>
        </w:rPr>
        <w:t>are</w:t>
      </w:r>
      <w:r w:rsidR="009C3BAA" w:rsidRPr="00595FE6">
        <w:rPr>
          <w:rFonts w:cs="Arial"/>
          <w:szCs w:val="24"/>
        </w:rPr>
        <w:t xml:space="preserve"> one of five priority areas</w:t>
      </w:r>
      <w:r w:rsidR="00553CE4" w:rsidRPr="00595FE6">
        <w:rPr>
          <w:rFonts w:cs="Arial"/>
          <w:szCs w:val="24"/>
        </w:rPr>
        <w:t xml:space="preserve">. </w:t>
      </w:r>
      <w:r w:rsidR="00AE2172" w:rsidRPr="00595FE6">
        <w:rPr>
          <w:rFonts w:cs="Arial"/>
          <w:szCs w:val="24"/>
        </w:rPr>
        <w:t>Ambitions</w:t>
      </w:r>
      <w:r w:rsidR="00553CE4" w:rsidRPr="00595FE6">
        <w:rPr>
          <w:rFonts w:cs="Arial"/>
          <w:szCs w:val="24"/>
        </w:rPr>
        <w:t xml:space="preserve"> include</w:t>
      </w:r>
      <w:r w:rsidR="000D7307" w:rsidRPr="00595FE6">
        <w:rPr>
          <w:rFonts w:cs="Arial"/>
          <w:szCs w:val="24"/>
        </w:rPr>
        <w:t xml:space="preserve"> improving and expanding access </w:t>
      </w:r>
      <w:r w:rsidR="001A6697">
        <w:rPr>
          <w:rFonts w:cs="Arial"/>
          <w:szCs w:val="24"/>
        </w:rPr>
        <w:t>and existing</w:t>
      </w:r>
      <w:r w:rsidR="000D7307" w:rsidRPr="00595FE6">
        <w:rPr>
          <w:rFonts w:cs="Arial"/>
          <w:szCs w:val="24"/>
        </w:rPr>
        <w:t xml:space="preserve"> </w:t>
      </w:r>
      <w:r w:rsidR="009E0A17">
        <w:rPr>
          <w:rFonts w:cs="Arial"/>
          <w:szCs w:val="24"/>
        </w:rPr>
        <w:t xml:space="preserve">support for </w:t>
      </w:r>
      <w:r w:rsidR="000D7307" w:rsidRPr="00595FE6">
        <w:rPr>
          <w:rFonts w:cs="Arial"/>
          <w:szCs w:val="24"/>
        </w:rPr>
        <w:t>mental health, emotional wellbeing, autism, ADHD and other neurodevelopmental conditions.</w:t>
      </w:r>
    </w:p>
    <w:p w14:paraId="685439B8" w14:textId="217D732C" w:rsidR="000E57F3" w:rsidRPr="00595FE6" w:rsidRDefault="000D09F7" w:rsidP="00B431B6">
      <w:pPr>
        <w:pStyle w:val="Heading4"/>
      </w:pPr>
      <w:r w:rsidRPr="00595FE6">
        <w:t>Brighton &amp; Hove Joint Health &amp; Wellbeing Strategy 2019-2030</w:t>
      </w:r>
      <w:r w:rsidR="007E463B" w:rsidRPr="00595FE6">
        <w:rPr>
          <w:rStyle w:val="EndnoteReference"/>
          <w:rFonts w:cs="Arial"/>
        </w:rPr>
        <w:endnoteReference w:id="41"/>
      </w:r>
    </w:p>
    <w:p w14:paraId="3D11A333" w14:textId="00B89BD4" w:rsidR="00B73AFE" w:rsidRPr="00595FE6" w:rsidRDefault="00497363" w:rsidP="00D9246A">
      <w:pPr>
        <w:spacing w:line="240" w:lineRule="auto"/>
        <w:rPr>
          <w:rFonts w:cs="Arial"/>
          <w:szCs w:val="24"/>
        </w:rPr>
      </w:pPr>
      <w:r>
        <w:rPr>
          <w:rFonts w:cs="Arial"/>
          <w:szCs w:val="24"/>
        </w:rPr>
        <w:t>S</w:t>
      </w:r>
      <w:r w:rsidR="00777E49" w:rsidRPr="00595FE6">
        <w:rPr>
          <w:rFonts w:cs="Arial"/>
          <w:szCs w:val="24"/>
        </w:rPr>
        <w:t>ets out the ambition</w:t>
      </w:r>
      <w:r w:rsidR="008B3182" w:rsidRPr="00595FE6">
        <w:rPr>
          <w:rFonts w:cs="Arial"/>
          <w:szCs w:val="24"/>
        </w:rPr>
        <w:t xml:space="preserve"> for Brighton and Hove in 2030 that:</w:t>
      </w:r>
    </w:p>
    <w:p w14:paraId="4FB53DEA" w14:textId="0B9B1056" w:rsidR="00B73AFE" w:rsidRPr="00B615DA" w:rsidRDefault="00DE7F56" w:rsidP="009858E3">
      <w:pPr>
        <w:pStyle w:val="ListParagraph"/>
        <w:numPr>
          <w:ilvl w:val="0"/>
          <w:numId w:val="35"/>
        </w:numPr>
        <w:spacing w:line="240" w:lineRule="auto"/>
        <w:rPr>
          <w:rFonts w:cs="Arial"/>
          <w:color w:val="000000" w:themeColor="text1"/>
          <w:szCs w:val="24"/>
        </w:rPr>
      </w:pPr>
      <w:r w:rsidRPr="00B615DA">
        <w:rPr>
          <w:rFonts w:cs="Arial"/>
          <w:color w:val="000000" w:themeColor="text1"/>
          <w:szCs w:val="24"/>
        </w:rPr>
        <w:t>People will live more years in good health</w:t>
      </w:r>
    </w:p>
    <w:p w14:paraId="47BA6D58" w14:textId="1AAF08AF" w:rsidR="00DE7F56" w:rsidRPr="00B615DA" w:rsidRDefault="00DE7F56" w:rsidP="009858E3">
      <w:pPr>
        <w:pStyle w:val="ListParagraph"/>
        <w:numPr>
          <w:ilvl w:val="0"/>
          <w:numId w:val="35"/>
        </w:numPr>
        <w:spacing w:line="240" w:lineRule="auto"/>
        <w:rPr>
          <w:rFonts w:cs="Arial"/>
          <w:color w:val="000000" w:themeColor="text1"/>
          <w:szCs w:val="24"/>
        </w:rPr>
      </w:pPr>
      <w:r w:rsidRPr="00B615DA">
        <w:rPr>
          <w:rFonts w:cs="Arial"/>
          <w:color w:val="000000" w:themeColor="text1"/>
          <w:szCs w:val="24"/>
        </w:rPr>
        <w:t>The gap in healthy life expectancy between people living in the most and least disadvantaged areas of the city will be reduced</w:t>
      </w:r>
      <w:r w:rsidR="006D0785">
        <w:rPr>
          <w:rFonts w:cs="Arial"/>
          <w:color w:val="000000" w:themeColor="text1"/>
          <w:szCs w:val="24"/>
        </w:rPr>
        <w:t>.</w:t>
      </w:r>
    </w:p>
    <w:p w14:paraId="3E99A68F" w14:textId="1659D7AC" w:rsidR="00667123" w:rsidRPr="00595FE6" w:rsidRDefault="008507D5" w:rsidP="00D9246A">
      <w:pPr>
        <w:spacing w:line="240" w:lineRule="auto"/>
        <w:rPr>
          <w:rFonts w:cs="Arial"/>
          <w:szCs w:val="24"/>
        </w:rPr>
      </w:pPr>
      <w:r w:rsidRPr="00595FE6">
        <w:rPr>
          <w:rFonts w:cs="Arial"/>
          <w:szCs w:val="24"/>
        </w:rPr>
        <w:t xml:space="preserve">The </w:t>
      </w:r>
      <w:r w:rsidR="009F43C2" w:rsidRPr="00595FE6">
        <w:rPr>
          <w:rFonts w:cs="Arial"/>
          <w:szCs w:val="24"/>
        </w:rPr>
        <w:t>high-level</w:t>
      </w:r>
      <w:r w:rsidRPr="00595FE6">
        <w:rPr>
          <w:rFonts w:cs="Arial"/>
          <w:szCs w:val="24"/>
        </w:rPr>
        <w:t xml:space="preserve"> outcomes are to improve health and wellbeing</w:t>
      </w:r>
      <w:r w:rsidR="0098474D" w:rsidRPr="00595FE6">
        <w:rPr>
          <w:rFonts w:cs="Arial"/>
          <w:szCs w:val="24"/>
        </w:rPr>
        <w:t xml:space="preserve"> across key life stages: starting well, living well, ageing well and dying well.</w:t>
      </w:r>
      <w:r w:rsidR="00405E12" w:rsidRPr="00595FE6">
        <w:rPr>
          <w:rFonts w:cs="Arial"/>
          <w:szCs w:val="24"/>
        </w:rPr>
        <w:t xml:space="preserve"> </w:t>
      </w:r>
    </w:p>
    <w:p w14:paraId="6EDF4DDA" w14:textId="311C2E2C" w:rsidR="00224133" w:rsidRPr="00595FE6" w:rsidRDefault="00224133" w:rsidP="00B431B6">
      <w:pPr>
        <w:pStyle w:val="Heading4"/>
      </w:pPr>
      <w:r w:rsidRPr="00595FE6">
        <w:t>Integrated Community Teams</w:t>
      </w:r>
      <w:r w:rsidR="006837BB" w:rsidRPr="00595FE6">
        <w:rPr>
          <w:rStyle w:val="EndnoteReference"/>
          <w:rFonts w:cs="Arial"/>
        </w:rPr>
        <w:endnoteReference w:id="42"/>
      </w:r>
    </w:p>
    <w:p w14:paraId="2D34B793" w14:textId="4F810FAF" w:rsidR="008B3182" w:rsidRPr="00595FE6" w:rsidRDefault="00014C9C" w:rsidP="00D9246A">
      <w:pPr>
        <w:spacing w:line="240" w:lineRule="auto"/>
        <w:rPr>
          <w:rFonts w:cs="Arial"/>
          <w:szCs w:val="24"/>
        </w:rPr>
      </w:pPr>
      <w:r w:rsidRPr="00595FE6">
        <w:rPr>
          <w:rFonts w:cs="Arial"/>
          <w:szCs w:val="24"/>
        </w:rPr>
        <w:t>This initiative integrates health, social care and health-related ser</w:t>
      </w:r>
      <w:r w:rsidR="00342153" w:rsidRPr="00595FE6">
        <w:rPr>
          <w:rFonts w:cs="Arial"/>
          <w:szCs w:val="24"/>
        </w:rPr>
        <w:t>vices across local communities</w:t>
      </w:r>
      <w:r w:rsidR="00266C0E" w:rsidRPr="00595FE6">
        <w:rPr>
          <w:rFonts w:cs="Arial"/>
          <w:szCs w:val="24"/>
        </w:rPr>
        <w:t xml:space="preserve"> in Integrated Community Teams, formed </w:t>
      </w:r>
      <w:r w:rsidR="001254B9" w:rsidRPr="00595FE6">
        <w:rPr>
          <w:rFonts w:cs="Arial"/>
          <w:szCs w:val="24"/>
        </w:rPr>
        <w:t>to</w:t>
      </w:r>
      <w:r w:rsidR="00266C0E" w:rsidRPr="00595FE6">
        <w:rPr>
          <w:rFonts w:cs="Arial"/>
          <w:szCs w:val="24"/>
        </w:rPr>
        <w:t xml:space="preserve"> develop a core offer that meets the specific needs of </w:t>
      </w:r>
      <w:r w:rsidR="00CF2B51" w:rsidRPr="00595FE6">
        <w:rPr>
          <w:rFonts w:cs="Arial"/>
          <w:szCs w:val="24"/>
        </w:rPr>
        <w:t>the particular community</w:t>
      </w:r>
      <w:r w:rsidR="00266C0E" w:rsidRPr="00595FE6">
        <w:rPr>
          <w:rFonts w:cs="Arial"/>
          <w:szCs w:val="24"/>
        </w:rPr>
        <w:t>.</w:t>
      </w:r>
      <w:r w:rsidR="00CF2B51" w:rsidRPr="00595FE6">
        <w:rPr>
          <w:rFonts w:cs="Arial"/>
          <w:szCs w:val="24"/>
        </w:rPr>
        <w:t xml:space="preserve"> They have a specific </w:t>
      </w:r>
      <w:r w:rsidR="006837BB" w:rsidRPr="00595FE6">
        <w:rPr>
          <w:rFonts w:cs="Arial"/>
          <w:szCs w:val="24"/>
        </w:rPr>
        <w:t>focus</w:t>
      </w:r>
      <w:r w:rsidR="00CF2B51" w:rsidRPr="00595FE6">
        <w:rPr>
          <w:rFonts w:cs="Arial"/>
          <w:szCs w:val="24"/>
        </w:rPr>
        <w:t xml:space="preserve"> on addressing health inequalities,</w:t>
      </w:r>
      <w:r w:rsidR="00C92EAA" w:rsidRPr="00595FE6">
        <w:rPr>
          <w:rFonts w:cs="Arial"/>
          <w:szCs w:val="24"/>
        </w:rPr>
        <w:t xml:space="preserve"> taking preventative actions and working with local partners. In Brighton </w:t>
      </w:r>
      <w:r w:rsidR="00C92EAA" w:rsidRPr="00595FE6">
        <w:rPr>
          <w:rFonts w:cs="Arial"/>
          <w:szCs w:val="24"/>
        </w:rPr>
        <w:lastRenderedPageBreak/>
        <w:t xml:space="preserve">and Hove there is a focus on better supporting people with multiple compound needs and their </w:t>
      </w:r>
      <w:proofErr w:type="spellStart"/>
      <w:r w:rsidR="00C92EAA" w:rsidRPr="00595FE6">
        <w:rPr>
          <w:rFonts w:cs="Arial"/>
          <w:szCs w:val="24"/>
        </w:rPr>
        <w:t>carers</w:t>
      </w:r>
      <w:proofErr w:type="spellEnd"/>
      <w:r w:rsidR="0069496D" w:rsidRPr="00595FE6">
        <w:rPr>
          <w:rFonts w:cs="Arial"/>
          <w:szCs w:val="24"/>
        </w:rPr>
        <w:t>, who face significant health inequalities.</w:t>
      </w:r>
    </w:p>
    <w:p w14:paraId="019C341E" w14:textId="4C4FA0F2" w:rsidR="007C6FC5" w:rsidRPr="00595FE6" w:rsidRDefault="007C6FC5" w:rsidP="00B431B6">
      <w:pPr>
        <w:pStyle w:val="Heading4"/>
      </w:pPr>
      <w:r w:rsidRPr="00595FE6">
        <w:t>Additional local policies, strategies and reports</w:t>
      </w:r>
    </w:p>
    <w:p w14:paraId="60880C2F" w14:textId="77777777" w:rsidR="007C6FC5" w:rsidRPr="00595FE6" w:rsidRDefault="007C6FC5" w:rsidP="009858E3">
      <w:pPr>
        <w:pStyle w:val="ListParagraph"/>
        <w:numPr>
          <w:ilvl w:val="0"/>
          <w:numId w:val="35"/>
        </w:numPr>
        <w:spacing w:line="240" w:lineRule="auto"/>
        <w:rPr>
          <w:rFonts w:cs="Arial"/>
          <w:szCs w:val="24"/>
        </w:rPr>
      </w:pPr>
      <w:r w:rsidRPr="00595FE6">
        <w:rPr>
          <w:rFonts w:cs="Arial"/>
          <w:szCs w:val="24"/>
        </w:rPr>
        <w:t xml:space="preserve">Learning from </w:t>
      </w:r>
      <w:r w:rsidRPr="00562B5B">
        <w:rPr>
          <w:rFonts w:cs="Arial"/>
          <w:color w:val="000000" w:themeColor="text1"/>
          <w:szCs w:val="24"/>
        </w:rPr>
        <w:t>the</w:t>
      </w:r>
      <w:r w:rsidRPr="00595FE6">
        <w:rPr>
          <w:rFonts w:cs="Arial"/>
          <w:szCs w:val="24"/>
        </w:rPr>
        <w:t xml:space="preserve"> Lives and Deaths of People with a Learning Disability and Autistic </w:t>
      </w:r>
      <w:r w:rsidRPr="00B801D7">
        <w:rPr>
          <w:rFonts w:cs="Arial"/>
          <w:color w:val="000000" w:themeColor="text1"/>
          <w:szCs w:val="24"/>
        </w:rPr>
        <w:t>People</w:t>
      </w:r>
      <w:r w:rsidRPr="00595FE6">
        <w:rPr>
          <w:rFonts w:cs="Arial"/>
          <w:szCs w:val="24"/>
        </w:rPr>
        <w:t xml:space="preserve"> (</w:t>
      </w:r>
      <w:proofErr w:type="spellStart"/>
      <w:r w:rsidRPr="00595FE6">
        <w:rPr>
          <w:rFonts w:cs="Arial"/>
          <w:szCs w:val="24"/>
        </w:rPr>
        <w:t>LeDeR</w:t>
      </w:r>
      <w:proofErr w:type="spellEnd"/>
      <w:r w:rsidRPr="00595FE6">
        <w:rPr>
          <w:rFonts w:cs="Arial"/>
          <w:szCs w:val="24"/>
        </w:rPr>
        <w:t>) – NHS Sussex annual reports</w:t>
      </w:r>
      <w:r w:rsidRPr="00595FE6">
        <w:rPr>
          <w:rStyle w:val="EndnoteReference"/>
          <w:rFonts w:cs="Arial"/>
          <w:szCs w:val="24"/>
        </w:rPr>
        <w:endnoteReference w:id="43"/>
      </w:r>
    </w:p>
    <w:p w14:paraId="5E484423" w14:textId="3221F5B2" w:rsidR="007C6FC5" w:rsidRPr="00595FE6" w:rsidRDefault="007C6FC5" w:rsidP="009858E3">
      <w:pPr>
        <w:pStyle w:val="ListParagraph"/>
        <w:numPr>
          <w:ilvl w:val="0"/>
          <w:numId w:val="35"/>
        </w:numPr>
        <w:spacing w:line="240" w:lineRule="auto"/>
        <w:rPr>
          <w:rFonts w:cs="Arial"/>
          <w:szCs w:val="24"/>
        </w:rPr>
      </w:pPr>
      <w:r w:rsidRPr="00595FE6">
        <w:rPr>
          <w:rFonts w:cs="Arial"/>
          <w:szCs w:val="24"/>
        </w:rPr>
        <w:t xml:space="preserve">Brighton &amp; Hove SEND guide for </w:t>
      </w:r>
      <w:r w:rsidRPr="00B801D7">
        <w:rPr>
          <w:rFonts w:cs="Arial"/>
          <w:color w:val="000000" w:themeColor="text1"/>
          <w:szCs w:val="24"/>
        </w:rPr>
        <w:t>professionals</w:t>
      </w:r>
      <w:r w:rsidRPr="00595FE6">
        <w:rPr>
          <w:rStyle w:val="EndnoteReference"/>
          <w:rFonts w:cs="Arial"/>
          <w:szCs w:val="24"/>
        </w:rPr>
        <w:endnoteReference w:id="44"/>
      </w:r>
    </w:p>
    <w:p w14:paraId="30AE9B50" w14:textId="77777777" w:rsidR="007C6FC5" w:rsidRPr="00595FE6" w:rsidRDefault="007C6FC5" w:rsidP="009858E3">
      <w:pPr>
        <w:pStyle w:val="ListParagraph"/>
        <w:numPr>
          <w:ilvl w:val="0"/>
          <w:numId w:val="35"/>
        </w:numPr>
        <w:spacing w:line="240" w:lineRule="auto"/>
        <w:rPr>
          <w:rFonts w:cs="Arial"/>
          <w:szCs w:val="24"/>
        </w:rPr>
      </w:pPr>
      <w:r w:rsidRPr="00595FE6">
        <w:rPr>
          <w:rFonts w:cs="Arial"/>
          <w:szCs w:val="24"/>
        </w:rPr>
        <w:t>Health and Adult Social Care Delivery Strategy 2023-2027</w:t>
      </w:r>
      <w:r w:rsidRPr="00595FE6">
        <w:rPr>
          <w:rStyle w:val="EndnoteReference"/>
          <w:rFonts w:cs="Arial"/>
          <w:szCs w:val="24"/>
        </w:rPr>
        <w:endnoteReference w:id="45"/>
      </w:r>
    </w:p>
    <w:p w14:paraId="6EA7DD06" w14:textId="77777777" w:rsidR="007C6FC5" w:rsidRPr="00595FE6" w:rsidRDefault="007C6FC5" w:rsidP="009858E3">
      <w:pPr>
        <w:pStyle w:val="ListParagraph"/>
        <w:numPr>
          <w:ilvl w:val="0"/>
          <w:numId w:val="35"/>
        </w:numPr>
        <w:spacing w:line="240" w:lineRule="auto"/>
        <w:rPr>
          <w:rFonts w:cs="Arial"/>
          <w:szCs w:val="24"/>
        </w:rPr>
      </w:pPr>
      <w:r w:rsidRPr="00595FE6">
        <w:rPr>
          <w:rFonts w:cs="Arial"/>
          <w:szCs w:val="24"/>
        </w:rPr>
        <w:t>Brighton &amp; Hove’s Hidden Children Strategy</w:t>
      </w:r>
      <w:r w:rsidRPr="00595FE6">
        <w:rPr>
          <w:rStyle w:val="EndnoteReference"/>
          <w:rFonts w:cs="Arial"/>
          <w:szCs w:val="24"/>
        </w:rPr>
        <w:endnoteReference w:id="46"/>
      </w:r>
    </w:p>
    <w:p w14:paraId="00548A60" w14:textId="65D7E5A9" w:rsidR="00A144AB" w:rsidRDefault="007C6FC5" w:rsidP="009858E3">
      <w:pPr>
        <w:pStyle w:val="ListParagraph"/>
        <w:numPr>
          <w:ilvl w:val="0"/>
          <w:numId w:val="35"/>
        </w:numPr>
        <w:spacing w:line="240" w:lineRule="auto"/>
        <w:rPr>
          <w:rFonts w:cs="Arial"/>
          <w:szCs w:val="24"/>
        </w:rPr>
      </w:pPr>
      <w:r w:rsidRPr="00595FE6">
        <w:rPr>
          <w:rFonts w:cs="Arial"/>
          <w:szCs w:val="24"/>
        </w:rPr>
        <w:t xml:space="preserve">Brighton &amp; Hove City Council. </w:t>
      </w:r>
      <w:r w:rsidRPr="00B76A0D">
        <w:rPr>
          <w:rFonts w:cs="Arial"/>
          <w:szCs w:val="24"/>
        </w:rPr>
        <w:t>Our plan 2020</w:t>
      </w:r>
      <w:r w:rsidR="00DA3523">
        <w:rPr>
          <w:rFonts w:cs="Arial"/>
          <w:szCs w:val="24"/>
        </w:rPr>
        <w:t>-</w:t>
      </w:r>
      <w:r w:rsidRPr="00B76A0D">
        <w:rPr>
          <w:rFonts w:cs="Arial"/>
          <w:szCs w:val="24"/>
        </w:rPr>
        <w:t>2023: A fairer city, a sustainable future</w:t>
      </w:r>
      <w:r w:rsidR="0034469A" w:rsidRPr="00B76A0D">
        <w:rPr>
          <w:rFonts w:cs="Arial"/>
          <w:szCs w:val="24"/>
        </w:rPr>
        <w:t>.</w:t>
      </w:r>
      <w:r w:rsidRPr="00595FE6">
        <w:rPr>
          <w:rStyle w:val="EndnoteReference"/>
          <w:rFonts w:cs="Arial"/>
          <w:szCs w:val="24"/>
        </w:rPr>
        <w:endnoteReference w:id="47"/>
      </w:r>
    </w:p>
    <w:p w14:paraId="5D8491AF" w14:textId="773A0298" w:rsidR="00D517DB" w:rsidRPr="00595FE6" w:rsidRDefault="00D25704" w:rsidP="00D9246A">
      <w:pPr>
        <w:pStyle w:val="Heading1"/>
        <w:spacing w:before="0"/>
      </w:pPr>
      <w:bookmarkStart w:id="189" w:name="_Toc218690641"/>
      <w:r>
        <w:t>Programmes and s</w:t>
      </w:r>
      <w:r w:rsidR="00D517DB" w:rsidRPr="00595FE6">
        <w:t>ervice provision</w:t>
      </w:r>
      <w:bookmarkEnd w:id="189"/>
    </w:p>
    <w:p w14:paraId="41D5C74F" w14:textId="77777777" w:rsidR="00D517DB" w:rsidRPr="00F43393" w:rsidRDefault="00D517DB" w:rsidP="00D9246A">
      <w:pPr>
        <w:pStyle w:val="Heading2"/>
        <w:spacing w:before="0" w:after="120"/>
      </w:pPr>
      <w:r w:rsidRPr="00D610CF">
        <w:t>Introduction</w:t>
      </w:r>
    </w:p>
    <w:p w14:paraId="181AF00B" w14:textId="7E1F657B" w:rsidR="00D517DB" w:rsidRPr="00D610CF" w:rsidRDefault="00D517DB" w:rsidP="00D9246A">
      <w:pPr>
        <w:spacing w:line="240" w:lineRule="auto"/>
      </w:pPr>
      <w:r>
        <w:t xml:space="preserve">This section provides an overview of the current Special Educational Needs and Disabilities (SEND) </w:t>
      </w:r>
      <w:r w:rsidR="004E4D70">
        <w:t xml:space="preserve">programmes and </w:t>
      </w:r>
      <w:r w:rsidR="00050514">
        <w:t xml:space="preserve">service </w:t>
      </w:r>
      <w:r>
        <w:t>provision in Brighton &amp; Hove, bringing together a summary of the</w:t>
      </w:r>
      <w:r w:rsidR="007E222B">
        <w:t xml:space="preserve"> </w:t>
      </w:r>
      <w:r w:rsidR="00224A0B">
        <w:t xml:space="preserve">main </w:t>
      </w:r>
      <w:r w:rsidR="007E222B">
        <w:t>programmes,</w:t>
      </w:r>
      <w:r>
        <w:t xml:space="preserve"> assessment pathways and support services available across the city, detailing their specific service criteria, referral routes, and access requirements.</w:t>
      </w:r>
      <w:r w:rsidR="003A2306">
        <w:t xml:space="preserve"> </w:t>
      </w:r>
      <w:r>
        <w:t>A list of service</w:t>
      </w:r>
      <w:r w:rsidR="00E12C6E">
        <w:t>s</w:t>
      </w:r>
      <w:r>
        <w:t xml:space="preserve"> and link</w:t>
      </w:r>
      <w:r w:rsidR="00E12C6E">
        <w:t>s</w:t>
      </w:r>
      <w:r>
        <w:t xml:space="preserve"> to further information is provided in Appendix </w:t>
      </w:r>
      <w:r w:rsidR="003F61BB">
        <w:t>3</w:t>
      </w:r>
      <w:r w:rsidR="002F2D79">
        <w:t xml:space="preserve">: </w:t>
      </w:r>
      <w:r w:rsidR="00E81983">
        <w:t>Links to local service provision</w:t>
      </w:r>
      <w:r>
        <w:t>.</w:t>
      </w:r>
    </w:p>
    <w:p w14:paraId="61B7B64D" w14:textId="3CDD66D1" w:rsidR="007E222B" w:rsidRPr="00793BA9" w:rsidRDefault="007E222B" w:rsidP="00674E44">
      <w:pPr>
        <w:pStyle w:val="Heading2"/>
        <w:spacing w:before="0" w:after="0"/>
        <w:ind w:left="425"/>
      </w:pPr>
      <w:r w:rsidRPr="004A5148">
        <w:t>Alternative Provision</w:t>
      </w:r>
    </w:p>
    <w:p w14:paraId="646E76B9" w14:textId="6831900B" w:rsidR="001D4F5E" w:rsidRDefault="007E222B" w:rsidP="00D9246A">
      <w:pPr>
        <w:spacing w:line="240" w:lineRule="auto"/>
      </w:pPr>
      <w:r w:rsidRPr="004A5148">
        <w:t>The Change Programme involves 32 local areas (</w:t>
      </w:r>
      <w:r w:rsidR="006C1F53">
        <w:t>including</w:t>
      </w:r>
      <w:r w:rsidRPr="004A5148">
        <w:t xml:space="preserve"> Brighton &amp; Hove) undertaking a ‘test and learn’ approach to changes across their local system, collaborating in Change Programme Partnerships (CPPs) in each of the </w:t>
      </w:r>
      <w:r w:rsidR="008418EB">
        <w:t>nine</w:t>
      </w:r>
      <w:r w:rsidRPr="004A5148">
        <w:t xml:space="preserve"> regions of England. Originally set up to test reforms set out in the </w:t>
      </w:r>
      <w:hyperlink r:id="rId44" w:tgtFrame="_blank" w:history="1">
        <w:r w:rsidRPr="004A5148">
          <w:rPr>
            <w:rStyle w:val="Hyperlink"/>
            <w:rFonts w:cstheme="minorBidi"/>
          </w:rPr>
          <w:t>SEND and Alternative Provision Improvement Plan</w:t>
        </w:r>
      </w:hyperlink>
      <w:r w:rsidRPr="004A5148">
        <w:t xml:space="preserve">, the Change Programme is </w:t>
      </w:r>
      <w:r w:rsidR="00C3176C">
        <w:t xml:space="preserve">now </w:t>
      </w:r>
      <w:r w:rsidRPr="004A5148">
        <w:t>working with local areas to test a range of programmes collectively to strengthen the inclusion support offered to mainstream settings.</w:t>
      </w:r>
    </w:p>
    <w:p w14:paraId="3A804A41" w14:textId="42A71C3D" w:rsidR="007E222B" w:rsidRPr="004A5148" w:rsidRDefault="007E222B" w:rsidP="00D9246A">
      <w:pPr>
        <w:spacing w:line="240" w:lineRule="auto"/>
      </w:pPr>
      <w:r w:rsidRPr="004A5148">
        <w:t xml:space="preserve">Building on earlier phases, the programme now covers continued work on the use of Alternative Provision through a 3-tier model of interventions and extending the Early Language Support for Every Child pathfinders that are enabling earlier identification and intervention for speech, language and communication needs. In the extension, the Change Programme has strengthened links with two other existing initiatives from the DfE: Alternative Provision Specialist Taskforces (APST) and the Programme for Inclusion of Neurodiversity in Schools (PINS) so that more areas can test these models. </w:t>
      </w:r>
    </w:p>
    <w:p w14:paraId="66AD7E9F" w14:textId="4FB02763" w:rsidR="007E222B" w:rsidRPr="004A5148" w:rsidRDefault="007E222B" w:rsidP="00D9246A">
      <w:pPr>
        <w:spacing w:line="240" w:lineRule="auto"/>
      </w:pPr>
      <w:r w:rsidRPr="004A5148">
        <w:t>Change Programme areas also have the opportunity to test Assistive Technology ‘lending libraries’ that give schools the ability to test the effectiveness of these tools for their students so that they can make best use of funds to meet need.</w:t>
      </w:r>
    </w:p>
    <w:p w14:paraId="6E44AB1D" w14:textId="456A63E8" w:rsidR="00C3176C" w:rsidRDefault="007E222B" w:rsidP="00D9246A">
      <w:pPr>
        <w:spacing w:line="240" w:lineRule="auto"/>
      </w:pPr>
      <w:r w:rsidRPr="004A5148">
        <w:t xml:space="preserve">The </w:t>
      </w:r>
      <w:r w:rsidR="00C3176C">
        <w:t>p</w:t>
      </w:r>
      <w:r w:rsidRPr="004A5148">
        <w:t>rogramme involves working collaboratively with local areas and alongside partners from health, education and social care, as well as parent carers, children and young people, recognising that the</w:t>
      </w:r>
      <w:r w:rsidR="00D400CF">
        <w:t>ir</w:t>
      </w:r>
      <w:r w:rsidRPr="004A5148">
        <w:t xml:space="preserve"> insights and expertise are key to creating any new system. </w:t>
      </w:r>
    </w:p>
    <w:p w14:paraId="213A1769" w14:textId="2A3777F5" w:rsidR="007E222B" w:rsidRPr="004A5148" w:rsidRDefault="007E222B" w:rsidP="00D9246A">
      <w:pPr>
        <w:spacing w:line="240" w:lineRule="auto"/>
        <w:rPr>
          <w:b/>
          <w:bCs/>
        </w:rPr>
      </w:pPr>
      <w:r w:rsidRPr="004A5148">
        <w:t>The Change Programme also works in parallel with other DfE programmes and wider work that is happening in the SEND sector, such as the Family Help reforms and Ofsted’s curriculum and assessment review, acknowledging the significant potential that these changes and initiatives have to be complementary.</w:t>
      </w:r>
      <w:r w:rsidR="002E18EA">
        <w:t xml:space="preserve"> </w:t>
      </w:r>
      <w:r w:rsidRPr="004A5148">
        <w:t>It’s anticipated that learning from the Change Programme work will directly impact on government decisions made in relation to any future national reform of SEND.</w:t>
      </w:r>
    </w:p>
    <w:p w14:paraId="799CF263" w14:textId="0F006985" w:rsidR="007E222B" w:rsidRPr="00595FE6" w:rsidRDefault="00F109A4" w:rsidP="00674E44">
      <w:pPr>
        <w:pStyle w:val="Heading2"/>
        <w:spacing w:before="0" w:after="0"/>
        <w:ind w:left="425"/>
      </w:pPr>
      <w:r>
        <w:lastRenderedPageBreak/>
        <w:t xml:space="preserve">Best Start </w:t>
      </w:r>
      <w:r w:rsidR="007E222B">
        <w:t>Family Hubs</w:t>
      </w:r>
    </w:p>
    <w:p w14:paraId="22C401E9" w14:textId="2AC6F66F" w:rsidR="007E222B" w:rsidRPr="003E2750" w:rsidRDefault="007E222B" w:rsidP="00D9246A">
      <w:pPr>
        <w:spacing w:line="240" w:lineRule="auto"/>
      </w:pPr>
      <w:hyperlink r:id="rId45" w:history="1">
        <w:r w:rsidRPr="000506F1">
          <w:rPr>
            <w:rStyle w:val="Hyperlink"/>
            <w:rFonts w:cstheme="minorBidi"/>
          </w:rPr>
          <w:t>Family Hubs</w:t>
        </w:r>
      </w:hyperlink>
      <w:r w:rsidRPr="003E2750">
        <w:t xml:space="preserve"> offer support for all families from conception to aged 19 and up to 25 years for those with SEND.</w:t>
      </w:r>
      <w:r>
        <w:t xml:space="preserve"> </w:t>
      </w:r>
      <w:r w:rsidRPr="003E2750">
        <w:t>All families with children with SEND or on the pathway for assessment can access support through their midwife, health visitor, school or school nurse or through another professional</w:t>
      </w:r>
      <w:r w:rsidR="00C92C31">
        <w:t>, or</w:t>
      </w:r>
      <w:r w:rsidRPr="003E2750">
        <w:t xml:space="preserve"> can self-refer.</w:t>
      </w:r>
      <w:r w:rsidR="00B36BDA">
        <w:t xml:space="preserve"> </w:t>
      </w:r>
      <w:r w:rsidRPr="003E2750">
        <w:t>There are four tiers of support offered:</w:t>
      </w:r>
    </w:p>
    <w:p w14:paraId="5489FFEA" w14:textId="7304B934" w:rsidR="007E222B" w:rsidRPr="003E2750" w:rsidRDefault="007E222B" w:rsidP="009858E3">
      <w:pPr>
        <w:pStyle w:val="ListParagraph"/>
        <w:numPr>
          <w:ilvl w:val="0"/>
          <w:numId w:val="35"/>
        </w:numPr>
        <w:spacing w:line="240" w:lineRule="auto"/>
      </w:pPr>
      <w:r w:rsidRPr="003E2750">
        <w:t>Open access and invitation only groups and events to reduce isolation and provide peer and professional support</w:t>
      </w:r>
    </w:p>
    <w:p w14:paraId="4D2B9DA8" w14:textId="77777777" w:rsidR="007E222B" w:rsidRPr="003E2750" w:rsidRDefault="007E222B" w:rsidP="009858E3">
      <w:pPr>
        <w:pStyle w:val="ListParagraph"/>
        <w:numPr>
          <w:ilvl w:val="0"/>
          <w:numId w:val="35"/>
        </w:numPr>
        <w:spacing w:line="240" w:lineRule="auto"/>
      </w:pPr>
      <w:r w:rsidRPr="003E2750">
        <w:t>Groups and courses specifically to support parents and carers with children with SEND</w:t>
      </w:r>
    </w:p>
    <w:p w14:paraId="1D4C1438" w14:textId="77777777" w:rsidR="007E222B" w:rsidRPr="003E2750" w:rsidRDefault="007E222B" w:rsidP="009858E3">
      <w:pPr>
        <w:pStyle w:val="ListParagraph"/>
        <w:numPr>
          <w:ilvl w:val="0"/>
          <w:numId w:val="35"/>
        </w:numPr>
        <w:spacing w:line="240" w:lineRule="auto"/>
      </w:pPr>
      <w:r w:rsidRPr="003E2750">
        <w:t>Short term support from a support worker to help with home learning, parenting, poverty, adult and child mental health and parental conflict</w:t>
      </w:r>
    </w:p>
    <w:p w14:paraId="2C99A3A0" w14:textId="2FB72804" w:rsidR="007E222B" w:rsidRPr="00776566" w:rsidRDefault="007E222B" w:rsidP="009858E3">
      <w:pPr>
        <w:pStyle w:val="ListParagraph"/>
        <w:numPr>
          <w:ilvl w:val="0"/>
          <w:numId w:val="35"/>
        </w:numPr>
        <w:spacing w:line="240" w:lineRule="auto"/>
      </w:pPr>
      <w:r w:rsidRPr="003E2750">
        <w:t>Targeted early help providing whole family support for up to 9 months to help with all aspects of family life</w:t>
      </w:r>
      <w:r w:rsidR="00562B5B">
        <w:t>.</w:t>
      </w:r>
    </w:p>
    <w:p w14:paraId="5C77A053" w14:textId="77777777" w:rsidR="00D517DB" w:rsidRDefault="00D517DB" w:rsidP="00674E44">
      <w:pPr>
        <w:pStyle w:val="Heading2"/>
        <w:spacing w:before="0" w:after="0"/>
        <w:ind w:left="425"/>
      </w:pPr>
      <w:r>
        <w:t>Assessment services</w:t>
      </w:r>
    </w:p>
    <w:p w14:paraId="0058FA89" w14:textId="75450B8D" w:rsidR="00D517DB" w:rsidRPr="00FD4E8B" w:rsidRDefault="00D517DB" w:rsidP="00D9246A">
      <w:pPr>
        <w:spacing w:line="240" w:lineRule="auto"/>
        <w:rPr>
          <w:rStyle w:val="Hyperlink"/>
          <w:rFonts w:cstheme="minorBidi"/>
          <w:b/>
          <w:color w:val="0079C2"/>
          <w:u w:val="none"/>
        </w:rPr>
      </w:pPr>
      <w:r w:rsidRPr="004D3B9A">
        <w:rPr>
          <w:b/>
          <w:color w:val="0079C2"/>
        </w:rPr>
        <w:t>Sussex Partnership Foundation Trust (SPFT)</w:t>
      </w:r>
      <w:r w:rsidR="00FD4E8B">
        <w:rPr>
          <w:b/>
          <w:color w:val="0079C2"/>
        </w:rPr>
        <w:t xml:space="preserve">: </w:t>
      </w:r>
      <w:r w:rsidR="002E18EA">
        <w:rPr>
          <w:rStyle w:val="Hyperlink"/>
          <w:rFonts w:cstheme="minorBidi"/>
          <w:color w:val="auto"/>
          <w:u w:val="none"/>
        </w:rPr>
        <w:t>Provides</w:t>
      </w:r>
      <w:r w:rsidRPr="00C25233">
        <w:rPr>
          <w:rStyle w:val="Hyperlink"/>
          <w:rFonts w:cstheme="minorBidi"/>
          <w:color w:val="auto"/>
          <w:u w:val="none"/>
        </w:rPr>
        <w:t xml:space="preserve"> </w:t>
      </w:r>
      <w:r w:rsidR="002E18EA">
        <w:rPr>
          <w:rStyle w:val="Hyperlink"/>
          <w:rFonts w:cstheme="minorBidi"/>
          <w:color w:val="auto"/>
          <w:u w:val="none"/>
        </w:rPr>
        <w:t>a</w:t>
      </w:r>
      <w:r w:rsidRPr="00C25233">
        <w:rPr>
          <w:rStyle w:val="Hyperlink"/>
          <w:rFonts w:cstheme="minorBidi"/>
          <w:color w:val="auto"/>
          <w:u w:val="none"/>
        </w:rPr>
        <w:t xml:space="preserve"> range of specialist assessment, mental health, and neurodevelopmental services across Brighton &amp; Hove</w:t>
      </w:r>
      <w:r w:rsidR="009E5C2F">
        <w:rPr>
          <w:rStyle w:val="Hyperlink"/>
          <w:rFonts w:cstheme="minorBidi"/>
          <w:color w:val="auto"/>
          <w:u w:val="none"/>
        </w:rPr>
        <w:t>:</w:t>
      </w:r>
    </w:p>
    <w:p w14:paraId="709000F4" w14:textId="01E89786" w:rsidR="00D517DB" w:rsidRPr="009E5C2F" w:rsidRDefault="00D517DB" w:rsidP="009858E3">
      <w:pPr>
        <w:pStyle w:val="ListParagraph"/>
        <w:numPr>
          <w:ilvl w:val="0"/>
          <w:numId w:val="35"/>
        </w:numPr>
        <w:spacing w:line="240" w:lineRule="auto"/>
      </w:pPr>
      <w:r w:rsidRPr="00C25233">
        <w:rPr>
          <w:rStyle w:val="Hyperlink"/>
          <w:rFonts w:cstheme="minorBidi"/>
          <w:color w:val="auto"/>
          <w:u w:val="none"/>
        </w:rPr>
        <w:t xml:space="preserve">Autism </w:t>
      </w:r>
      <w:r w:rsidRPr="009E5C2F">
        <w:t xml:space="preserve">assessments for </w:t>
      </w:r>
      <w:r w:rsidR="009E5C2F">
        <w:t>children and young people aged</w:t>
      </w:r>
      <w:r w:rsidRPr="009E5C2F">
        <w:t xml:space="preserve"> 11–18 and ADHD assessments 6–18 </w:t>
      </w:r>
      <w:r w:rsidR="009E5C2F">
        <w:t>years</w:t>
      </w:r>
      <w:r>
        <w:t xml:space="preserve"> </w:t>
      </w:r>
      <w:r w:rsidRPr="009E5C2F">
        <w:t>are delivered by the Child and Adolescent Mental Health Service (CAMHS) Neurodevelopmental Service, with 18+ assessments provided through the Adult Neurodevelopmental Service</w:t>
      </w:r>
    </w:p>
    <w:p w14:paraId="5F8190C5" w14:textId="1FF9278F" w:rsidR="00D517DB" w:rsidRPr="009E5C2F" w:rsidRDefault="00D517DB" w:rsidP="009858E3">
      <w:pPr>
        <w:pStyle w:val="ListParagraph"/>
        <w:numPr>
          <w:ilvl w:val="0"/>
          <w:numId w:val="35"/>
        </w:numPr>
        <w:spacing w:line="240" w:lineRule="auto"/>
      </w:pPr>
      <w:r w:rsidRPr="009E5C2F">
        <w:t>CAMHS offers mental health assessment, therapeutic intervention, and ongoing support</w:t>
      </w:r>
      <w:r w:rsidR="00220F1A">
        <w:t xml:space="preserve">, </w:t>
      </w:r>
      <w:r w:rsidR="006366ED">
        <w:t>plus</w:t>
      </w:r>
      <w:r>
        <w:t xml:space="preserve"> </w:t>
      </w:r>
      <w:r w:rsidRPr="009E5C2F">
        <w:t xml:space="preserve">ADHD medication management </w:t>
      </w:r>
      <w:r w:rsidR="006366ED">
        <w:t>&amp;</w:t>
      </w:r>
      <w:r w:rsidRPr="009E5C2F">
        <w:t xml:space="preserve"> psychoeducation through Neurodevelopmental pathways. Digital resources, including waiting-list support, webinars, and post-assessment information are available </w:t>
      </w:r>
      <w:r w:rsidR="002E18EA">
        <w:t>on</w:t>
      </w:r>
      <w:r w:rsidRPr="009E5C2F">
        <w:t xml:space="preserve"> the </w:t>
      </w:r>
      <w:hyperlink r:id="rId46" w:history="1">
        <w:r w:rsidRPr="006366ED">
          <w:rPr>
            <w:rStyle w:val="Hyperlink"/>
            <w:rFonts w:cstheme="minorBidi"/>
          </w:rPr>
          <w:t>CAMHS website</w:t>
        </w:r>
      </w:hyperlink>
      <w:r w:rsidRPr="009E5C2F">
        <w:t xml:space="preserve"> </w:t>
      </w:r>
    </w:p>
    <w:p w14:paraId="4F9051A9" w14:textId="77777777" w:rsidR="00635637" w:rsidRDefault="00D517DB" w:rsidP="009858E3">
      <w:pPr>
        <w:pStyle w:val="ListParagraph"/>
        <w:numPr>
          <w:ilvl w:val="0"/>
          <w:numId w:val="35"/>
        </w:numPr>
        <w:spacing w:line="240" w:lineRule="auto"/>
        <w:rPr>
          <w:rStyle w:val="Hyperlink"/>
          <w:rFonts w:cstheme="minorBidi"/>
          <w:color w:val="auto"/>
          <w:u w:val="none"/>
        </w:rPr>
      </w:pPr>
      <w:r w:rsidRPr="009E5C2F">
        <w:t xml:space="preserve">More specialist services include </w:t>
      </w:r>
      <w:r w:rsidRPr="00A824F5">
        <w:t>Learning Disability Child and Adolescent Mental Health Services</w:t>
      </w:r>
      <w:r>
        <w:t xml:space="preserve"> (</w:t>
      </w:r>
      <w:r w:rsidRPr="009E5C2F">
        <w:t xml:space="preserve">LD CAMHS) for children with learning disabilities, Tier 4 inpatient care at </w:t>
      </w:r>
      <w:proofErr w:type="spellStart"/>
      <w:r w:rsidRPr="009E5C2F">
        <w:t>Ch</w:t>
      </w:r>
      <w:r w:rsidRPr="00380047">
        <w:rPr>
          <w:rStyle w:val="Hyperlink"/>
          <w:rFonts w:cstheme="minorBidi"/>
          <w:color w:val="auto"/>
          <w:u w:val="none"/>
        </w:rPr>
        <w:t>alkhill</w:t>
      </w:r>
      <w:proofErr w:type="spellEnd"/>
      <w:r w:rsidRPr="00380047">
        <w:rPr>
          <w:rStyle w:val="Hyperlink"/>
          <w:rFonts w:cstheme="minorBidi"/>
          <w:color w:val="auto"/>
          <w:u w:val="none"/>
        </w:rPr>
        <w:t xml:space="preserve"> Hospital, and the Sussex Family Eating Disorder Service (SFEDS</w:t>
      </w:r>
      <w:r w:rsidRPr="009E5C2F">
        <w:rPr>
          <w:rStyle w:val="Hyperlink"/>
          <w:rFonts w:cstheme="minorBidi"/>
          <w:color w:val="auto"/>
          <w:u w:val="none"/>
        </w:rPr>
        <w:t>)</w:t>
      </w:r>
    </w:p>
    <w:p w14:paraId="089BAEA9" w14:textId="74D92392" w:rsidR="00D517DB" w:rsidRDefault="00D517DB" w:rsidP="009858E3">
      <w:pPr>
        <w:pStyle w:val="ListParagraph"/>
        <w:numPr>
          <w:ilvl w:val="0"/>
          <w:numId w:val="35"/>
        </w:numPr>
        <w:spacing w:line="240" w:lineRule="auto"/>
        <w:rPr>
          <w:rStyle w:val="Hyperlink"/>
          <w:rFonts w:cstheme="minorBidi"/>
          <w:color w:val="auto"/>
          <w:u w:val="none"/>
        </w:rPr>
      </w:pPr>
      <w:r w:rsidRPr="00380047">
        <w:rPr>
          <w:rStyle w:val="Hyperlink"/>
          <w:rFonts w:cstheme="minorBidi"/>
          <w:color w:val="auto"/>
          <w:u w:val="none"/>
        </w:rPr>
        <w:t>Brighton &amp; Hove Wellbeing Service provides accessible mental</w:t>
      </w:r>
      <w:r>
        <w:rPr>
          <w:rStyle w:val="Hyperlink"/>
          <w:rFonts w:cstheme="minorBidi"/>
          <w:color w:val="auto"/>
          <w:u w:val="none"/>
        </w:rPr>
        <w:t xml:space="preserve"> </w:t>
      </w:r>
      <w:r w:rsidRPr="00380047">
        <w:rPr>
          <w:rStyle w:val="Hyperlink"/>
          <w:rFonts w:cstheme="minorBidi"/>
          <w:color w:val="auto"/>
          <w:u w:val="none"/>
        </w:rPr>
        <w:t>health support for children, young people, and families as part of the wider local offer.</w:t>
      </w:r>
    </w:p>
    <w:p w14:paraId="57883BBF" w14:textId="43BE8531" w:rsidR="00D517DB" w:rsidRPr="004D3B9A" w:rsidRDefault="00D517DB" w:rsidP="008869EA">
      <w:pPr>
        <w:spacing w:after="0" w:line="240" w:lineRule="auto"/>
        <w:rPr>
          <w:rStyle w:val="Hyperlink"/>
          <w:rFonts w:cstheme="minorBidi"/>
          <w:color w:val="0079C2"/>
          <w:u w:val="none"/>
        </w:rPr>
      </w:pPr>
      <w:r w:rsidRPr="004D3B9A">
        <w:rPr>
          <w:b/>
          <w:color w:val="0079C2"/>
        </w:rPr>
        <w:t>Sussex Community NHS Foundation Trust</w:t>
      </w:r>
      <w:r>
        <w:rPr>
          <w:b/>
          <w:color w:val="0079C2"/>
        </w:rPr>
        <w:t xml:space="preserve"> </w:t>
      </w:r>
      <w:r w:rsidR="00FD4E8B">
        <w:rPr>
          <w:b/>
          <w:bCs/>
          <w:color w:val="0079C2"/>
        </w:rPr>
        <w:t xml:space="preserve">(SCFT): </w:t>
      </w:r>
    </w:p>
    <w:p w14:paraId="2068EAA0" w14:textId="3734C6C2" w:rsidR="00D517DB" w:rsidRPr="000506F1" w:rsidRDefault="00D517DB" w:rsidP="009858E3">
      <w:pPr>
        <w:pStyle w:val="ListParagraph"/>
        <w:numPr>
          <w:ilvl w:val="0"/>
          <w:numId w:val="35"/>
        </w:numPr>
        <w:spacing w:line="240" w:lineRule="auto"/>
      </w:pPr>
      <w:r w:rsidRPr="000506F1">
        <w:t>Seaside View Child Development Centre (CDC) completes developmental assessments for ages 0–18 and autism assessments for ages 0–11, alongside a structured post-diagnostic offer that includes group-based interventions such as play skills groups</w:t>
      </w:r>
    </w:p>
    <w:p w14:paraId="52208A28" w14:textId="5F1CF076" w:rsidR="000506F1" w:rsidRPr="000506F1" w:rsidRDefault="00D517DB" w:rsidP="009858E3">
      <w:pPr>
        <w:pStyle w:val="ListParagraph"/>
        <w:numPr>
          <w:ilvl w:val="0"/>
          <w:numId w:val="35"/>
        </w:numPr>
        <w:spacing w:line="240" w:lineRule="auto"/>
      </w:pPr>
      <w:r w:rsidRPr="000506F1">
        <w:t>Universal health services form a core part of the local SEND system, with Health Visiting and School Nursing providing early identification, monitoring, and family support</w:t>
      </w:r>
    </w:p>
    <w:p w14:paraId="73FDC69A" w14:textId="759EBB92" w:rsidR="00D517DB" w:rsidRPr="000506F1" w:rsidRDefault="00D517DB" w:rsidP="009858E3">
      <w:pPr>
        <w:pStyle w:val="ListParagraph"/>
        <w:numPr>
          <w:ilvl w:val="0"/>
          <w:numId w:val="35"/>
        </w:numPr>
        <w:spacing w:line="240" w:lineRule="auto"/>
      </w:pPr>
      <w:r w:rsidRPr="000506F1">
        <w:t>A broad therapy offer is available across the city, including Children’s Speech and Language Therapy (SALT), Occupational Therapy (OT), Physiotherapy, and adult Talking Therapies for those aged 18+</w:t>
      </w:r>
    </w:p>
    <w:p w14:paraId="69B8F0E9" w14:textId="4CD3CD16" w:rsidR="00D517DB" w:rsidRPr="000506F1" w:rsidRDefault="00D517DB" w:rsidP="009858E3">
      <w:pPr>
        <w:pStyle w:val="ListParagraph"/>
        <w:numPr>
          <w:ilvl w:val="0"/>
          <w:numId w:val="35"/>
        </w:numPr>
        <w:spacing w:line="240" w:lineRule="auto"/>
      </w:pPr>
      <w:r w:rsidRPr="000506F1">
        <w:t xml:space="preserve">A range of specialist health services further supports children and young people with complex needs, such as Chailey Clinical Services, the Continence Team, Audiology, the Learning Disabilities Liaison and Facilitation service, the Wheelchair and Specialist Seating Service, and Children and Young People’s Community Nursing. </w:t>
      </w:r>
    </w:p>
    <w:p w14:paraId="76FF1B4B" w14:textId="3E95CDB7" w:rsidR="00D517DB" w:rsidRDefault="00D517DB" w:rsidP="00D9246A">
      <w:pPr>
        <w:spacing w:line="240" w:lineRule="auto"/>
        <w:rPr>
          <w:rStyle w:val="Hyperlink"/>
          <w:rFonts w:cstheme="minorBidi"/>
          <w:color w:val="auto"/>
          <w:u w:val="none"/>
        </w:rPr>
      </w:pPr>
      <w:r w:rsidRPr="00FD5992">
        <w:rPr>
          <w:rStyle w:val="Hyperlink"/>
          <w:rFonts w:cstheme="minorBidi"/>
          <w:color w:val="auto"/>
          <w:u w:val="none"/>
        </w:rPr>
        <w:t>Together, these services form an integrated health pathway that underpins early intervention, ongoing support, and multidisciplinary care across Brighton &amp; Hove.</w:t>
      </w:r>
    </w:p>
    <w:p w14:paraId="33C707BB" w14:textId="0A9F52D0" w:rsidR="00D517DB" w:rsidRPr="004D3B9A" w:rsidRDefault="00D517DB" w:rsidP="008869EA">
      <w:pPr>
        <w:spacing w:after="0" w:line="240" w:lineRule="auto"/>
        <w:rPr>
          <w:b/>
          <w:color w:val="0079C2"/>
        </w:rPr>
      </w:pPr>
      <w:r w:rsidRPr="004D3B9A">
        <w:rPr>
          <w:b/>
          <w:color w:val="0079C2"/>
        </w:rPr>
        <w:t>NHS Sussex I</w:t>
      </w:r>
      <w:r w:rsidR="00B36BDA" w:rsidRPr="004D3B9A">
        <w:rPr>
          <w:b/>
          <w:color w:val="0079C2"/>
        </w:rPr>
        <w:t>ntegrated Commissioning Board (I</w:t>
      </w:r>
      <w:r w:rsidRPr="004D3B9A">
        <w:rPr>
          <w:b/>
          <w:color w:val="0079C2"/>
        </w:rPr>
        <w:t>CB</w:t>
      </w:r>
      <w:r w:rsidR="00B36BDA" w:rsidRPr="004D3B9A">
        <w:rPr>
          <w:b/>
          <w:color w:val="0079C2"/>
        </w:rPr>
        <w:t>)</w:t>
      </w:r>
    </w:p>
    <w:p w14:paraId="36542039" w14:textId="608898AF" w:rsidR="006A5923" w:rsidRDefault="006A5923" w:rsidP="00D9246A">
      <w:pPr>
        <w:spacing w:line="240" w:lineRule="auto"/>
      </w:pPr>
      <w:r>
        <w:t>W</w:t>
      </w:r>
      <w:r w:rsidRPr="5894A698">
        <w:t xml:space="preserve">ithin the wider commissioning landscape, NHS Sussex ICB plays a central role in overseeing and coordinating specialist health provision for children and young people with SEND across Brighton &amp; Hove. This includes the Children and Young People’s Continuing </w:t>
      </w:r>
      <w:r w:rsidRPr="5894A698">
        <w:lastRenderedPageBreak/>
        <w:t xml:space="preserve">Care Service, which assesses and arranges bespoke packages of care for those with significant, complex, or rapidly changing health needs that cannot be met through universal </w:t>
      </w:r>
      <w:r w:rsidR="008869EA">
        <w:rPr>
          <w:noProof/>
        </w:rPr>
        <mc:AlternateContent>
          <mc:Choice Requires="wpg">
            <w:drawing>
              <wp:anchor distT="45720" distB="45720" distL="182880" distR="182880" simplePos="0" relativeHeight="251658241" behindDoc="0" locked="0" layoutInCell="1" allowOverlap="1" wp14:anchorId="37D21BB1" wp14:editId="1EBCD025">
                <wp:simplePos x="0" y="0"/>
                <wp:positionH relativeFrom="margin">
                  <wp:posOffset>9525</wp:posOffset>
                </wp:positionH>
                <wp:positionV relativeFrom="margin">
                  <wp:posOffset>628650</wp:posOffset>
                </wp:positionV>
                <wp:extent cx="6343650" cy="4518025"/>
                <wp:effectExtent l="19050" t="19050" r="19050" b="15875"/>
                <wp:wrapTopAndBottom/>
                <wp:docPr id="198" name="Group 64"/>
                <wp:cNvGraphicFramePr/>
                <a:graphic xmlns:a="http://schemas.openxmlformats.org/drawingml/2006/main">
                  <a:graphicData uri="http://schemas.microsoft.com/office/word/2010/wordprocessingGroup">
                    <wpg:wgp>
                      <wpg:cNvGrpSpPr/>
                      <wpg:grpSpPr>
                        <a:xfrm>
                          <a:off x="0" y="0"/>
                          <a:ext cx="6343650" cy="4518025"/>
                          <a:chOff x="-41209" y="383452"/>
                          <a:chExt cx="3920660" cy="5107656"/>
                        </a:xfrm>
                      </wpg:grpSpPr>
                      <wps:wsp>
                        <wps:cNvPr id="199" name="Rectangle 199"/>
                        <wps:cNvSpPr/>
                        <wps:spPr>
                          <a:xfrm>
                            <a:off x="-41209" y="383452"/>
                            <a:ext cx="3920660" cy="342987"/>
                          </a:xfrm>
                          <a:prstGeom prst="rect">
                            <a:avLst/>
                          </a:prstGeom>
                          <a:solidFill>
                            <a:srgbClr val="A65588"/>
                          </a:solidFill>
                          <a:ln w="28575">
                            <a:solidFill>
                              <a:srgbClr val="A6558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30A6C6" w14:textId="77777777" w:rsidR="00D517DB" w:rsidRPr="00FD4E8B" w:rsidRDefault="00D517DB" w:rsidP="005D3FA2">
                              <w:pPr>
                                <w:ind w:left="-113"/>
                                <w:rPr>
                                  <w:b/>
                                  <w:bCs/>
                                  <w:color w:val="A65588"/>
                                </w:rPr>
                              </w:pPr>
                              <w:r w:rsidRPr="009B7FAF">
                                <w:rPr>
                                  <w:b/>
                                  <w:bCs/>
                                </w:rPr>
                                <w:t xml:space="preserve">Patient journey example  </w:t>
                              </w:r>
                            </w:p>
                            <w:p w14:paraId="637AAB02" w14:textId="77777777" w:rsidR="00D517DB" w:rsidRDefault="00D517DB" w:rsidP="005D3FA2">
                              <w:pPr>
                                <w:jc w:val="center"/>
                                <w:rPr>
                                  <w:rFonts w:asciiTheme="majorHAnsi" w:eastAsiaTheme="majorEastAsia" w:hAnsiTheme="majorHAnsi" w:cstheme="majorBidi"/>
                                  <w:color w:val="FFFFFF" w:themeColor="background1"/>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41209" y="726401"/>
                            <a:ext cx="3920660" cy="4764707"/>
                          </a:xfrm>
                          <a:prstGeom prst="rect">
                            <a:avLst/>
                          </a:prstGeom>
                          <a:noFill/>
                          <a:ln w="28575">
                            <a:solidFill>
                              <a:srgbClr val="A65588"/>
                            </a:solidFill>
                          </a:ln>
                          <a:effectLst/>
                        </wps:spPr>
                        <wps:style>
                          <a:lnRef idx="0">
                            <a:schemeClr val="accent1"/>
                          </a:lnRef>
                          <a:fillRef idx="0">
                            <a:schemeClr val="accent1"/>
                          </a:fillRef>
                          <a:effectRef idx="0">
                            <a:schemeClr val="accent1"/>
                          </a:effectRef>
                          <a:fontRef idx="minor">
                            <a:schemeClr val="dk1"/>
                          </a:fontRef>
                        </wps:style>
                        <wps:txbx>
                          <w:txbxContent>
                            <w:p w14:paraId="73FF4497" w14:textId="23F97F15" w:rsidR="00D517DB" w:rsidRPr="00A02B9D" w:rsidRDefault="00D517DB" w:rsidP="005D3FA2">
                              <w:pPr>
                                <w:ind w:left="-113"/>
                              </w:pPr>
                              <w:r w:rsidRPr="00A02B9D">
                                <w:t>Child F was seen by a local GP after parents had concerns around his development. The GP assessed the child and suggested the family contacted the Health Visitor (SCFT) to arrange an early developmental assessment. The parents did this and the child was then referred to the local Child Development Centre (Seaside View, SCFT). The child was seen in a stage 1 clinic with a paediatrician and placed upon the Autism Assessment pathway. In the meantime, the family were signposted to A</w:t>
                              </w:r>
                              <w:r w:rsidR="00FD4E8B">
                                <w:t>maze</w:t>
                              </w:r>
                              <w:r w:rsidRPr="00A02B9D">
                                <w:t xml:space="preserve"> to seek some support whilst they were waiting for an assessment. </w:t>
                              </w:r>
                            </w:p>
                            <w:p w14:paraId="22F73F08" w14:textId="78B78FDE" w:rsidR="00D517DB" w:rsidRPr="00A02B9D" w:rsidRDefault="00D517DB" w:rsidP="005D3FA2">
                              <w:pPr>
                                <w:ind w:left="-113"/>
                              </w:pPr>
                              <w:r w:rsidRPr="00A02B9D">
                                <w:t xml:space="preserve">Following the assessment the family were told that the child may also have ADHD and that a referral to CAMHS </w:t>
                              </w:r>
                              <w:r w:rsidR="009E5C2F">
                                <w:t xml:space="preserve">(SPFT) </w:t>
                              </w:r>
                              <w:r w:rsidRPr="00A02B9D">
                                <w:t xml:space="preserve">could be made by the school, GP or themselves when the child was 6. In the meantime, they can continue to access support via Amaze, their school and local educational support offer (BHISS) and a post diagnostic appointment would be offered by the child development centre shortly. </w:t>
                              </w:r>
                            </w:p>
                            <w:p w14:paraId="0239D839" w14:textId="13A2AD06" w:rsidR="00D517DB" w:rsidRPr="00DA3523" w:rsidRDefault="00D517DB" w:rsidP="00FD4E8B">
                              <w:pPr>
                                <w:spacing w:after="0"/>
                                <w:ind w:left="-113"/>
                                <w:rPr>
                                  <w:b/>
                                  <w:bCs/>
                                  <w:color w:val="A65588"/>
                                </w:rPr>
                              </w:pPr>
                              <w:r w:rsidRPr="00DA3523">
                                <w:rPr>
                                  <w:b/>
                                  <w:bCs/>
                                  <w:color w:val="A65588"/>
                                </w:rPr>
                                <w:t xml:space="preserve">Service </w:t>
                              </w:r>
                              <w:r w:rsidR="005D3FA2" w:rsidRPr="00DA3523">
                                <w:rPr>
                                  <w:b/>
                                  <w:bCs/>
                                  <w:color w:val="A65588"/>
                                </w:rPr>
                                <w:t>contact</w:t>
                              </w:r>
                              <w:r w:rsidRPr="00DA3523">
                                <w:rPr>
                                  <w:b/>
                                  <w:bCs/>
                                  <w:color w:val="A65588"/>
                                </w:rPr>
                                <w:t xml:space="preserve"> points: </w:t>
                              </w:r>
                            </w:p>
                            <w:p w14:paraId="0028ACAC" w14:textId="6C7381E4" w:rsidR="00D517DB" w:rsidRPr="00DA3523" w:rsidRDefault="00D517DB" w:rsidP="009858E3">
                              <w:pPr>
                                <w:pStyle w:val="ListParagraph"/>
                                <w:numPr>
                                  <w:ilvl w:val="0"/>
                                  <w:numId w:val="33"/>
                                </w:numPr>
                                <w:rPr>
                                  <w:color w:val="A65588"/>
                                </w:rPr>
                              </w:pPr>
                              <w:r w:rsidRPr="00DA3523">
                                <w:rPr>
                                  <w:color w:val="A65588"/>
                                </w:rPr>
                                <w:t xml:space="preserve">Primary Care – GP </w:t>
                              </w:r>
                              <w:r w:rsidR="009E5C2F" w:rsidRPr="00DA3523">
                                <w:rPr>
                                  <w:color w:val="A65588"/>
                                </w:rPr>
                                <w:t>practice</w:t>
                              </w:r>
                              <w:r w:rsidRPr="00DA3523">
                                <w:rPr>
                                  <w:color w:val="A65588"/>
                                </w:rPr>
                                <w:t xml:space="preserve"> </w:t>
                              </w:r>
                            </w:p>
                            <w:p w14:paraId="3374EB2D" w14:textId="24583112" w:rsidR="00D517DB" w:rsidRPr="00DA3523" w:rsidRDefault="00D517DB" w:rsidP="009858E3">
                              <w:pPr>
                                <w:pStyle w:val="ListParagraph"/>
                                <w:numPr>
                                  <w:ilvl w:val="0"/>
                                  <w:numId w:val="33"/>
                                </w:numPr>
                                <w:rPr>
                                  <w:color w:val="A65588"/>
                                </w:rPr>
                              </w:pPr>
                              <w:r w:rsidRPr="00DA3523">
                                <w:rPr>
                                  <w:color w:val="A65588"/>
                                </w:rPr>
                                <w:t xml:space="preserve">SCFT – Health Visitor </w:t>
                              </w:r>
                              <w:r w:rsidR="009E5C2F" w:rsidRPr="00DA3523">
                                <w:rPr>
                                  <w:color w:val="A65588"/>
                                </w:rPr>
                                <w:t>s</w:t>
                              </w:r>
                              <w:r w:rsidRPr="00DA3523">
                                <w:rPr>
                                  <w:color w:val="A65588"/>
                                </w:rPr>
                                <w:t xml:space="preserve">ervice </w:t>
                              </w:r>
                            </w:p>
                            <w:p w14:paraId="276ED9A9" w14:textId="704B6E8F" w:rsidR="00D517DB" w:rsidRPr="00DA3523" w:rsidRDefault="00D517DB" w:rsidP="009858E3">
                              <w:pPr>
                                <w:pStyle w:val="ListParagraph"/>
                                <w:numPr>
                                  <w:ilvl w:val="0"/>
                                  <w:numId w:val="33"/>
                                </w:numPr>
                                <w:rPr>
                                  <w:color w:val="A65588"/>
                                </w:rPr>
                              </w:pPr>
                              <w:r w:rsidRPr="00DA3523">
                                <w:rPr>
                                  <w:color w:val="A65588"/>
                                </w:rPr>
                                <w:t xml:space="preserve">SCFT – Child Development </w:t>
                              </w:r>
                              <w:r w:rsidR="009E5C2F" w:rsidRPr="00DA3523">
                                <w:rPr>
                                  <w:color w:val="A65588"/>
                                </w:rPr>
                                <w:t>s</w:t>
                              </w:r>
                              <w:r w:rsidRPr="00DA3523">
                                <w:rPr>
                                  <w:color w:val="A65588"/>
                                </w:rPr>
                                <w:t xml:space="preserve">ervice </w:t>
                              </w:r>
                            </w:p>
                            <w:p w14:paraId="62A0FA70" w14:textId="18DD4EF3" w:rsidR="00D517DB" w:rsidRPr="00DA3523" w:rsidRDefault="00D517DB" w:rsidP="009858E3">
                              <w:pPr>
                                <w:pStyle w:val="ListParagraph"/>
                                <w:numPr>
                                  <w:ilvl w:val="0"/>
                                  <w:numId w:val="33"/>
                                </w:numPr>
                                <w:rPr>
                                  <w:color w:val="A65588"/>
                                </w:rPr>
                              </w:pPr>
                              <w:r w:rsidRPr="00DA3523">
                                <w:rPr>
                                  <w:color w:val="A65588"/>
                                </w:rPr>
                                <w:t xml:space="preserve">Amaze – </w:t>
                              </w:r>
                              <w:r w:rsidR="009E5C2F" w:rsidRPr="00DA3523">
                                <w:rPr>
                                  <w:color w:val="A65588"/>
                                </w:rPr>
                                <w:t>CVS</w:t>
                              </w:r>
                              <w:r w:rsidRPr="00DA3523">
                                <w:rPr>
                                  <w:color w:val="A65588"/>
                                </w:rPr>
                                <w:t xml:space="preserve"> </w:t>
                              </w:r>
                              <w:r w:rsidR="009E5C2F" w:rsidRPr="00DA3523">
                                <w:rPr>
                                  <w:color w:val="A65588"/>
                                </w:rPr>
                                <w:t>s</w:t>
                              </w:r>
                              <w:r w:rsidRPr="00DA3523">
                                <w:rPr>
                                  <w:color w:val="A65588"/>
                                </w:rPr>
                                <w:t xml:space="preserve">upport </w:t>
                              </w:r>
                              <w:r w:rsidR="009E5C2F" w:rsidRPr="00DA3523">
                                <w:rPr>
                                  <w:color w:val="A65588"/>
                                </w:rPr>
                                <w:t>s</w:t>
                              </w:r>
                              <w:r w:rsidRPr="00DA3523">
                                <w:rPr>
                                  <w:color w:val="A65588"/>
                                </w:rPr>
                                <w:t xml:space="preserve">ervice </w:t>
                              </w:r>
                            </w:p>
                            <w:p w14:paraId="54B496EB" w14:textId="7D2A8270" w:rsidR="00D517DB" w:rsidRPr="00DA3523" w:rsidRDefault="00D517DB" w:rsidP="009858E3">
                              <w:pPr>
                                <w:pStyle w:val="ListParagraph"/>
                                <w:numPr>
                                  <w:ilvl w:val="0"/>
                                  <w:numId w:val="33"/>
                                </w:numPr>
                                <w:rPr>
                                  <w:color w:val="A65588"/>
                                </w:rPr>
                              </w:pPr>
                              <w:r w:rsidRPr="00DA3523">
                                <w:rPr>
                                  <w:color w:val="A65588"/>
                                </w:rPr>
                                <w:t xml:space="preserve">BHISS – Education </w:t>
                              </w:r>
                              <w:r w:rsidR="009E5C2F" w:rsidRPr="00DA3523">
                                <w:rPr>
                                  <w:color w:val="A65588"/>
                                </w:rPr>
                                <w:t>s</w:t>
                              </w:r>
                              <w:r w:rsidRPr="00DA3523">
                                <w:rPr>
                                  <w:color w:val="A65588"/>
                                </w:rPr>
                                <w:t xml:space="preserve">upport </w:t>
                              </w:r>
                              <w:r w:rsidR="009E5C2F" w:rsidRPr="00DA3523">
                                <w:rPr>
                                  <w:color w:val="A65588"/>
                                </w:rPr>
                                <w:t>s</w:t>
                              </w:r>
                              <w:r w:rsidRPr="00DA3523">
                                <w:rPr>
                                  <w:color w:val="A65588"/>
                                </w:rPr>
                                <w:t xml:space="preserve">ervice </w:t>
                              </w:r>
                            </w:p>
                            <w:p w14:paraId="2F0E955B" w14:textId="77777777" w:rsidR="00D517DB" w:rsidRPr="00DA3523" w:rsidRDefault="00D517DB" w:rsidP="009858E3">
                              <w:pPr>
                                <w:pStyle w:val="ListParagraph"/>
                                <w:numPr>
                                  <w:ilvl w:val="0"/>
                                  <w:numId w:val="33"/>
                                </w:numPr>
                                <w:rPr>
                                  <w:color w:val="A65588"/>
                                </w:rPr>
                              </w:pPr>
                              <w:r w:rsidRPr="00DA3523">
                                <w:rPr>
                                  <w:color w:val="A65588"/>
                                </w:rPr>
                                <w:t>SPFT – CAMHS referral when aged 6</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D21BB1" id="Group 64" o:spid="_x0000_s1026" style="position:absolute;margin-left:.75pt;margin-top:49.5pt;width:499.5pt;height:355.75pt;z-index:251658241;mso-wrap-distance-left:14.4pt;mso-wrap-distance-top:3.6pt;mso-wrap-distance-right:14.4pt;mso-wrap-distance-bottom:3.6pt;mso-position-horizontal-relative:margin;mso-position-vertical-relative:margin;mso-width-relative:margin;mso-height-relative:margin" coordorigin="-412,3834" coordsize="39206,51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">
                <v:rect id="Rectangle 199" o:spid="_x0000_s1027" style="position:absolute;left:-412;top:3834;width:39206;height:3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" fillcolor="#a65588" strokecolor="#a65588" strokeweight="2.25pt">
                  <v:textbox>
                    <w:txbxContent>
                      <w:p w14:paraId="1630A6C6" w14:textId="77777777" w:rsidR="00D517DB" w:rsidRPr="00FD4E8B" w:rsidRDefault="00D517DB" w:rsidP="005D3FA2">
                        <w:pPr>
                          <w:ind w:left="-113"/>
                          <w:rPr>
                            <w:b/>
                            <w:bCs/>
                            <w:color w:val="A65588"/>
                          </w:rPr>
                        </w:pPr>
                        <w:r w:rsidRPr="009B7FAF">
                          <w:rPr>
                            <w:b/>
                            <w:bCs/>
                          </w:rPr>
                          <w:t xml:space="preserve">Patient journey example  </w:t>
                        </w:r>
                      </w:p>
                      <w:p w14:paraId="637AAB02" w14:textId="77777777" w:rsidR="00D517DB" w:rsidRDefault="00D517DB" w:rsidP="005D3FA2">
                        <w:pPr>
                          <w:jc w:val="center"/>
                          <w:rPr>
                            <w:rFonts w:asciiTheme="majorHAnsi" w:eastAsiaTheme="majorEastAsia" w:hAnsiTheme="majorHAnsi" w:cstheme="majorBidi"/>
                            <w:color w:val="FFFFFF" w:themeColor="background1"/>
                            <w:szCs w:val="24"/>
                          </w:rPr>
                        </w:pPr>
                      </w:p>
                    </w:txbxContent>
                  </v:textbox>
                </v:rect>
                <v:shapetype id="_x0000_t202" coordsize="21600,21600" o:spt="202" path="m,l,21600r21600,l21600,xe">
                  <v:stroke joinstyle="miter"/>
                  <v:path gradientshapeok="t" o:connecttype="rect"/>
                </v:shapetype>
                <v:shape id="Text Box 200" o:spid="_x0000_s1028" type="#_x0000_t202" style="position:absolute;left:-412;top:7264;width:39206;height:47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" filled="f" strokecolor="#a65588" strokeweight="2.25pt">
                  <v:textbox inset=",7.2pt,,0">
                    <w:txbxContent>
                      <w:p w14:paraId="73FF4497" w14:textId="23F97F15" w:rsidR="00D517DB" w:rsidRPr="00A02B9D" w:rsidRDefault="00D517DB" w:rsidP="005D3FA2">
                        <w:pPr>
                          <w:ind w:left="-113"/>
                        </w:pPr>
                        <w:r w:rsidRPr="00A02B9D">
                          <w:t>Child F was seen by a local GP after parents had concerns around his development. The GP assessed the child and suggested the family contacted the Health Visitor (SCFT) to arrange an early developmental assessment. The parents did this and the child was then referred to the local Child Development Centre (Seaside View, SCFT). The child was seen in a stage 1 clinic with a paediatrician and placed upon the Autism Assessment pathway. In the meantime, the family were signposted to A</w:t>
                        </w:r>
                        <w:r w:rsidR="00FD4E8B">
                          <w:t>maze</w:t>
                        </w:r>
                        <w:r w:rsidRPr="00A02B9D">
                          <w:t xml:space="preserve"> to seek some support whilst they were waiting for an assessment. </w:t>
                        </w:r>
                      </w:p>
                      <w:p w14:paraId="22F73F08" w14:textId="78B78FDE" w:rsidR="00D517DB" w:rsidRPr="00A02B9D" w:rsidRDefault="00D517DB" w:rsidP="005D3FA2">
                        <w:pPr>
                          <w:ind w:left="-113"/>
                        </w:pPr>
                        <w:r w:rsidRPr="00A02B9D">
                          <w:t xml:space="preserve">Following the assessment the family were told that the child may also have ADHD and that a referral to CAMHS </w:t>
                        </w:r>
                        <w:r w:rsidR="009E5C2F">
                          <w:t xml:space="preserve">(SPFT) </w:t>
                        </w:r>
                        <w:r w:rsidRPr="00A02B9D">
                          <w:t xml:space="preserve">could be made by the school, GP or themselves when the child was 6. In the meantime, they can continue to access support via Amaze, their school and local educational support offer (BHISS) and a post diagnostic appointment would be offered by the child development centre shortly. </w:t>
                        </w:r>
                      </w:p>
                      <w:p w14:paraId="0239D839" w14:textId="13A2AD06" w:rsidR="00D517DB" w:rsidRPr="00DA3523" w:rsidRDefault="00D517DB" w:rsidP="00FD4E8B">
                        <w:pPr>
                          <w:spacing w:after="0"/>
                          <w:ind w:left="-113"/>
                          <w:rPr>
                            <w:b/>
                            <w:bCs/>
                            <w:color w:val="A65588"/>
                          </w:rPr>
                        </w:pPr>
                        <w:r w:rsidRPr="00DA3523">
                          <w:rPr>
                            <w:b/>
                            <w:bCs/>
                            <w:color w:val="A65588"/>
                          </w:rPr>
                          <w:t xml:space="preserve">Service </w:t>
                        </w:r>
                        <w:r w:rsidR="005D3FA2" w:rsidRPr="00DA3523">
                          <w:rPr>
                            <w:b/>
                            <w:bCs/>
                            <w:color w:val="A65588"/>
                          </w:rPr>
                          <w:t>contact</w:t>
                        </w:r>
                        <w:r w:rsidRPr="00DA3523">
                          <w:rPr>
                            <w:b/>
                            <w:bCs/>
                            <w:color w:val="A65588"/>
                          </w:rPr>
                          <w:t xml:space="preserve"> points: </w:t>
                        </w:r>
                      </w:p>
                      <w:p w14:paraId="0028ACAC" w14:textId="6C7381E4" w:rsidR="00D517DB" w:rsidRPr="00DA3523" w:rsidRDefault="00D517DB" w:rsidP="009858E3">
                        <w:pPr>
                          <w:pStyle w:val="ListParagraph"/>
                          <w:numPr>
                            <w:ilvl w:val="0"/>
                            <w:numId w:val="33"/>
                          </w:numPr>
                          <w:rPr>
                            <w:color w:val="A65588"/>
                          </w:rPr>
                        </w:pPr>
                        <w:r w:rsidRPr="00DA3523">
                          <w:rPr>
                            <w:color w:val="A65588"/>
                          </w:rPr>
                          <w:t xml:space="preserve">Primary Care – GP </w:t>
                        </w:r>
                        <w:r w:rsidR="009E5C2F" w:rsidRPr="00DA3523">
                          <w:rPr>
                            <w:color w:val="A65588"/>
                          </w:rPr>
                          <w:t>practice</w:t>
                        </w:r>
                        <w:r w:rsidRPr="00DA3523">
                          <w:rPr>
                            <w:color w:val="A65588"/>
                          </w:rPr>
                          <w:t xml:space="preserve"> </w:t>
                        </w:r>
                      </w:p>
                      <w:p w14:paraId="3374EB2D" w14:textId="24583112" w:rsidR="00D517DB" w:rsidRPr="00DA3523" w:rsidRDefault="00D517DB" w:rsidP="009858E3">
                        <w:pPr>
                          <w:pStyle w:val="ListParagraph"/>
                          <w:numPr>
                            <w:ilvl w:val="0"/>
                            <w:numId w:val="33"/>
                          </w:numPr>
                          <w:rPr>
                            <w:color w:val="A65588"/>
                          </w:rPr>
                        </w:pPr>
                        <w:r w:rsidRPr="00DA3523">
                          <w:rPr>
                            <w:color w:val="A65588"/>
                          </w:rPr>
                          <w:t xml:space="preserve">SCFT – Health Visitor </w:t>
                        </w:r>
                        <w:r w:rsidR="009E5C2F" w:rsidRPr="00DA3523">
                          <w:rPr>
                            <w:color w:val="A65588"/>
                          </w:rPr>
                          <w:t>s</w:t>
                        </w:r>
                        <w:r w:rsidRPr="00DA3523">
                          <w:rPr>
                            <w:color w:val="A65588"/>
                          </w:rPr>
                          <w:t xml:space="preserve">ervice </w:t>
                        </w:r>
                      </w:p>
                      <w:p w14:paraId="276ED9A9" w14:textId="704B6E8F" w:rsidR="00D517DB" w:rsidRPr="00DA3523" w:rsidRDefault="00D517DB" w:rsidP="009858E3">
                        <w:pPr>
                          <w:pStyle w:val="ListParagraph"/>
                          <w:numPr>
                            <w:ilvl w:val="0"/>
                            <w:numId w:val="33"/>
                          </w:numPr>
                          <w:rPr>
                            <w:color w:val="A65588"/>
                          </w:rPr>
                        </w:pPr>
                        <w:r w:rsidRPr="00DA3523">
                          <w:rPr>
                            <w:color w:val="A65588"/>
                          </w:rPr>
                          <w:t xml:space="preserve">SCFT – Child Development </w:t>
                        </w:r>
                        <w:r w:rsidR="009E5C2F" w:rsidRPr="00DA3523">
                          <w:rPr>
                            <w:color w:val="A65588"/>
                          </w:rPr>
                          <w:t>s</w:t>
                        </w:r>
                        <w:r w:rsidRPr="00DA3523">
                          <w:rPr>
                            <w:color w:val="A65588"/>
                          </w:rPr>
                          <w:t xml:space="preserve">ervice </w:t>
                        </w:r>
                      </w:p>
                      <w:p w14:paraId="62A0FA70" w14:textId="18DD4EF3" w:rsidR="00D517DB" w:rsidRPr="00DA3523" w:rsidRDefault="00D517DB" w:rsidP="009858E3">
                        <w:pPr>
                          <w:pStyle w:val="ListParagraph"/>
                          <w:numPr>
                            <w:ilvl w:val="0"/>
                            <w:numId w:val="33"/>
                          </w:numPr>
                          <w:rPr>
                            <w:color w:val="A65588"/>
                          </w:rPr>
                        </w:pPr>
                        <w:r w:rsidRPr="00DA3523">
                          <w:rPr>
                            <w:color w:val="A65588"/>
                          </w:rPr>
                          <w:t xml:space="preserve">Amaze – </w:t>
                        </w:r>
                        <w:r w:rsidR="009E5C2F" w:rsidRPr="00DA3523">
                          <w:rPr>
                            <w:color w:val="A65588"/>
                          </w:rPr>
                          <w:t>CVS</w:t>
                        </w:r>
                        <w:r w:rsidRPr="00DA3523">
                          <w:rPr>
                            <w:color w:val="A65588"/>
                          </w:rPr>
                          <w:t xml:space="preserve"> </w:t>
                        </w:r>
                        <w:r w:rsidR="009E5C2F" w:rsidRPr="00DA3523">
                          <w:rPr>
                            <w:color w:val="A65588"/>
                          </w:rPr>
                          <w:t>s</w:t>
                        </w:r>
                        <w:r w:rsidRPr="00DA3523">
                          <w:rPr>
                            <w:color w:val="A65588"/>
                          </w:rPr>
                          <w:t xml:space="preserve">upport </w:t>
                        </w:r>
                        <w:r w:rsidR="009E5C2F" w:rsidRPr="00DA3523">
                          <w:rPr>
                            <w:color w:val="A65588"/>
                          </w:rPr>
                          <w:t>s</w:t>
                        </w:r>
                        <w:r w:rsidRPr="00DA3523">
                          <w:rPr>
                            <w:color w:val="A65588"/>
                          </w:rPr>
                          <w:t xml:space="preserve">ervice </w:t>
                        </w:r>
                      </w:p>
                      <w:p w14:paraId="54B496EB" w14:textId="7D2A8270" w:rsidR="00D517DB" w:rsidRPr="00DA3523" w:rsidRDefault="00D517DB" w:rsidP="009858E3">
                        <w:pPr>
                          <w:pStyle w:val="ListParagraph"/>
                          <w:numPr>
                            <w:ilvl w:val="0"/>
                            <w:numId w:val="33"/>
                          </w:numPr>
                          <w:rPr>
                            <w:color w:val="A65588"/>
                          </w:rPr>
                        </w:pPr>
                        <w:r w:rsidRPr="00DA3523">
                          <w:rPr>
                            <w:color w:val="A65588"/>
                          </w:rPr>
                          <w:t xml:space="preserve">BHISS – Education </w:t>
                        </w:r>
                        <w:r w:rsidR="009E5C2F" w:rsidRPr="00DA3523">
                          <w:rPr>
                            <w:color w:val="A65588"/>
                          </w:rPr>
                          <w:t>s</w:t>
                        </w:r>
                        <w:r w:rsidRPr="00DA3523">
                          <w:rPr>
                            <w:color w:val="A65588"/>
                          </w:rPr>
                          <w:t xml:space="preserve">upport </w:t>
                        </w:r>
                        <w:r w:rsidR="009E5C2F" w:rsidRPr="00DA3523">
                          <w:rPr>
                            <w:color w:val="A65588"/>
                          </w:rPr>
                          <w:t>s</w:t>
                        </w:r>
                        <w:r w:rsidRPr="00DA3523">
                          <w:rPr>
                            <w:color w:val="A65588"/>
                          </w:rPr>
                          <w:t xml:space="preserve">ervice </w:t>
                        </w:r>
                      </w:p>
                      <w:p w14:paraId="2F0E955B" w14:textId="77777777" w:rsidR="00D517DB" w:rsidRPr="00DA3523" w:rsidRDefault="00D517DB" w:rsidP="009858E3">
                        <w:pPr>
                          <w:pStyle w:val="ListParagraph"/>
                          <w:numPr>
                            <w:ilvl w:val="0"/>
                            <w:numId w:val="33"/>
                          </w:numPr>
                          <w:rPr>
                            <w:color w:val="A65588"/>
                          </w:rPr>
                        </w:pPr>
                        <w:r w:rsidRPr="00DA3523">
                          <w:rPr>
                            <w:color w:val="A65588"/>
                          </w:rPr>
                          <w:t>SPFT – CAMHS referral when aged 6</w:t>
                        </w:r>
                      </w:p>
                    </w:txbxContent>
                  </v:textbox>
                </v:shape>
                <w10:wrap type="topAndBottom" anchorx="margin" anchory="margin"/>
              </v:group>
            </w:pict>
          </mc:Fallback>
        </mc:AlternateContent>
      </w:r>
      <w:r w:rsidRPr="5894A698">
        <w:t>or specialist community services alone.</w:t>
      </w:r>
    </w:p>
    <w:p w14:paraId="13DD0178" w14:textId="08C17F70" w:rsidR="00D517DB" w:rsidRDefault="00D517DB" w:rsidP="004C0664">
      <w:pPr>
        <w:pStyle w:val="Heading2"/>
        <w:spacing w:after="0"/>
      </w:pPr>
      <w:r>
        <w:t>Commission</w:t>
      </w:r>
      <w:r w:rsidR="00313199">
        <w:t>ed</w:t>
      </w:r>
      <w:r>
        <w:t xml:space="preserve"> services</w:t>
      </w:r>
    </w:p>
    <w:p w14:paraId="208E0195" w14:textId="26DD0EE0" w:rsidR="00D517DB" w:rsidRDefault="00BD5547" w:rsidP="00D517DB">
      <w:pPr>
        <w:pStyle w:val="Heading3"/>
      </w:pPr>
      <w:r>
        <w:t>C</w:t>
      </w:r>
      <w:r w:rsidR="00D517DB">
        <w:t>ommissioning processes</w:t>
      </w:r>
      <w:r w:rsidR="00DF7A4A">
        <w:t xml:space="preserve"> and </w:t>
      </w:r>
      <w:r w:rsidR="00D517DB">
        <w:t>cycle</w:t>
      </w:r>
    </w:p>
    <w:p w14:paraId="6145447C" w14:textId="2C485565" w:rsidR="008869EA" w:rsidRDefault="00DA252C" w:rsidP="008869EA">
      <w:pPr>
        <w:spacing w:line="240" w:lineRule="auto"/>
        <w:rPr>
          <w:rFonts w:eastAsia="Arial" w:cs="Arial"/>
          <w:szCs w:val="24"/>
        </w:rPr>
      </w:pPr>
      <w:r>
        <w:rPr>
          <w:rFonts w:eastAsia="Arial" w:cs="Arial"/>
          <w:szCs w:val="24"/>
        </w:rPr>
        <w:t>NHS Sussex</w:t>
      </w:r>
      <w:r w:rsidR="00D517DB" w:rsidRPr="5894A698">
        <w:rPr>
          <w:rFonts w:eastAsia="Arial" w:cs="Arial"/>
          <w:szCs w:val="24"/>
        </w:rPr>
        <w:t xml:space="preserve"> commissioning cycle </w:t>
      </w:r>
      <w:r w:rsidR="00D517DB">
        <w:rPr>
          <w:rFonts w:eastAsia="Arial" w:cs="Arial"/>
          <w:szCs w:val="24"/>
        </w:rPr>
        <w:t xml:space="preserve">is shown in Figure </w:t>
      </w:r>
      <w:r w:rsidR="00861C06">
        <w:rPr>
          <w:rFonts w:eastAsia="Arial" w:cs="Arial"/>
          <w:szCs w:val="24"/>
        </w:rPr>
        <w:t>7</w:t>
      </w:r>
      <w:r w:rsidR="00D517DB">
        <w:rPr>
          <w:rFonts w:eastAsia="Arial" w:cs="Arial"/>
          <w:szCs w:val="24"/>
        </w:rPr>
        <w:t xml:space="preserve">. </w:t>
      </w:r>
      <w:r w:rsidR="008869EA" w:rsidRPr="002D1FA6">
        <w:rPr>
          <w:rFonts w:eastAsia="Arial" w:cs="Arial"/>
          <w:szCs w:val="24"/>
        </w:rPr>
        <w:t>The commissioning cycle describes a continuous life cycle of commissioning aligned to three key functions: needs assessment, procurement, and monitoring and evaluation, and puts patients at the heart of all activity.</w:t>
      </w:r>
    </w:p>
    <w:p w14:paraId="39612848" w14:textId="21B92694" w:rsidR="008869EA" w:rsidRDefault="008869EA" w:rsidP="008869EA">
      <w:pPr>
        <w:spacing w:line="240" w:lineRule="auto"/>
        <w:rPr>
          <w:rFonts w:eastAsia="Arial" w:cs="Arial"/>
          <w:szCs w:val="24"/>
        </w:rPr>
      </w:pPr>
      <w:r>
        <w:rPr>
          <w:rFonts w:eastAsia="Arial" w:cs="Arial"/>
          <w:szCs w:val="24"/>
        </w:rPr>
        <w:t>A</w:t>
      </w:r>
      <w:r w:rsidRPr="002A005B">
        <w:rPr>
          <w:rFonts w:eastAsia="Arial" w:cs="Arial"/>
          <w:szCs w:val="24"/>
        </w:rPr>
        <w:t xml:space="preserve">ll parts of the </w:t>
      </w:r>
      <w:r>
        <w:rPr>
          <w:rFonts w:eastAsia="Arial" w:cs="Arial"/>
          <w:szCs w:val="24"/>
        </w:rPr>
        <w:t>system</w:t>
      </w:r>
      <w:r w:rsidRPr="002A005B">
        <w:rPr>
          <w:rFonts w:eastAsia="Arial" w:cs="Arial"/>
          <w:szCs w:val="24"/>
        </w:rPr>
        <w:t xml:space="preserve"> have an important contribution to make and need to work together to assess need and determine best practice; to engage with stakeholders on planning and designing services and to ensure these are well monitored to deliver effective outcomes.</w:t>
      </w:r>
    </w:p>
    <w:p w14:paraId="50B443FB" w14:textId="52D997AC" w:rsidR="008869EA" w:rsidRPr="003038A6" w:rsidRDefault="006C28A6" w:rsidP="00B90602">
      <w:pPr>
        <w:spacing w:line="240" w:lineRule="auto"/>
        <w:rPr>
          <w:rFonts w:eastAsia="Arial" w:cs="Arial"/>
          <w:szCs w:val="24"/>
        </w:rPr>
      </w:pPr>
      <w:r w:rsidRPr="5894A698">
        <w:rPr>
          <w:rFonts w:eastAsia="Arial" w:cs="Arial"/>
          <w:szCs w:val="24"/>
        </w:rPr>
        <w:t>Brighton &amp; Hove’s SEND/LD/ND commissioning cycle is</w:t>
      </w:r>
      <w:r w:rsidR="005C5C14">
        <w:rPr>
          <w:rFonts w:eastAsia="Arial" w:cs="Arial"/>
          <w:szCs w:val="24"/>
        </w:rPr>
        <w:t xml:space="preserve"> to</w:t>
      </w:r>
      <w:r w:rsidR="000549D5">
        <w:rPr>
          <w:rFonts w:eastAsia="Arial" w:cs="Arial"/>
          <w:szCs w:val="24"/>
        </w:rPr>
        <w:t xml:space="preserve"> </w:t>
      </w:r>
      <w:r w:rsidR="00CC5A36">
        <w:rPr>
          <w:rFonts w:eastAsia="Arial" w:cs="Arial"/>
          <w:szCs w:val="24"/>
        </w:rPr>
        <w:t xml:space="preserve">first </w:t>
      </w:r>
      <w:r w:rsidR="001A6F2C" w:rsidRPr="00E31E27">
        <w:rPr>
          <w:rFonts w:eastAsia="Arial" w:cs="Arial"/>
          <w:szCs w:val="24"/>
        </w:rPr>
        <w:t>a</w:t>
      </w:r>
      <w:r w:rsidR="008869EA" w:rsidRPr="00E31E27">
        <w:rPr>
          <w:rFonts w:eastAsia="Arial" w:cs="Arial"/>
          <w:szCs w:val="24"/>
        </w:rPr>
        <w:t>ssess needs (</w:t>
      </w:r>
      <w:r w:rsidR="00CC5A36">
        <w:rPr>
          <w:rFonts w:eastAsia="Arial" w:cs="Arial"/>
          <w:szCs w:val="24"/>
        </w:rPr>
        <w:t xml:space="preserve">through the </w:t>
      </w:r>
      <w:r w:rsidR="008869EA" w:rsidRPr="00E31E27">
        <w:rPr>
          <w:rFonts w:eastAsia="Arial" w:cs="Arial"/>
          <w:szCs w:val="24"/>
        </w:rPr>
        <w:t>JSNA</w:t>
      </w:r>
      <w:r w:rsidR="00247411">
        <w:rPr>
          <w:rFonts w:eastAsia="Arial" w:cs="Arial"/>
          <w:szCs w:val="24"/>
        </w:rPr>
        <w:t xml:space="preserve"> </w:t>
      </w:r>
      <w:r w:rsidR="008869EA" w:rsidRPr="00E31E27">
        <w:rPr>
          <w:rFonts w:eastAsia="Arial" w:cs="Arial"/>
          <w:szCs w:val="24"/>
        </w:rPr>
        <w:t>SEND needs</w:t>
      </w:r>
      <w:r w:rsidR="00247411">
        <w:rPr>
          <w:rFonts w:eastAsia="Arial" w:cs="Arial"/>
          <w:szCs w:val="24"/>
        </w:rPr>
        <w:t xml:space="preserve"> </w:t>
      </w:r>
      <w:r w:rsidR="00B42101">
        <w:rPr>
          <w:rFonts w:eastAsia="Arial" w:cs="Arial"/>
          <w:szCs w:val="24"/>
        </w:rPr>
        <w:t>assessment</w:t>
      </w:r>
      <w:r w:rsidR="008869EA" w:rsidRPr="00E31E27">
        <w:rPr>
          <w:rFonts w:eastAsia="Arial" w:cs="Arial"/>
          <w:szCs w:val="24"/>
        </w:rPr>
        <w:t>)</w:t>
      </w:r>
      <w:r w:rsidR="00B42101">
        <w:rPr>
          <w:rFonts w:eastAsia="Arial" w:cs="Arial"/>
          <w:szCs w:val="24"/>
        </w:rPr>
        <w:t xml:space="preserve">, </w:t>
      </w:r>
      <w:r w:rsidR="008869EA" w:rsidRPr="00B42101">
        <w:rPr>
          <w:rFonts w:eastAsia="Arial" w:cs="Arial"/>
          <w:szCs w:val="24"/>
        </w:rPr>
        <w:t>set joint SEND strategy and commissioning intentions</w:t>
      </w:r>
      <w:r w:rsidR="00B42101">
        <w:rPr>
          <w:rFonts w:eastAsia="Arial" w:cs="Arial"/>
          <w:szCs w:val="24"/>
        </w:rPr>
        <w:t xml:space="preserve">, </w:t>
      </w:r>
      <w:r w:rsidR="008869EA" w:rsidRPr="00B42101">
        <w:rPr>
          <w:rFonts w:eastAsia="Arial" w:cs="Arial"/>
          <w:szCs w:val="24"/>
        </w:rPr>
        <w:t>market-shape &amp; procure (co-produced)</w:t>
      </w:r>
      <w:r w:rsidR="00B42101">
        <w:rPr>
          <w:rFonts w:eastAsia="Arial" w:cs="Arial"/>
          <w:szCs w:val="24"/>
        </w:rPr>
        <w:t xml:space="preserve">, </w:t>
      </w:r>
      <w:r w:rsidR="008869EA" w:rsidRPr="00B42101">
        <w:rPr>
          <w:rFonts w:eastAsia="Arial" w:cs="Arial"/>
          <w:szCs w:val="24"/>
        </w:rPr>
        <w:t>contract &amp; mobilise</w:t>
      </w:r>
      <w:r w:rsidR="00B42101">
        <w:rPr>
          <w:rFonts w:eastAsia="Arial" w:cs="Arial"/>
          <w:szCs w:val="24"/>
        </w:rPr>
        <w:t xml:space="preserve">, and </w:t>
      </w:r>
      <w:r w:rsidR="008869EA" w:rsidRPr="00B42101">
        <w:rPr>
          <w:rFonts w:eastAsia="Arial" w:cs="Arial"/>
          <w:szCs w:val="24"/>
        </w:rPr>
        <w:t>monitor, review and re-shape</w:t>
      </w:r>
      <w:r w:rsidR="00B42101">
        <w:rPr>
          <w:rFonts w:eastAsia="Arial" w:cs="Arial"/>
          <w:szCs w:val="24"/>
        </w:rPr>
        <w:t>.</w:t>
      </w:r>
      <w:r w:rsidR="008869EA" w:rsidRPr="00B42101">
        <w:rPr>
          <w:rFonts w:eastAsia="Arial" w:cs="Arial"/>
          <w:szCs w:val="24"/>
        </w:rPr>
        <w:t xml:space="preserve"> </w:t>
      </w:r>
      <w:r w:rsidR="003038A6">
        <w:rPr>
          <w:rFonts w:eastAsia="Arial" w:cs="Arial"/>
          <w:szCs w:val="24"/>
        </w:rPr>
        <w:t xml:space="preserve"> </w:t>
      </w:r>
      <w:r w:rsidR="00274949">
        <w:rPr>
          <w:rFonts w:eastAsia="Arial" w:cs="Arial"/>
          <w:szCs w:val="24"/>
        </w:rPr>
        <w:t>A</w:t>
      </w:r>
      <w:r w:rsidR="008869EA" w:rsidRPr="00B94F8B">
        <w:rPr>
          <w:rFonts w:eastAsia="Arial" w:cs="Arial"/>
          <w:szCs w:val="24"/>
        </w:rPr>
        <w:t xml:space="preserve">ll governed through Joint Commissioning Boards, statutory joint arrangements (Children &amp; Families Act duties) and, where appropriate, pooled s.75 arrangements between the LA and NHS Sussex. </w:t>
      </w:r>
    </w:p>
    <w:p w14:paraId="1702A016" w14:textId="77777777" w:rsidR="004C0664" w:rsidRDefault="004C0664" w:rsidP="00D9246A">
      <w:pPr>
        <w:spacing w:line="240" w:lineRule="auto"/>
        <w:rPr>
          <w:b/>
          <w:bCs/>
          <w:color w:val="A65588"/>
        </w:rPr>
      </w:pPr>
    </w:p>
    <w:p w14:paraId="35677D2F" w14:textId="77777777" w:rsidR="004C0664" w:rsidRDefault="004C0664" w:rsidP="00D9246A">
      <w:pPr>
        <w:spacing w:line="240" w:lineRule="auto"/>
        <w:rPr>
          <w:b/>
          <w:bCs/>
          <w:color w:val="A65588"/>
        </w:rPr>
      </w:pPr>
    </w:p>
    <w:p w14:paraId="6775D24F" w14:textId="08C73FAD" w:rsidR="000B1486" w:rsidRPr="000B1486" w:rsidRDefault="000B1486" w:rsidP="000B1486">
      <w:pPr>
        <w:pStyle w:val="Caption"/>
        <w:rPr>
          <w:color w:val="A65588"/>
        </w:rPr>
      </w:pPr>
      <w:r w:rsidRPr="000B1486">
        <w:rPr>
          <w:color w:val="A65588"/>
        </w:rPr>
        <w:lastRenderedPageBreak/>
        <w:t xml:space="preserve">Figure </w:t>
      </w:r>
      <w:r w:rsidR="00CA2D43">
        <w:rPr>
          <w:color w:val="A65588"/>
        </w:rPr>
        <w:fldChar w:fldCharType="begin"/>
      </w:r>
      <w:r w:rsidR="00CA2D43">
        <w:rPr>
          <w:color w:val="A65588"/>
        </w:rPr>
        <w:instrText xml:space="preserve"> SEQ Figure \* ARABIC </w:instrText>
      </w:r>
      <w:r w:rsidR="00CA2D43">
        <w:rPr>
          <w:color w:val="A65588"/>
        </w:rPr>
        <w:fldChar w:fldCharType="separate"/>
      </w:r>
      <w:r w:rsidR="00CA2D43">
        <w:rPr>
          <w:noProof/>
          <w:color w:val="A65588"/>
        </w:rPr>
        <w:t>7</w:t>
      </w:r>
      <w:r w:rsidR="00CA2D43">
        <w:rPr>
          <w:color w:val="A65588"/>
        </w:rPr>
        <w:fldChar w:fldCharType="end"/>
      </w:r>
      <w:r w:rsidRPr="000B1486">
        <w:rPr>
          <w:color w:val="A65588"/>
        </w:rPr>
        <w:t>: NHS Sussex commissioning cycle</w:t>
      </w:r>
    </w:p>
    <w:p w14:paraId="7926059C" w14:textId="42B2328C" w:rsidR="00D41DB0" w:rsidRDefault="00D41DB0" w:rsidP="00D9246A">
      <w:pPr>
        <w:spacing w:line="240" w:lineRule="auto"/>
        <w:rPr>
          <w:rFonts w:eastAsia="Arial" w:cs="Arial"/>
          <w:szCs w:val="24"/>
        </w:rPr>
      </w:pPr>
      <w:r>
        <w:rPr>
          <w:noProof/>
        </w:rPr>
        <w:drawing>
          <wp:inline distT="0" distB="0" distL="0" distR="0" wp14:anchorId="494A0EE2" wp14:editId="12A20164">
            <wp:extent cx="4562475" cy="4012994"/>
            <wp:effectExtent l="0" t="0" r="0" b="6985"/>
            <wp:docPr id="1362154166" name="drawing" descr="A circular diagram showing NHS Sussex commissioning cyc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54166" name="drawing" descr="A circular diagram showing NHS Sussex commissioning cycle.&#10;&#10;"/>
                    <pic:cNvPicPr/>
                  </pic:nvPicPr>
                  <pic:blipFill>
                    <a:blip r:embed="rId47">
                      <a:extLst>
                        <a:ext uri="{28A0092B-C50C-407E-A947-70E740481C1C}">
                          <a14:useLocalDpi xmlns:a14="http://schemas.microsoft.com/office/drawing/2010/main"/>
                        </a:ext>
                      </a:extLst>
                    </a:blip>
                    <a:srcRect b="3535"/>
                    <a:stretch>
                      <a:fillRect/>
                    </a:stretch>
                  </pic:blipFill>
                  <pic:spPr>
                    <a:xfrm>
                      <a:off x="0" y="0"/>
                      <a:ext cx="4614177" cy="4058469"/>
                    </a:xfrm>
                    <a:prstGeom prst="rect">
                      <a:avLst/>
                    </a:prstGeom>
                  </pic:spPr>
                </pic:pic>
              </a:graphicData>
            </a:graphic>
          </wp:inline>
        </w:drawing>
      </w:r>
    </w:p>
    <w:p w14:paraId="0AD2098E" w14:textId="641FF667" w:rsidR="00D517DB" w:rsidRDefault="00D517DB" w:rsidP="00D517DB">
      <w:pPr>
        <w:pStyle w:val="Heading3"/>
      </w:pPr>
      <w:r w:rsidRPr="001757E2">
        <w:t>NHS</w:t>
      </w:r>
      <w:r w:rsidR="00BD5547">
        <w:t xml:space="preserve"> and </w:t>
      </w:r>
      <w:r w:rsidRPr="001757E2">
        <w:t xml:space="preserve">LA </w:t>
      </w:r>
      <w:r w:rsidR="00BD5547">
        <w:t>c</w:t>
      </w:r>
      <w:r w:rsidRPr="001757E2">
        <w:t xml:space="preserve">ommissioned </w:t>
      </w:r>
      <w:r w:rsidR="00BD5547">
        <w:t>s</w:t>
      </w:r>
      <w:r w:rsidRPr="001757E2">
        <w:t>upport services</w:t>
      </w:r>
    </w:p>
    <w:p w14:paraId="45E75220" w14:textId="0404B9D5" w:rsidR="00D517DB" w:rsidRDefault="00D517DB" w:rsidP="00D9246A">
      <w:pPr>
        <w:spacing w:line="240" w:lineRule="auto"/>
      </w:pPr>
      <w:hyperlink r:id="rId48" w:history="1">
        <w:r w:rsidRPr="00D368B5">
          <w:rPr>
            <w:b/>
            <w:bCs/>
            <w:color w:val="0079C2"/>
            <w:u w:val="single"/>
          </w:rPr>
          <w:t>Brighton &amp; Hove Inclusion Support Service (BHISS)</w:t>
        </w:r>
      </w:hyperlink>
      <w:r w:rsidR="00801B87">
        <w:rPr>
          <w:b/>
          <w:bCs/>
          <w:color w:val="0079C2"/>
          <w:u w:val="single"/>
        </w:rPr>
        <w:t xml:space="preserve">: </w:t>
      </w:r>
      <w:r w:rsidR="00D368B5">
        <w:t>P</w:t>
      </w:r>
      <w:r>
        <w:t>rovides schools, early years settings, and families with access to a broad team of highly skilled professionals</w:t>
      </w:r>
      <w:r w:rsidR="000C6CBE">
        <w:t xml:space="preserve"> including</w:t>
      </w:r>
      <w:r>
        <w:t xml:space="preserve"> </w:t>
      </w:r>
      <w:r w:rsidRPr="008D6D63">
        <w:rPr>
          <w:rStyle w:val="Hyperlink"/>
          <w:rFonts w:cstheme="minorBidi"/>
          <w:color w:val="auto"/>
          <w:u w:val="none"/>
        </w:rPr>
        <w:t>specialist</w:t>
      </w:r>
      <w:r>
        <w:t xml:space="preserve"> teachers, educational psychologists, and practitioners across key areas of need, including Autism and Language, Early Years, Educational Psychology, Early Language Support, Literacy Support, Sensory Needs (Deafness and Visual Impairment), Social, Emotional and Mental Health (SEMH), and Social Communication. By offering targeted assessment, consultation, intervention, and capacity-building support, BHISS plays a vital role in promoting inclusion, enabling early identification, and ensuring that children and young people with SEND receive timely, specialist input within their educational settings.</w:t>
      </w:r>
      <w:r w:rsidRPr="00515197">
        <w:t xml:space="preserve"> </w:t>
      </w:r>
    </w:p>
    <w:p w14:paraId="368F5D77" w14:textId="36809884" w:rsidR="00BF138B" w:rsidRDefault="00BF138B" w:rsidP="00D9246A">
      <w:pPr>
        <w:spacing w:line="240" w:lineRule="auto"/>
        <w:rPr>
          <w:b/>
          <w:bCs/>
          <w:color w:val="0079C2"/>
        </w:rPr>
      </w:pPr>
      <w:hyperlink r:id="rId49" w:history="1">
        <w:r>
          <w:rPr>
            <w:b/>
            <w:bCs/>
            <w:color w:val="0079C2"/>
            <w:u w:val="single"/>
          </w:rPr>
          <w:t>Schools</w:t>
        </w:r>
      </w:hyperlink>
      <w:r w:rsidRPr="00BF138B">
        <w:rPr>
          <w:b/>
          <w:bCs/>
          <w:color w:val="0079C2"/>
          <w:u w:val="single"/>
        </w:rPr>
        <w:t xml:space="preserve"> Mental Health Service:</w:t>
      </w:r>
      <w:r>
        <w:t xml:space="preserve">  </w:t>
      </w:r>
      <w:r w:rsidR="00A7482F">
        <w:t>W</w:t>
      </w:r>
      <w:r w:rsidR="00A7482F" w:rsidRPr="00A7482F">
        <w:t xml:space="preserve">orks with all maintained schools and colleges in </w:t>
      </w:r>
      <w:r w:rsidR="00A7482F">
        <w:t>the city</w:t>
      </w:r>
      <w:r w:rsidR="00A7482F" w:rsidRPr="00A7482F">
        <w:t>, supporting young people 1-1 and in groups, offering workshops and support to parents/carers and providing training, advice and sharing resources to schools as part of the Whole School Approach around mental health and wellbeing.</w:t>
      </w:r>
    </w:p>
    <w:p w14:paraId="3BAE9307" w14:textId="6FA8B75D" w:rsidR="00BA64AF" w:rsidRDefault="00772BFC" w:rsidP="00D9246A">
      <w:pPr>
        <w:spacing w:line="240" w:lineRule="auto"/>
      </w:pPr>
      <w:r>
        <w:rPr>
          <w:b/>
          <w:bCs/>
          <w:color w:val="0079C2"/>
        </w:rPr>
        <w:t>Brighton &amp; Hove City Council</w:t>
      </w:r>
      <w:r w:rsidR="00D517DB" w:rsidRPr="004D3B9A">
        <w:rPr>
          <w:b/>
          <w:color w:val="0079C2"/>
        </w:rPr>
        <w:t xml:space="preserve"> Commissioning, Health and Social Care</w:t>
      </w:r>
      <w:r w:rsidR="00801B87">
        <w:rPr>
          <w:b/>
          <w:bCs/>
          <w:color w:val="0079C2"/>
        </w:rPr>
        <w:t xml:space="preserve">: </w:t>
      </w:r>
      <w:r w:rsidR="00801B87" w:rsidRPr="00801B87">
        <w:t>S</w:t>
      </w:r>
      <w:r w:rsidR="00D517DB">
        <w:t>ervices form a core component of the wider SEND system, delivering statutory support, early help, and specialist pathways for children, young people, and their families. Key elements include</w:t>
      </w:r>
      <w:r w:rsidR="00BA64AF">
        <w:t>:</w:t>
      </w:r>
    </w:p>
    <w:p w14:paraId="747C4911" w14:textId="06983EE8" w:rsidR="00D517DB" w:rsidRDefault="00BA64AF" w:rsidP="009858E3">
      <w:pPr>
        <w:pStyle w:val="ListParagraph"/>
        <w:numPr>
          <w:ilvl w:val="0"/>
          <w:numId w:val="35"/>
        </w:numPr>
        <w:spacing w:line="240" w:lineRule="auto"/>
      </w:pPr>
      <w:r>
        <w:t>The</w:t>
      </w:r>
      <w:r w:rsidR="00D517DB">
        <w:t xml:space="preserve"> Transforming Care Keyworker </w:t>
      </w:r>
      <w:r w:rsidR="00D517DB" w:rsidRPr="008D6D63">
        <w:rPr>
          <w:rStyle w:val="Hyperlink"/>
          <w:rFonts w:cstheme="minorBidi"/>
          <w:color w:val="auto"/>
          <w:u w:val="none"/>
        </w:rPr>
        <w:t>programme</w:t>
      </w:r>
      <w:r w:rsidR="00D517DB">
        <w:t xml:space="preserve"> for children and young people with the most complex needs, ensuring coordinated, family-centred support</w:t>
      </w:r>
    </w:p>
    <w:p w14:paraId="7AC442FE" w14:textId="0813D9A8" w:rsidR="00F82899" w:rsidRDefault="00D517DB" w:rsidP="009858E3">
      <w:pPr>
        <w:pStyle w:val="ListParagraph"/>
        <w:numPr>
          <w:ilvl w:val="0"/>
          <w:numId w:val="35"/>
        </w:numPr>
        <w:spacing w:line="240" w:lineRule="auto"/>
      </w:pPr>
      <w:r>
        <w:t xml:space="preserve">Short Breaks offer provides a range of opportunities including access to personal assistants to support disabled children and give families valuable respite, </w:t>
      </w:r>
      <w:r w:rsidR="00D400CF">
        <w:t xml:space="preserve">and </w:t>
      </w:r>
      <w:r>
        <w:t>residential provision within Children’s Services for those requiring more intensive support</w:t>
      </w:r>
    </w:p>
    <w:p w14:paraId="19142E1A" w14:textId="5C013972" w:rsidR="00F82899" w:rsidRDefault="00D517DB" w:rsidP="009858E3">
      <w:pPr>
        <w:pStyle w:val="ListParagraph"/>
        <w:numPr>
          <w:ilvl w:val="0"/>
          <w:numId w:val="35"/>
        </w:numPr>
        <w:spacing w:line="240" w:lineRule="auto"/>
      </w:pPr>
      <w:r>
        <w:lastRenderedPageBreak/>
        <w:t>Social Care and Family Help services, including the Family Information Service, Family Hubs, and the Front Door for Families, offer assessment, guidance, group work, early help interventions, online support and outreach to families across the city</w:t>
      </w:r>
    </w:p>
    <w:p w14:paraId="52D9FFC6" w14:textId="77D57B23" w:rsidR="00F82899" w:rsidRDefault="00D517DB" w:rsidP="009858E3">
      <w:pPr>
        <w:pStyle w:val="ListParagraph"/>
        <w:numPr>
          <w:ilvl w:val="0"/>
          <w:numId w:val="35"/>
        </w:numPr>
        <w:spacing w:line="240" w:lineRule="auto"/>
      </w:pPr>
      <w:r>
        <w:t>Schools are supported through the Schools Mental Health Service, deliver</w:t>
      </w:r>
      <w:r w:rsidR="005055B1">
        <w:t>ing</w:t>
      </w:r>
      <w:r>
        <w:t xml:space="preserve"> group interventions, therapeutic support, staff training, and whole-school approaches to emotional wellbeing</w:t>
      </w:r>
    </w:p>
    <w:p w14:paraId="459A2D17" w14:textId="363964BA" w:rsidR="00D517DB" w:rsidRDefault="00D517DB" w:rsidP="009858E3">
      <w:pPr>
        <w:pStyle w:val="ListParagraph"/>
        <w:numPr>
          <w:ilvl w:val="0"/>
          <w:numId w:val="35"/>
        </w:numPr>
        <w:spacing w:line="240" w:lineRule="auto"/>
      </w:pPr>
      <w:r>
        <w:t xml:space="preserve">Adult Social Care provides assessment from age 18, with eligible individuals accessing community-based support, Direct Payments, and carer services. </w:t>
      </w:r>
    </w:p>
    <w:p w14:paraId="6846388F" w14:textId="2449D388" w:rsidR="00D517DB" w:rsidRDefault="00D517DB" w:rsidP="00D9246A">
      <w:pPr>
        <w:pStyle w:val="Heading2"/>
        <w:spacing w:before="0" w:after="120"/>
      </w:pPr>
      <w:r w:rsidRPr="006D3765">
        <w:t>Wider support services</w:t>
      </w:r>
      <w:r w:rsidR="009F1CFE">
        <w:t xml:space="preserve"> (</w:t>
      </w:r>
      <w:r w:rsidR="003A07E9">
        <w:t xml:space="preserve">community and </w:t>
      </w:r>
      <w:r w:rsidR="003A07E9">
        <w:rPr>
          <w:bCs/>
        </w:rPr>
        <w:t>v</w:t>
      </w:r>
      <w:r w:rsidR="00A5447D" w:rsidRPr="00E5765B">
        <w:rPr>
          <w:bCs/>
        </w:rPr>
        <w:t>oluntary</w:t>
      </w:r>
      <w:r w:rsidR="003A07E9">
        <w:rPr>
          <w:bCs/>
        </w:rPr>
        <w:t xml:space="preserve"> </w:t>
      </w:r>
      <w:r w:rsidR="00A5447D" w:rsidRPr="00E5765B">
        <w:rPr>
          <w:bCs/>
        </w:rPr>
        <w:t>sector</w:t>
      </w:r>
      <w:r w:rsidR="003A07E9">
        <w:rPr>
          <w:bCs/>
        </w:rPr>
        <w:t>)</w:t>
      </w:r>
    </w:p>
    <w:p w14:paraId="68F4A422" w14:textId="3AC703F5" w:rsidR="00D517DB" w:rsidRPr="00E5765B" w:rsidRDefault="002D082A" w:rsidP="009F1CFE">
      <w:pPr>
        <w:pStyle w:val="Heading3"/>
      </w:pPr>
      <w:r>
        <w:t>Amaze</w:t>
      </w:r>
    </w:p>
    <w:p w14:paraId="0C49928F" w14:textId="1A44D194" w:rsidR="00D517DB" w:rsidRDefault="00D517DB" w:rsidP="00D9246A">
      <w:pPr>
        <w:spacing w:line="240" w:lineRule="auto"/>
      </w:pPr>
      <w:r w:rsidRPr="1A54817D">
        <w:t xml:space="preserve">Amaze plays a pivotal </w:t>
      </w:r>
      <w:r w:rsidRPr="008D6D63">
        <w:rPr>
          <w:rStyle w:val="Hyperlink"/>
          <w:rFonts w:cstheme="minorBidi"/>
          <w:color w:val="auto"/>
          <w:u w:val="none"/>
        </w:rPr>
        <w:t>role</w:t>
      </w:r>
      <w:r w:rsidRPr="1A54817D">
        <w:t xml:space="preserve"> in supporting families of children and young people with SEND across </w:t>
      </w:r>
      <w:r w:rsidR="00873A65">
        <w:t>the city</w:t>
      </w:r>
      <w:r w:rsidRPr="1A54817D">
        <w:t>, offering a range of independent information, advice and guidance</w:t>
      </w:r>
      <w:r w:rsidR="00F42057">
        <w:t xml:space="preserve"> (Figure </w:t>
      </w:r>
      <w:r w:rsidR="004A29D9">
        <w:t>8</w:t>
      </w:r>
      <w:r w:rsidR="00F42057">
        <w:t xml:space="preserve">). </w:t>
      </w:r>
      <w:r w:rsidR="00F42057">
        <w:rPr>
          <w:rStyle w:val="Hyperlink"/>
          <w:rFonts w:cstheme="minorBidi"/>
          <w:color w:val="auto"/>
          <w:u w:val="none"/>
        </w:rPr>
        <w:t>T</w:t>
      </w:r>
      <w:r w:rsidR="00F42057" w:rsidRPr="1A54817D">
        <w:t>hese services form a vital layer of community-based support, empowering families, strengthening participation, and promoting positive outcomes throughout the SEND journey.</w:t>
      </w:r>
    </w:p>
    <w:p w14:paraId="3A78C22E" w14:textId="5EE28C2A" w:rsidR="003B37F6" w:rsidRPr="003B37F6" w:rsidRDefault="003B37F6" w:rsidP="003B37F6">
      <w:pPr>
        <w:pStyle w:val="Caption"/>
        <w:rPr>
          <w:color w:val="A65588"/>
        </w:rPr>
      </w:pPr>
      <w:r w:rsidRPr="003B37F6">
        <w:rPr>
          <w:color w:val="A65588"/>
        </w:rPr>
        <w:t xml:space="preserve">Figure </w:t>
      </w:r>
      <w:r w:rsidR="00CA2D43">
        <w:rPr>
          <w:color w:val="A65588"/>
        </w:rPr>
        <w:fldChar w:fldCharType="begin"/>
      </w:r>
      <w:r w:rsidR="00CA2D43">
        <w:rPr>
          <w:color w:val="A65588"/>
        </w:rPr>
        <w:instrText xml:space="preserve"> SEQ Figure \* ARABIC </w:instrText>
      </w:r>
      <w:r w:rsidR="00CA2D43">
        <w:rPr>
          <w:color w:val="A65588"/>
        </w:rPr>
        <w:fldChar w:fldCharType="separate"/>
      </w:r>
      <w:r w:rsidR="00CA2D43">
        <w:rPr>
          <w:noProof/>
          <w:color w:val="A65588"/>
        </w:rPr>
        <w:t>8</w:t>
      </w:r>
      <w:r w:rsidR="00CA2D43">
        <w:rPr>
          <w:color w:val="A65588"/>
        </w:rPr>
        <w:fldChar w:fldCharType="end"/>
      </w:r>
      <w:r w:rsidRPr="003B37F6">
        <w:rPr>
          <w:color w:val="A65588"/>
        </w:rPr>
        <w:t>: Amaze support for families of children and young people with SEND in Brighton &amp; Hove</w:t>
      </w:r>
    </w:p>
    <w:p w14:paraId="37373A99" w14:textId="5CCFC364" w:rsidR="00613586" w:rsidRDefault="00613586" w:rsidP="00D9246A">
      <w:pPr>
        <w:spacing w:line="240" w:lineRule="auto"/>
      </w:pPr>
      <w:r>
        <w:rPr>
          <w:rFonts w:cs="Arial"/>
          <w:noProof/>
          <w:szCs w:val="24"/>
        </w:rPr>
        <w:drawing>
          <wp:inline distT="0" distB="0" distL="0" distR="0" wp14:anchorId="2987BBEE" wp14:editId="6C3617D1">
            <wp:extent cx="6188710" cy="2400300"/>
            <wp:effectExtent l="38100" t="19050" r="21590" b="57150"/>
            <wp:docPr id="1474322239" name="Diagram 9" descr="The nine priorities presented in coloured boxes:&#10;• Co-production&#10;• Information and communication&#10;• Systems and processes to support good outcomes&#10;• Education&#10;• Employment&#10;• Friends and community inclusion&#10;• Health&#10;• Independent living&#10;• Transitional safeguarding.&#10;&#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79A92353" w14:textId="62A05B44" w:rsidR="00D517DB" w:rsidRPr="00235183" w:rsidRDefault="00235183" w:rsidP="009F1CFE">
      <w:pPr>
        <w:pStyle w:val="Heading3"/>
      </w:pPr>
      <w:r w:rsidRPr="00235183">
        <w:t>Other</w:t>
      </w:r>
      <w:r w:rsidR="00D517DB" w:rsidRPr="00235183">
        <w:t xml:space="preserve"> </w:t>
      </w:r>
      <w:r w:rsidRPr="00235183">
        <w:t>community and voluntary</w:t>
      </w:r>
      <w:r w:rsidR="009A7E69">
        <w:t xml:space="preserve"> </w:t>
      </w:r>
      <w:r w:rsidRPr="00235183">
        <w:t>sector</w:t>
      </w:r>
      <w:r w:rsidR="00D517DB" w:rsidRPr="00235183">
        <w:t xml:space="preserve"> services </w:t>
      </w:r>
    </w:p>
    <w:p w14:paraId="68BD1FB6" w14:textId="1F6D9E91" w:rsidR="00D517DB" w:rsidRDefault="00D517DB" w:rsidP="00D9246A">
      <w:pPr>
        <w:spacing w:line="240" w:lineRule="auto"/>
      </w:pPr>
      <w:r>
        <w:t>A strong network of community and voluntary-sector organisations complements statutory SEND provision in Brighton &amp; Hove, offering specialist support, peer engagement, and accessible pathways for children, young people and families.</w:t>
      </w:r>
      <w:r w:rsidR="00EE2C93" w:rsidRPr="00EE2C93">
        <w:t xml:space="preserve"> </w:t>
      </w:r>
      <w:r w:rsidR="00EE2C93" w:rsidRPr="002A3DAD">
        <w:t>Together, these organisations contribute to a rich, community-based ecosystem that enhances inclusion, wellbeing and resilience across the SEND pathway</w:t>
      </w:r>
      <w:r w:rsidR="0028071C">
        <w:t>:</w:t>
      </w:r>
    </w:p>
    <w:p w14:paraId="3A766CFF" w14:textId="15501AB5" w:rsidR="00D517DB" w:rsidRDefault="00D517DB" w:rsidP="009858E3">
      <w:pPr>
        <w:pStyle w:val="ListParagraph"/>
        <w:numPr>
          <w:ilvl w:val="0"/>
          <w:numId w:val="35"/>
        </w:numPr>
        <w:spacing w:line="240" w:lineRule="auto"/>
      </w:pPr>
      <w:r>
        <w:t>Parent Carers’ Council (PaCC) plays a central role in co-production and parent-carer engagement, ensuring that lived experience informs local policy and practice.</w:t>
      </w:r>
    </w:p>
    <w:p w14:paraId="31933FA5" w14:textId="73D78868" w:rsidR="0028071C" w:rsidRDefault="00D517DB" w:rsidP="009858E3">
      <w:pPr>
        <w:pStyle w:val="ListParagraph"/>
        <w:numPr>
          <w:ilvl w:val="0"/>
          <w:numId w:val="35"/>
        </w:numPr>
        <w:spacing w:line="240" w:lineRule="auto"/>
      </w:pPr>
      <w:r>
        <w:t>Mental health and wellbeing support is strengthened through charities such as Mind in Brighton &amp; Hove, which provides workshops, mentoring, advocacy and direct advice</w:t>
      </w:r>
    </w:p>
    <w:p w14:paraId="2CDFBE0E" w14:textId="38E5AE8B" w:rsidR="0028071C" w:rsidRDefault="00D517DB" w:rsidP="009858E3">
      <w:pPr>
        <w:pStyle w:val="ListParagraph"/>
        <w:numPr>
          <w:ilvl w:val="0"/>
          <w:numId w:val="35"/>
        </w:numPr>
        <w:spacing w:line="240" w:lineRule="auto"/>
      </w:pPr>
      <w:r>
        <w:t>A range of youth-focused services enhance outcomes for young people, including YMCA mentoring for those in education, employment or training</w:t>
      </w:r>
    </w:p>
    <w:p w14:paraId="67AE169D" w14:textId="77777777" w:rsidR="0028071C" w:rsidRDefault="00D517DB" w:rsidP="009858E3">
      <w:pPr>
        <w:pStyle w:val="ListParagraph"/>
        <w:numPr>
          <w:ilvl w:val="0"/>
          <w:numId w:val="35"/>
        </w:numPr>
        <w:spacing w:line="240" w:lineRule="auto"/>
      </w:pPr>
      <w:proofErr w:type="spellStart"/>
      <w:r>
        <w:t>Allsorts</w:t>
      </w:r>
      <w:proofErr w:type="spellEnd"/>
      <w:r>
        <w:t xml:space="preserve"> Youth Service delivers groups, activities, one-to-one support, family programmes and anti-LGBT-phobia training</w:t>
      </w:r>
    </w:p>
    <w:p w14:paraId="0CA0F661" w14:textId="77777777" w:rsidR="0028071C" w:rsidRDefault="00D517DB" w:rsidP="009858E3">
      <w:pPr>
        <w:pStyle w:val="ListParagraph"/>
        <w:numPr>
          <w:ilvl w:val="0"/>
          <w:numId w:val="35"/>
        </w:numPr>
        <w:spacing w:line="240" w:lineRule="auto"/>
      </w:pPr>
      <w:r>
        <w:t xml:space="preserve">Peer-support networks such as </w:t>
      </w:r>
      <w:proofErr w:type="spellStart"/>
      <w:r>
        <w:t>mASCot</w:t>
      </w:r>
      <w:proofErr w:type="spellEnd"/>
      <w:r>
        <w:t xml:space="preserve"> offer valuable connection for parent carers and neurodivergent children</w:t>
      </w:r>
    </w:p>
    <w:p w14:paraId="6C405158" w14:textId="16189E17" w:rsidR="00D517DB" w:rsidRPr="00EC2C3A" w:rsidRDefault="00D517DB" w:rsidP="009858E3">
      <w:pPr>
        <w:pStyle w:val="ListParagraph"/>
        <w:numPr>
          <w:ilvl w:val="0"/>
          <w:numId w:val="35"/>
        </w:numPr>
        <w:spacing w:line="240" w:lineRule="auto"/>
      </w:pPr>
      <w:r>
        <w:t>Spiral and Carousel provide clubs and activities for adults with learning disabilities.</w:t>
      </w:r>
    </w:p>
    <w:p w14:paraId="22B2AFAB" w14:textId="69D34B43" w:rsidR="0028071C" w:rsidRDefault="00D517DB" w:rsidP="009858E3">
      <w:pPr>
        <w:pStyle w:val="ListParagraph"/>
        <w:numPr>
          <w:ilvl w:val="0"/>
          <w:numId w:val="35"/>
        </w:numPr>
        <w:spacing w:line="240" w:lineRule="auto"/>
      </w:pPr>
      <w:r w:rsidRPr="002A3DAD">
        <w:lastRenderedPageBreak/>
        <w:t xml:space="preserve">Young Minds </w:t>
      </w:r>
      <w:r w:rsidR="002A2AC2">
        <w:t>(national organisation) provides</w:t>
      </w:r>
      <w:r w:rsidRPr="002A3DAD">
        <w:t xml:space="preserve"> further guidance through helplines, digital resources and training</w:t>
      </w:r>
    </w:p>
    <w:p w14:paraId="424A4F50" w14:textId="77777777" w:rsidR="00127F2B" w:rsidRDefault="00D517DB" w:rsidP="009858E3">
      <w:pPr>
        <w:pStyle w:val="ListParagraph"/>
        <w:numPr>
          <w:ilvl w:val="0"/>
          <w:numId w:val="35"/>
        </w:numPr>
        <w:spacing w:line="240" w:lineRule="auto"/>
      </w:pPr>
      <w:r w:rsidRPr="002A3DAD">
        <w:t>The Youth Employability Service supports young people preparing for the world of work</w:t>
      </w:r>
    </w:p>
    <w:p w14:paraId="7A095297" w14:textId="3C3536D0" w:rsidR="00127F2B" w:rsidRDefault="00D517DB" w:rsidP="009858E3">
      <w:pPr>
        <w:pStyle w:val="ListParagraph"/>
        <w:numPr>
          <w:ilvl w:val="0"/>
          <w:numId w:val="35"/>
        </w:numPr>
        <w:spacing w:line="240" w:lineRule="auto"/>
      </w:pPr>
      <w:r w:rsidRPr="002A3DAD">
        <w:t>Brighton &amp; Hove Recovery College provides free courses on topics such as “Understanding Autism” and “Autism and Employment” for autistic adults and those who support them</w:t>
      </w:r>
    </w:p>
    <w:p w14:paraId="213DB626" w14:textId="77777777" w:rsidR="00127F2B" w:rsidRDefault="00D517DB" w:rsidP="009858E3">
      <w:pPr>
        <w:pStyle w:val="ListParagraph"/>
        <w:numPr>
          <w:ilvl w:val="0"/>
          <w:numId w:val="35"/>
        </w:numPr>
        <w:spacing w:line="240" w:lineRule="auto"/>
      </w:pPr>
      <w:r w:rsidRPr="002A3DAD">
        <w:t xml:space="preserve">Additional adult peer-support communities, including Brighton Autistic Movement, Brighton Neurodivergent Community and ADHD Aware, offer safe, identity-affirming spaces for autistic and neurodivergent adults. </w:t>
      </w:r>
    </w:p>
    <w:p w14:paraId="3DAD8DA2" w14:textId="77777777" w:rsidR="00D517DB" w:rsidRPr="009F097A" w:rsidRDefault="00D517DB" w:rsidP="00D9246A">
      <w:pPr>
        <w:pStyle w:val="Heading2"/>
        <w:spacing w:before="0" w:after="120"/>
        <w:rPr>
          <w:rFonts w:eastAsiaTheme="minorHAnsi"/>
        </w:rPr>
      </w:pPr>
      <w:r w:rsidRPr="00B71F68">
        <w:t xml:space="preserve">Gaps in service provision and opportunities for development </w:t>
      </w:r>
    </w:p>
    <w:p w14:paraId="461F471C" w14:textId="675CDC40" w:rsidR="00D517DB" w:rsidRDefault="00D517DB" w:rsidP="00D9246A">
      <w:pPr>
        <w:spacing w:line="240" w:lineRule="auto"/>
      </w:pPr>
      <w:r w:rsidRPr="1A54817D">
        <w:t>Despite the breadth of SEND provision in Brighton &amp; Hove, several gaps and opportunities for development remain</w:t>
      </w:r>
      <w:r w:rsidR="00A7206C">
        <w:t>:</w:t>
      </w:r>
      <w:r w:rsidRPr="1A54817D">
        <w:t xml:space="preserve"> </w:t>
      </w:r>
    </w:p>
    <w:p w14:paraId="38F7CD0C" w14:textId="733DCFA5" w:rsidR="00D517DB" w:rsidRDefault="00D517DB" w:rsidP="009858E3">
      <w:pPr>
        <w:pStyle w:val="ListParagraph"/>
        <w:numPr>
          <w:ilvl w:val="0"/>
          <w:numId w:val="35"/>
        </w:numPr>
        <w:spacing w:line="240" w:lineRule="auto"/>
      </w:pPr>
      <w:r w:rsidRPr="1A54817D">
        <w:t xml:space="preserve">Neurodevelopmental (ND) assessments and support are heavily focused on Autism and ADHD, creating inequalities for individuals with other ND profiles, such as Tourette’s, </w:t>
      </w:r>
      <w:proofErr w:type="spellStart"/>
      <w:r w:rsidR="00317A2A" w:rsidRPr="00317A2A">
        <w:t>Fetal</w:t>
      </w:r>
      <w:proofErr w:type="spellEnd"/>
      <w:r w:rsidR="00317A2A" w:rsidRPr="00317A2A">
        <w:t xml:space="preserve"> Alcohol Spectrum Disorder</w:t>
      </w:r>
      <w:r w:rsidR="00317A2A">
        <w:t xml:space="preserve"> (</w:t>
      </w:r>
      <w:r w:rsidRPr="1A54817D">
        <w:t>FASD</w:t>
      </w:r>
      <w:r w:rsidR="00317A2A">
        <w:t>)</w:t>
      </w:r>
      <w:r w:rsidRPr="1A54817D">
        <w:t xml:space="preserve">, </w:t>
      </w:r>
      <w:r w:rsidR="00101CA5" w:rsidRPr="00101CA5">
        <w:t>Avoidant/Restrictive Food Intake Disorder</w:t>
      </w:r>
      <w:r w:rsidR="00C26260">
        <w:t xml:space="preserve"> (</w:t>
      </w:r>
      <w:r w:rsidRPr="1A54817D">
        <w:t>ARFID</w:t>
      </w:r>
      <w:r w:rsidR="00C26260">
        <w:t>)</w:t>
      </w:r>
      <w:r w:rsidRPr="1A54817D">
        <w:t>, sensory processing differences, specific learning difficulties, or developmental coordination disorder</w:t>
      </w:r>
    </w:p>
    <w:p w14:paraId="2C937041" w14:textId="608EE032" w:rsidR="00E135E9" w:rsidRDefault="00D517DB" w:rsidP="009858E3">
      <w:pPr>
        <w:pStyle w:val="ListParagraph"/>
        <w:numPr>
          <w:ilvl w:val="0"/>
          <w:numId w:val="35"/>
        </w:numPr>
        <w:spacing w:line="240" w:lineRule="auto"/>
      </w:pPr>
      <w:r w:rsidRPr="1A54817D">
        <w:t>Existing data may not reflect the complexity of need, as Autism is often recorded as the primary need even when it forms part of a broader SEND profile</w:t>
      </w:r>
    </w:p>
    <w:p w14:paraId="158210F7" w14:textId="4E9CE050" w:rsidR="00D517DB" w:rsidRDefault="00D517DB" w:rsidP="009858E3">
      <w:pPr>
        <w:pStyle w:val="ListParagraph"/>
        <w:numPr>
          <w:ilvl w:val="0"/>
          <w:numId w:val="35"/>
        </w:numPr>
        <w:spacing w:line="240" w:lineRule="auto"/>
      </w:pPr>
      <w:r w:rsidRPr="1A54817D">
        <w:t xml:space="preserve">Opportunities exist to enhance joint working between providers, </w:t>
      </w:r>
      <w:r w:rsidR="00FC0F16">
        <w:t>e.g.</w:t>
      </w:r>
      <w:r w:rsidRPr="1A54817D">
        <w:t xml:space="preserve"> through combined Autism and ADHD assessments, and to create more integrated pathways and care oversight for individuals with complex or multiple needs</w:t>
      </w:r>
    </w:p>
    <w:p w14:paraId="430D95FB" w14:textId="77777777" w:rsidR="00A7206C" w:rsidRDefault="00D517DB" w:rsidP="009858E3">
      <w:pPr>
        <w:pStyle w:val="ListParagraph"/>
        <w:numPr>
          <w:ilvl w:val="0"/>
          <w:numId w:val="35"/>
        </w:numPr>
        <w:spacing w:line="240" w:lineRule="auto"/>
      </w:pPr>
      <w:r w:rsidRPr="1A54817D">
        <w:t xml:space="preserve">Additionally, there is a need for clearer assessment guidance and more consistent support across adult services for those with less commonly recognised ND conditions. </w:t>
      </w:r>
    </w:p>
    <w:p w14:paraId="39D191C6" w14:textId="036489F8" w:rsidR="00D517DB" w:rsidRPr="00595FE6" w:rsidRDefault="00D517DB" w:rsidP="00D9246A">
      <w:pPr>
        <w:spacing w:line="240" w:lineRule="auto"/>
        <w:rPr>
          <w:rFonts w:cs="Arial"/>
          <w:szCs w:val="24"/>
        </w:rPr>
      </w:pPr>
      <w:r w:rsidRPr="1A54817D">
        <w:t>Addressing these gaps would improve equity, early identification, and coordinated care for all children, young people, and adults across the city.</w:t>
      </w:r>
      <w:r w:rsidRPr="00595FE6">
        <w:rPr>
          <w:rFonts w:cs="Arial"/>
          <w:szCs w:val="24"/>
        </w:rPr>
        <w:br w:type="page"/>
      </w:r>
    </w:p>
    <w:p w14:paraId="2253C6FA" w14:textId="0D77066E" w:rsidR="00B92BE3" w:rsidRPr="00595FE6" w:rsidRDefault="005A513D" w:rsidP="00D9246A">
      <w:pPr>
        <w:pStyle w:val="Heading1"/>
        <w:spacing w:before="0"/>
      </w:pPr>
      <w:bookmarkStart w:id="190" w:name="_Toc218690642"/>
      <w:r w:rsidRPr="00595FE6">
        <w:lastRenderedPageBreak/>
        <w:t xml:space="preserve">National </w:t>
      </w:r>
      <w:r w:rsidR="0043497D">
        <w:t>prevalence</w:t>
      </w:r>
      <w:bookmarkEnd w:id="190"/>
    </w:p>
    <w:p w14:paraId="178C64D1" w14:textId="1F160A6B" w:rsidR="00C22A64" w:rsidRPr="001756C1" w:rsidRDefault="000A781E" w:rsidP="00D9246A">
      <w:pPr>
        <w:pStyle w:val="Heading2"/>
        <w:spacing w:before="0" w:after="120"/>
      </w:pPr>
      <w:r w:rsidRPr="001756C1">
        <w:t xml:space="preserve">Disabled children and young people – the </w:t>
      </w:r>
      <w:r w:rsidR="00C22A64" w:rsidRPr="001756C1">
        <w:t xml:space="preserve">Family Resources Survey </w:t>
      </w:r>
      <w:r w:rsidR="00D80540">
        <w:t>2</w:t>
      </w:r>
      <w:r w:rsidR="19F4CFEC">
        <w:t>022</w:t>
      </w:r>
      <w:r w:rsidR="00C22A64" w:rsidRPr="001756C1">
        <w:t xml:space="preserve">-2023 </w:t>
      </w:r>
    </w:p>
    <w:p w14:paraId="0004562F" w14:textId="77777777" w:rsidR="00C22A64" w:rsidRPr="00595FE6" w:rsidRDefault="00C22A64" w:rsidP="00D9246A">
      <w:pPr>
        <w:spacing w:line="240" w:lineRule="auto"/>
        <w:rPr>
          <w:rFonts w:cs="Arial"/>
          <w:color w:val="000000" w:themeColor="text1"/>
          <w:szCs w:val="24"/>
        </w:rPr>
      </w:pPr>
      <w:r w:rsidRPr="00595FE6">
        <w:rPr>
          <w:rFonts w:cs="Arial"/>
          <w:color w:val="000000" w:themeColor="text1"/>
          <w:szCs w:val="24"/>
        </w:rPr>
        <w:t xml:space="preserve">The Department for Work and Pensions Family Resources Survey (FRS) is an annual survey, </w:t>
      </w:r>
      <w:r w:rsidRPr="008D6D63">
        <w:t>representative</w:t>
      </w:r>
      <w:r w:rsidRPr="00595FE6">
        <w:rPr>
          <w:rFonts w:cs="Arial"/>
          <w:color w:val="000000" w:themeColor="text1"/>
          <w:szCs w:val="24"/>
        </w:rPr>
        <w:t xml:space="preserve"> of private households, that provides information about the incomes and living conditions of households and families in the UK, including disability. The latest survey was in 2022/23 and had just over 25,000 respondents.</w:t>
      </w:r>
      <w:r w:rsidRPr="00595FE6">
        <w:rPr>
          <w:rStyle w:val="EndnoteReference"/>
          <w:rFonts w:cs="Arial"/>
          <w:color w:val="000000" w:themeColor="text1"/>
          <w:szCs w:val="24"/>
        </w:rPr>
        <w:endnoteReference w:id="48"/>
      </w:r>
      <w:r w:rsidRPr="00595FE6">
        <w:rPr>
          <w:rFonts w:cs="Arial"/>
          <w:color w:val="000000" w:themeColor="text1"/>
          <w:szCs w:val="24"/>
        </w:rPr>
        <w:t xml:space="preserve"> </w:t>
      </w:r>
    </w:p>
    <w:p w14:paraId="416AFBA7" w14:textId="77777777" w:rsidR="00C22A64" w:rsidRPr="00595FE6" w:rsidRDefault="00C22A64" w:rsidP="00D9246A">
      <w:pPr>
        <w:spacing w:line="240" w:lineRule="auto"/>
        <w:rPr>
          <w:rFonts w:cs="Arial"/>
          <w:color w:val="000000" w:themeColor="text1"/>
          <w:szCs w:val="24"/>
        </w:rPr>
      </w:pPr>
      <w:r w:rsidRPr="00595FE6">
        <w:rPr>
          <w:rFonts w:cs="Arial"/>
          <w:color w:val="000000" w:themeColor="text1"/>
          <w:szCs w:val="24"/>
        </w:rPr>
        <w:t xml:space="preserve">The terms used are those defined within the Family Resources Survey. FRS defines disability in accordance with the Equality Act 2010. A person is considered to have disability if they have a physical or mental impairment that has ‘substantial’ and ‘long term’ negative effects on their ability to do normal daily activities. </w:t>
      </w:r>
    </w:p>
    <w:p w14:paraId="40450073" w14:textId="77777777" w:rsidR="00C22A64" w:rsidRPr="00595FE6" w:rsidRDefault="00C22A64" w:rsidP="00D9246A">
      <w:pPr>
        <w:spacing w:line="240" w:lineRule="auto"/>
        <w:rPr>
          <w:rFonts w:cs="Arial"/>
          <w:color w:val="000000" w:themeColor="text1"/>
          <w:szCs w:val="24"/>
        </w:rPr>
      </w:pPr>
      <w:r w:rsidRPr="00D400CF">
        <w:rPr>
          <w:rFonts w:cs="Arial"/>
          <w:b/>
          <w:color w:val="0079C2"/>
          <w:szCs w:val="24"/>
        </w:rPr>
        <w:t>Disability prevalence by age:</w:t>
      </w:r>
      <w:r w:rsidRPr="00D400CF">
        <w:rPr>
          <w:rFonts w:cs="Arial"/>
          <w:color w:val="0079C2"/>
          <w:szCs w:val="24"/>
        </w:rPr>
        <w:t xml:space="preserve"> </w:t>
      </w:r>
      <w:r w:rsidRPr="00595FE6">
        <w:rPr>
          <w:rFonts w:cs="Arial"/>
          <w:color w:val="000000" w:themeColor="text1"/>
          <w:szCs w:val="24"/>
        </w:rPr>
        <w:t>11% of children</w:t>
      </w:r>
      <w:bookmarkStart w:id="191" w:name="_Ref193884202"/>
      <w:r w:rsidRPr="00595FE6">
        <w:rPr>
          <w:rStyle w:val="FootnoteReference"/>
          <w:rFonts w:cs="Arial"/>
          <w:color w:val="000000" w:themeColor="text1"/>
          <w:szCs w:val="24"/>
        </w:rPr>
        <w:footnoteReference w:id="3"/>
      </w:r>
      <w:bookmarkEnd w:id="191"/>
      <w:r w:rsidRPr="00595FE6">
        <w:rPr>
          <w:rFonts w:cs="Arial"/>
          <w:color w:val="000000" w:themeColor="text1"/>
          <w:szCs w:val="24"/>
        </w:rPr>
        <w:t xml:space="preserve"> in the UK had a disability, an increase from 7% in 2012-2013. </w:t>
      </w:r>
    </w:p>
    <w:p w14:paraId="322F07C1" w14:textId="5DD2C7F3" w:rsidR="00C22A64" w:rsidRPr="00595FE6" w:rsidRDefault="00C22A64" w:rsidP="00D9246A">
      <w:pPr>
        <w:spacing w:line="240" w:lineRule="auto"/>
        <w:rPr>
          <w:rFonts w:cs="Arial"/>
          <w:color w:val="000000" w:themeColor="text1"/>
          <w:szCs w:val="24"/>
        </w:rPr>
      </w:pPr>
      <w:r w:rsidRPr="00D400CF">
        <w:rPr>
          <w:rFonts w:cs="Arial"/>
          <w:b/>
          <w:color w:val="0079C2"/>
          <w:szCs w:val="24"/>
        </w:rPr>
        <w:t>Disability prevalence by gender:</w:t>
      </w:r>
      <w:r w:rsidRPr="00D400CF">
        <w:rPr>
          <w:rFonts w:cs="Arial"/>
          <w:color w:val="0079C2"/>
          <w:szCs w:val="24"/>
        </w:rPr>
        <w:t xml:space="preserve"> </w:t>
      </w:r>
      <w:r w:rsidRPr="00595FE6">
        <w:rPr>
          <w:rFonts w:cs="Arial"/>
          <w:color w:val="000000" w:themeColor="text1"/>
          <w:szCs w:val="24"/>
        </w:rPr>
        <w:t xml:space="preserve">For those aged 14 years and younger, there was a higher proportion of disabled males than disabled females (Table </w:t>
      </w:r>
      <w:r w:rsidR="0086319E">
        <w:rPr>
          <w:rFonts w:cs="Arial"/>
          <w:color w:val="000000" w:themeColor="text1"/>
          <w:szCs w:val="24"/>
        </w:rPr>
        <w:t>2</w:t>
      </w:r>
      <w:r w:rsidRPr="00595FE6">
        <w:rPr>
          <w:rFonts w:cs="Arial"/>
          <w:color w:val="000000" w:themeColor="text1"/>
          <w:szCs w:val="24"/>
        </w:rPr>
        <w:t xml:space="preserve">). There was a higher proportion of disabled females than disabled males for those in those aged 15-19 years (13% of males and 16% of </w:t>
      </w:r>
      <w:r w:rsidR="00C02841">
        <w:rPr>
          <w:rFonts w:cs="Arial"/>
          <w:color w:val="000000" w:themeColor="text1"/>
          <w:szCs w:val="24"/>
        </w:rPr>
        <w:t>fe</w:t>
      </w:r>
      <w:r w:rsidRPr="00595FE6">
        <w:rPr>
          <w:rFonts w:cs="Arial"/>
          <w:color w:val="000000" w:themeColor="text1"/>
          <w:szCs w:val="24"/>
        </w:rPr>
        <w:t xml:space="preserve">males) and 20-24 years (15% of males and 19% of </w:t>
      </w:r>
      <w:r w:rsidR="009F42D6">
        <w:rPr>
          <w:rFonts w:cs="Arial"/>
          <w:color w:val="000000" w:themeColor="text1"/>
          <w:szCs w:val="24"/>
        </w:rPr>
        <w:t>fe</w:t>
      </w:r>
      <w:r w:rsidRPr="00595FE6">
        <w:rPr>
          <w:rFonts w:cs="Arial"/>
          <w:color w:val="000000" w:themeColor="text1"/>
          <w:szCs w:val="24"/>
        </w:rPr>
        <w:t>males).</w:t>
      </w:r>
      <w:r w:rsidR="000A781E">
        <w:rPr>
          <w:rFonts w:cs="Arial"/>
          <w:color w:val="000000" w:themeColor="text1"/>
          <w:szCs w:val="24"/>
        </w:rPr>
        <w:t xml:space="preserve"> The FRS only considered binary gender.</w:t>
      </w:r>
    </w:p>
    <w:p w14:paraId="267EE62A" w14:textId="72ABA3E2" w:rsidR="0098598F" w:rsidRPr="00612B12" w:rsidRDefault="000333A9" w:rsidP="00D9246A">
      <w:pPr>
        <w:spacing w:line="240" w:lineRule="auto"/>
        <w:rPr>
          <w:b/>
          <w:color w:val="A65588"/>
        </w:rPr>
      </w:pPr>
      <w:r w:rsidRPr="00612B12">
        <w:rPr>
          <w:b/>
          <w:color w:val="A65588"/>
        </w:rPr>
        <w:t xml:space="preserve">Table </w:t>
      </w:r>
      <w:r w:rsidR="001F7135" w:rsidRPr="00612B12">
        <w:rPr>
          <w:b/>
          <w:color w:val="A65588"/>
        </w:rPr>
        <w:fldChar w:fldCharType="begin"/>
      </w:r>
      <w:r w:rsidR="001F7135" w:rsidRPr="00612B12">
        <w:rPr>
          <w:b/>
          <w:color w:val="A65588"/>
        </w:rPr>
        <w:instrText xml:space="preserve"> SEQ Table \* ARABIC </w:instrText>
      </w:r>
      <w:r w:rsidR="001F7135" w:rsidRPr="00612B12">
        <w:rPr>
          <w:b/>
          <w:color w:val="A65588"/>
        </w:rPr>
        <w:fldChar w:fldCharType="separate"/>
      </w:r>
      <w:r w:rsidR="009A41AE">
        <w:rPr>
          <w:b/>
          <w:noProof/>
          <w:color w:val="A65588"/>
        </w:rPr>
        <w:t>2</w:t>
      </w:r>
      <w:r w:rsidR="001F7135" w:rsidRPr="00612B12">
        <w:rPr>
          <w:b/>
          <w:color w:val="A65588"/>
        </w:rPr>
        <w:fldChar w:fldCharType="end"/>
      </w:r>
      <w:r w:rsidRPr="00612B12">
        <w:rPr>
          <w:b/>
          <w:color w:val="A65588"/>
        </w:rPr>
        <w:t xml:space="preserve">: Prevalence </w:t>
      </w:r>
      <w:r w:rsidR="00991E11" w:rsidRPr="00612B12">
        <w:rPr>
          <w:b/>
          <w:bCs/>
          <w:color w:val="A65588"/>
        </w:rPr>
        <w:t>(%)</w:t>
      </w:r>
      <w:r w:rsidR="006E5129" w:rsidRPr="00612B12">
        <w:rPr>
          <w:b/>
          <w:color w:val="A65588"/>
        </w:rPr>
        <w:t xml:space="preserve"> of people who are disabled aged 0-24 years by age and gender, average of 2020 to 2021, 2021 to 2022</w:t>
      </w:r>
      <w:r w:rsidR="00EB4CA5" w:rsidRPr="00612B12">
        <w:rPr>
          <w:b/>
          <w:color w:val="A65588"/>
        </w:rPr>
        <w:t>,</w:t>
      </w:r>
      <w:r w:rsidR="006E5129" w:rsidRPr="00612B12">
        <w:rPr>
          <w:b/>
          <w:color w:val="A65588"/>
        </w:rPr>
        <w:t xml:space="preserve"> and 2022 to 2023, </w:t>
      </w:r>
      <w:r w:rsidR="00D04830" w:rsidRPr="00612B12">
        <w:rPr>
          <w:b/>
          <w:bCs/>
          <w:color w:val="A65588"/>
        </w:rPr>
        <w:t>UK</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92"/>
        <w:gridCol w:w="2393"/>
        <w:gridCol w:w="2392"/>
        <w:gridCol w:w="2393"/>
      </w:tblGrid>
      <w:tr w:rsidR="00E54A30" w:rsidRPr="00595FE6" w14:paraId="052906D3" w14:textId="77777777">
        <w:tc>
          <w:tcPr>
            <w:tcW w:w="2392" w:type="dxa"/>
            <w:shd w:val="clear" w:color="auto" w:fill="086A76"/>
          </w:tcPr>
          <w:p w14:paraId="1BAD92A4" w14:textId="77777777" w:rsidR="00E54A30" w:rsidRPr="00595FE6" w:rsidRDefault="00E54A30" w:rsidP="00D9246A">
            <w:pPr>
              <w:spacing w:line="240" w:lineRule="auto"/>
              <w:rPr>
                <w:rFonts w:cs="Arial"/>
                <w:b/>
                <w:bCs/>
                <w:color w:val="FFFFFF" w:themeColor="background1"/>
                <w:szCs w:val="24"/>
              </w:rPr>
            </w:pPr>
            <w:r w:rsidRPr="00595FE6">
              <w:rPr>
                <w:rFonts w:cs="Arial"/>
                <w:b/>
                <w:bCs/>
                <w:color w:val="FFFFFF" w:themeColor="background1"/>
                <w:szCs w:val="24"/>
              </w:rPr>
              <w:t>Age group</w:t>
            </w:r>
          </w:p>
        </w:tc>
        <w:tc>
          <w:tcPr>
            <w:tcW w:w="2393" w:type="dxa"/>
            <w:shd w:val="clear" w:color="auto" w:fill="086A76"/>
          </w:tcPr>
          <w:p w14:paraId="6CDF6A61" w14:textId="77777777" w:rsidR="00E54A30" w:rsidRPr="00595FE6" w:rsidRDefault="00E54A30">
            <w:pPr>
              <w:spacing w:line="240" w:lineRule="auto"/>
              <w:jc w:val="center"/>
              <w:rPr>
                <w:rFonts w:cs="Arial"/>
                <w:b/>
                <w:bCs/>
                <w:color w:val="FFFFFF" w:themeColor="background1"/>
                <w:szCs w:val="24"/>
              </w:rPr>
            </w:pPr>
            <w:r w:rsidRPr="00595FE6">
              <w:rPr>
                <w:rFonts w:cs="Arial"/>
                <w:b/>
                <w:bCs/>
                <w:color w:val="FFFFFF" w:themeColor="background1"/>
                <w:szCs w:val="24"/>
              </w:rPr>
              <w:t>% disabled</w:t>
            </w:r>
          </w:p>
          <w:p w14:paraId="5200EC0B" w14:textId="77777777" w:rsidR="00E54A30" w:rsidRPr="00595FE6" w:rsidRDefault="00E54A30">
            <w:pPr>
              <w:spacing w:line="240" w:lineRule="auto"/>
              <w:jc w:val="center"/>
              <w:rPr>
                <w:rFonts w:cs="Arial"/>
                <w:b/>
                <w:bCs/>
                <w:color w:val="FFFFFF" w:themeColor="background1"/>
                <w:szCs w:val="24"/>
              </w:rPr>
            </w:pPr>
            <w:r w:rsidRPr="00595FE6">
              <w:rPr>
                <w:rFonts w:cs="Arial"/>
                <w:b/>
                <w:bCs/>
                <w:color w:val="FFFFFF" w:themeColor="background1"/>
                <w:szCs w:val="24"/>
              </w:rPr>
              <w:t>(all people)</w:t>
            </w:r>
          </w:p>
        </w:tc>
        <w:tc>
          <w:tcPr>
            <w:tcW w:w="2392" w:type="dxa"/>
            <w:shd w:val="clear" w:color="auto" w:fill="086A76"/>
          </w:tcPr>
          <w:p w14:paraId="086C55EA" w14:textId="77777777" w:rsidR="00E54A30" w:rsidRPr="00595FE6" w:rsidRDefault="00E54A30">
            <w:pPr>
              <w:spacing w:line="240" w:lineRule="auto"/>
              <w:jc w:val="center"/>
              <w:rPr>
                <w:rFonts w:cs="Arial"/>
                <w:b/>
                <w:bCs/>
                <w:color w:val="FFFFFF" w:themeColor="background1"/>
                <w:szCs w:val="24"/>
              </w:rPr>
            </w:pPr>
            <w:r w:rsidRPr="00595FE6">
              <w:rPr>
                <w:rFonts w:cs="Arial"/>
                <w:b/>
                <w:bCs/>
                <w:color w:val="FFFFFF" w:themeColor="background1"/>
                <w:szCs w:val="24"/>
              </w:rPr>
              <w:t>% disabled</w:t>
            </w:r>
          </w:p>
          <w:p w14:paraId="3F28A569" w14:textId="77777777" w:rsidR="00E54A30" w:rsidRPr="00595FE6" w:rsidRDefault="00E54A30">
            <w:pPr>
              <w:spacing w:line="240" w:lineRule="auto"/>
              <w:jc w:val="center"/>
              <w:rPr>
                <w:rFonts w:cs="Arial"/>
                <w:b/>
                <w:bCs/>
                <w:color w:val="FFFFFF" w:themeColor="background1"/>
                <w:szCs w:val="24"/>
              </w:rPr>
            </w:pPr>
            <w:r w:rsidRPr="00595FE6">
              <w:rPr>
                <w:rFonts w:cs="Arial"/>
                <w:b/>
                <w:bCs/>
                <w:color w:val="FFFFFF" w:themeColor="background1"/>
                <w:szCs w:val="24"/>
              </w:rPr>
              <w:t>(male)</w:t>
            </w:r>
          </w:p>
        </w:tc>
        <w:tc>
          <w:tcPr>
            <w:tcW w:w="2393" w:type="dxa"/>
            <w:shd w:val="clear" w:color="auto" w:fill="086A76"/>
          </w:tcPr>
          <w:p w14:paraId="155E77DA" w14:textId="77777777" w:rsidR="00E54A30" w:rsidRPr="00595FE6" w:rsidRDefault="00E54A30">
            <w:pPr>
              <w:spacing w:line="240" w:lineRule="auto"/>
              <w:jc w:val="center"/>
              <w:rPr>
                <w:rFonts w:cs="Arial"/>
                <w:b/>
                <w:bCs/>
                <w:color w:val="FFFFFF" w:themeColor="background1"/>
                <w:szCs w:val="24"/>
              </w:rPr>
            </w:pPr>
            <w:r w:rsidRPr="00595FE6">
              <w:rPr>
                <w:rFonts w:cs="Arial"/>
                <w:b/>
                <w:bCs/>
                <w:color w:val="FFFFFF" w:themeColor="background1"/>
                <w:szCs w:val="24"/>
              </w:rPr>
              <w:t>% disabled</w:t>
            </w:r>
          </w:p>
          <w:p w14:paraId="64289D57" w14:textId="77777777" w:rsidR="00E54A30" w:rsidRPr="00595FE6" w:rsidRDefault="00E54A30">
            <w:pPr>
              <w:spacing w:line="240" w:lineRule="auto"/>
              <w:jc w:val="center"/>
              <w:rPr>
                <w:rFonts w:cs="Arial"/>
                <w:b/>
                <w:bCs/>
                <w:color w:val="FFFFFF" w:themeColor="background1"/>
                <w:szCs w:val="24"/>
              </w:rPr>
            </w:pPr>
            <w:r w:rsidRPr="00595FE6">
              <w:rPr>
                <w:rFonts w:cs="Arial"/>
                <w:b/>
                <w:bCs/>
                <w:color w:val="FFFFFF" w:themeColor="background1"/>
                <w:szCs w:val="24"/>
              </w:rPr>
              <w:t>(</w:t>
            </w:r>
            <w:r>
              <w:rPr>
                <w:rFonts w:cs="Arial"/>
                <w:b/>
                <w:bCs/>
                <w:color w:val="FFFFFF" w:themeColor="background1"/>
                <w:szCs w:val="24"/>
              </w:rPr>
              <w:t>fe</w:t>
            </w:r>
            <w:r w:rsidRPr="00595FE6">
              <w:rPr>
                <w:rFonts w:cs="Arial"/>
                <w:b/>
                <w:bCs/>
                <w:color w:val="FFFFFF" w:themeColor="background1"/>
                <w:szCs w:val="24"/>
              </w:rPr>
              <w:t>male)</w:t>
            </w:r>
          </w:p>
        </w:tc>
      </w:tr>
      <w:tr w:rsidR="00E54A30" w:rsidRPr="00595FE6" w14:paraId="65FA919C" w14:textId="77777777">
        <w:tc>
          <w:tcPr>
            <w:tcW w:w="2392" w:type="dxa"/>
          </w:tcPr>
          <w:p w14:paraId="11F77591" w14:textId="77777777" w:rsidR="00E54A30" w:rsidRPr="00595FE6" w:rsidRDefault="00E54A30">
            <w:pPr>
              <w:spacing w:line="240" w:lineRule="auto"/>
              <w:rPr>
                <w:rFonts w:cs="Arial"/>
                <w:szCs w:val="24"/>
              </w:rPr>
            </w:pPr>
            <w:r w:rsidRPr="00595FE6">
              <w:rPr>
                <w:rFonts w:cs="Arial"/>
                <w:szCs w:val="24"/>
              </w:rPr>
              <w:t>0 to 4 years</w:t>
            </w:r>
          </w:p>
        </w:tc>
        <w:tc>
          <w:tcPr>
            <w:tcW w:w="2393" w:type="dxa"/>
          </w:tcPr>
          <w:p w14:paraId="5D65F5E5" w14:textId="77777777" w:rsidR="00E54A30" w:rsidRPr="00595FE6" w:rsidRDefault="00E54A30" w:rsidP="00D9246A">
            <w:pPr>
              <w:spacing w:line="240" w:lineRule="auto"/>
              <w:jc w:val="right"/>
              <w:rPr>
                <w:rFonts w:cs="Arial"/>
                <w:szCs w:val="24"/>
              </w:rPr>
            </w:pPr>
            <w:r w:rsidRPr="00595FE6">
              <w:rPr>
                <w:rFonts w:cs="Arial"/>
                <w:szCs w:val="24"/>
              </w:rPr>
              <w:t>5%</w:t>
            </w:r>
          </w:p>
        </w:tc>
        <w:tc>
          <w:tcPr>
            <w:tcW w:w="2392" w:type="dxa"/>
          </w:tcPr>
          <w:p w14:paraId="2B973134" w14:textId="77777777" w:rsidR="00E54A30" w:rsidRPr="00595FE6" w:rsidRDefault="00E54A30" w:rsidP="00D9246A">
            <w:pPr>
              <w:spacing w:line="240" w:lineRule="auto"/>
              <w:jc w:val="right"/>
              <w:rPr>
                <w:rFonts w:cs="Arial"/>
                <w:szCs w:val="24"/>
              </w:rPr>
            </w:pPr>
            <w:r w:rsidRPr="00595FE6">
              <w:rPr>
                <w:rFonts w:cs="Arial"/>
                <w:szCs w:val="24"/>
              </w:rPr>
              <w:t>7%</w:t>
            </w:r>
          </w:p>
        </w:tc>
        <w:tc>
          <w:tcPr>
            <w:tcW w:w="2393" w:type="dxa"/>
          </w:tcPr>
          <w:p w14:paraId="624757A7" w14:textId="77777777" w:rsidR="00E54A30" w:rsidRPr="00595FE6" w:rsidRDefault="00E54A30" w:rsidP="00D9246A">
            <w:pPr>
              <w:spacing w:line="240" w:lineRule="auto"/>
              <w:jc w:val="right"/>
              <w:rPr>
                <w:rFonts w:cs="Arial"/>
                <w:szCs w:val="24"/>
              </w:rPr>
            </w:pPr>
            <w:r w:rsidRPr="00595FE6">
              <w:rPr>
                <w:rFonts w:cs="Arial"/>
                <w:szCs w:val="24"/>
              </w:rPr>
              <w:t>2%</w:t>
            </w:r>
          </w:p>
        </w:tc>
      </w:tr>
      <w:tr w:rsidR="00E54A30" w:rsidRPr="00595FE6" w14:paraId="1B26DDC2" w14:textId="77777777">
        <w:tc>
          <w:tcPr>
            <w:tcW w:w="2392" w:type="dxa"/>
          </w:tcPr>
          <w:p w14:paraId="58B0F5BF" w14:textId="77777777" w:rsidR="00E54A30" w:rsidRPr="00595FE6" w:rsidRDefault="00E54A30" w:rsidP="00D9246A">
            <w:pPr>
              <w:spacing w:line="240" w:lineRule="auto"/>
              <w:rPr>
                <w:rFonts w:cs="Arial"/>
                <w:szCs w:val="24"/>
              </w:rPr>
            </w:pPr>
            <w:r w:rsidRPr="00595FE6">
              <w:rPr>
                <w:rFonts w:cs="Arial"/>
                <w:szCs w:val="24"/>
              </w:rPr>
              <w:t>5 to 9 years</w:t>
            </w:r>
          </w:p>
        </w:tc>
        <w:tc>
          <w:tcPr>
            <w:tcW w:w="2393" w:type="dxa"/>
          </w:tcPr>
          <w:p w14:paraId="17D085B1" w14:textId="77777777" w:rsidR="00E54A30" w:rsidRPr="00595FE6" w:rsidRDefault="00E54A30" w:rsidP="00D9246A">
            <w:pPr>
              <w:spacing w:line="240" w:lineRule="auto"/>
              <w:jc w:val="right"/>
              <w:rPr>
                <w:rFonts w:cs="Arial"/>
                <w:szCs w:val="24"/>
              </w:rPr>
            </w:pPr>
            <w:r w:rsidRPr="00595FE6">
              <w:rPr>
                <w:rFonts w:cs="Arial"/>
                <w:szCs w:val="24"/>
              </w:rPr>
              <w:t>10%</w:t>
            </w:r>
          </w:p>
        </w:tc>
        <w:tc>
          <w:tcPr>
            <w:tcW w:w="2392" w:type="dxa"/>
          </w:tcPr>
          <w:p w14:paraId="35A5A0F5" w14:textId="77777777" w:rsidR="00E54A30" w:rsidRPr="00595FE6" w:rsidRDefault="00E54A30" w:rsidP="00D9246A">
            <w:pPr>
              <w:spacing w:line="240" w:lineRule="auto"/>
              <w:jc w:val="right"/>
              <w:rPr>
                <w:rFonts w:cs="Arial"/>
                <w:szCs w:val="24"/>
              </w:rPr>
            </w:pPr>
            <w:r w:rsidRPr="00595FE6">
              <w:rPr>
                <w:rFonts w:cs="Arial"/>
                <w:szCs w:val="24"/>
              </w:rPr>
              <w:t>12%</w:t>
            </w:r>
          </w:p>
        </w:tc>
        <w:tc>
          <w:tcPr>
            <w:tcW w:w="2393" w:type="dxa"/>
          </w:tcPr>
          <w:p w14:paraId="2E1C9FB0" w14:textId="77777777" w:rsidR="00E54A30" w:rsidRPr="00595FE6" w:rsidRDefault="00E54A30" w:rsidP="00D9246A">
            <w:pPr>
              <w:spacing w:line="240" w:lineRule="auto"/>
              <w:jc w:val="right"/>
              <w:rPr>
                <w:rFonts w:cs="Arial"/>
                <w:szCs w:val="24"/>
              </w:rPr>
            </w:pPr>
            <w:r w:rsidRPr="00595FE6">
              <w:rPr>
                <w:rFonts w:cs="Arial"/>
                <w:szCs w:val="24"/>
              </w:rPr>
              <w:t>7%</w:t>
            </w:r>
          </w:p>
        </w:tc>
      </w:tr>
      <w:tr w:rsidR="00E54A30" w:rsidRPr="00595FE6" w14:paraId="62F7E9F8" w14:textId="77777777">
        <w:tc>
          <w:tcPr>
            <w:tcW w:w="2392" w:type="dxa"/>
            <w:tcBorders>
              <w:top w:val="single" w:sz="6" w:space="0" w:color="auto"/>
              <w:left w:val="single" w:sz="6" w:space="0" w:color="auto"/>
              <w:bottom w:val="single" w:sz="6" w:space="0" w:color="auto"/>
              <w:right w:val="single" w:sz="6" w:space="0" w:color="auto"/>
            </w:tcBorders>
          </w:tcPr>
          <w:p w14:paraId="3D162582" w14:textId="77777777" w:rsidR="00E54A30" w:rsidRPr="00595FE6" w:rsidRDefault="00E54A30" w:rsidP="00D9246A">
            <w:pPr>
              <w:spacing w:line="240" w:lineRule="auto"/>
              <w:rPr>
                <w:rFonts w:cs="Arial"/>
                <w:szCs w:val="24"/>
              </w:rPr>
            </w:pPr>
            <w:r w:rsidRPr="00595FE6">
              <w:rPr>
                <w:rFonts w:cs="Arial"/>
                <w:szCs w:val="24"/>
              </w:rPr>
              <w:t>10 to 14 years</w:t>
            </w:r>
          </w:p>
        </w:tc>
        <w:tc>
          <w:tcPr>
            <w:tcW w:w="2393" w:type="dxa"/>
            <w:tcBorders>
              <w:top w:val="single" w:sz="6" w:space="0" w:color="auto"/>
              <w:left w:val="single" w:sz="6" w:space="0" w:color="auto"/>
              <w:bottom w:val="single" w:sz="6" w:space="0" w:color="auto"/>
              <w:right w:val="single" w:sz="6" w:space="0" w:color="auto"/>
            </w:tcBorders>
          </w:tcPr>
          <w:p w14:paraId="15A9B163" w14:textId="77777777" w:rsidR="00E54A30" w:rsidRPr="00595FE6" w:rsidRDefault="00E54A30" w:rsidP="00D9246A">
            <w:pPr>
              <w:spacing w:line="240" w:lineRule="auto"/>
              <w:jc w:val="right"/>
              <w:rPr>
                <w:rFonts w:cs="Arial"/>
                <w:szCs w:val="24"/>
              </w:rPr>
            </w:pPr>
            <w:r w:rsidRPr="00595FE6">
              <w:rPr>
                <w:rFonts w:cs="Arial"/>
                <w:szCs w:val="24"/>
              </w:rPr>
              <w:t>14%</w:t>
            </w:r>
          </w:p>
        </w:tc>
        <w:tc>
          <w:tcPr>
            <w:tcW w:w="2392" w:type="dxa"/>
            <w:tcBorders>
              <w:top w:val="single" w:sz="6" w:space="0" w:color="auto"/>
              <w:left w:val="single" w:sz="6" w:space="0" w:color="auto"/>
              <w:bottom w:val="single" w:sz="6" w:space="0" w:color="auto"/>
              <w:right w:val="single" w:sz="6" w:space="0" w:color="auto"/>
            </w:tcBorders>
          </w:tcPr>
          <w:p w14:paraId="2A06EF8B" w14:textId="77777777" w:rsidR="00E54A30" w:rsidRPr="00595FE6" w:rsidRDefault="00E54A30" w:rsidP="00D9246A">
            <w:pPr>
              <w:spacing w:line="240" w:lineRule="auto"/>
              <w:jc w:val="right"/>
              <w:rPr>
                <w:rFonts w:cs="Arial"/>
                <w:szCs w:val="24"/>
              </w:rPr>
            </w:pPr>
            <w:r w:rsidRPr="00595FE6">
              <w:rPr>
                <w:rFonts w:cs="Arial"/>
                <w:szCs w:val="24"/>
              </w:rPr>
              <w:t>15%</w:t>
            </w:r>
          </w:p>
        </w:tc>
        <w:tc>
          <w:tcPr>
            <w:tcW w:w="2393" w:type="dxa"/>
            <w:tcBorders>
              <w:top w:val="single" w:sz="6" w:space="0" w:color="auto"/>
              <w:left w:val="single" w:sz="6" w:space="0" w:color="auto"/>
              <w:bottom w:val="single" w:sz="6" w:space="0" w:color="auto"/>
              <w:right w:val="single" w:sz="6" w:space="0" w:color="auto"/>
            </w:tcBorders>
          </w:tcPr>
          <w:p w14:paraId="67207365" w14:textId="77777777" w:rsidR="00E54A30" w:rsidRPr="00595FE6" w:rsidRDefault="00E54A30" w:rsidP="00D9246A">
            <w:pPr>
              <w:spacing w:line="240" w:lineRule="auto"/>
              <w:jc w:val="right"/>
              <w:rPr>
                <w:rFonts w:cs="Arial"/>
                <w:szCs w:val="24"/>
              </w:rPr>
            </w:pPr>
            <w:r w:rsidRPr="00595FE6">
              <w:rPr>
                <w:rFonts w:cs="Arial"/>
                <w:szCs w:val="24"/>
              </w:rPr>
              <w:t>12%</w:t>
            </w:r>
          </w:p>
        </w:tc>
      </w:tr>
      <w:tr w:rsidR="00E54A30" w:rsidRPr="00595FE6" w14:paraId="73B2CCDC" w14:textId="77777777">
        <w:tc>
          <w:tcPr>
            <w:tcW w:w="2392" w:type="dxa"/>
          </w:tcPr>
          <w:p w14:paraId="5BD7A7BC" w14:textId="77777777" w:rsidR="00E54A30" w:rsidRPr="00595FE6" w:rsidRDefault="00E54A30" w:rsidP="00D9246A">
            <w:pPr>
              <w:spacing w:line="240" w:lineRule="auto"/>
              <w:rPr>
                <w:rFonts w:cs="Arial"/>
                <w:szCs w:val="24"/>
              </w:rPr>
            </w:pPr>
            <w:r w:rsidRPr="00595FE6">
              <w:rPr>
                <w:rFonts w:cs="Arial"/>
                <w:szCs w:val="24"/>
              </w:rPr>
              <w:t>15 to 19 years</w:t>
            </w:r>
          </w:p>
        </w:tc>
        <w:tc>
          <w:tcPr>
            <w:tcW w:w="2393" w:type="dxa"/>
          </w:tcPr>
          <w:p w14:paraId="7B4AAC90" w14:textId="77777777" w:rsidR="00E54A30" w:rsidRPr="00595FE6" w:rsidRDefault="00E54A30" w:rsidP="00D9246A">
            <w:pPr>
              <w:spacing w:line="240" w:lineRule="auto"/>
              <w:jc w:val="right"/>
              <w:rPr>
                <w:rFonts w:cs="Arial"/>
                <w:szCs w:val="24"/>
              </w:rPr>
            </w:pPr>
            <w:r w:rsidRPr="00595FE6">
              <w:rPr>
                <w:rFonts w:cs="Arial"/>
                <w:szCs w:val="24"/>
              </w:rPr>
              <w:t>14%</w:t>
            </w:r>
          </w:p>
        </w:tc>
        <w:tc>
          <w:tcPr>
            <w:tcW w:w="2392" w:type="dxa"/>
          </w:tcPr>
          <w:p w14:paraId="7ACB0546" w14:textId="77777777" w:rsidR="00E54A30" w:rsidRPr="00595FE6" w:rsidRDefault="00E54A30" w:rsidP="00D9246A">
            <w:pPr>
              <w:spacing w:line="240" w:lineRule="auto"/>
              <w:jc w:val="right"/>
              <w:rPr>
                <w:rFonts w:cs="Arial"/>
                <w:szCs w:val="24"/>
              </w:rPr>
            </w:pPr>
            <w:r w:rsidRPr="00595FE6">
              <w:rPr>
                <w:rFonts w:cs="Arial"/>
                <w:szCs w:val="24"/>
              </w:rPr>
              <w:t>13%</w:t>
            </w:r>
          </w:p>
        </w:tc>
        <w:tc>
          <w:tcPr>
            <w:tcW w:w="2393" w:type="dxa"/>
          </w:tcPr>
          <w:p w14:paraId="59963D19" w14:textId="77777777" w:rsidR="00E54A30" w:rsidRPr="00595FE6" w:rsidRDefault="00E54A30" w:rsidP="00D9246A">
            <w:pPr>
              <w:spacing w:line="240" w:lineRule="auto"/>
              <w:jc w:val="right"/>
              <w:rPr>
                <w:rFonts w:cs="Arial"/>
                <w:szCs w:val="24"/>
              </w:rPr>
            </w:pPr>
            <w:r w:rsidRPr="00595FE6">
              <w:rPr>
                <w:rFonts w:cs="Arial"/>
                <w:szCs w:val="24"/>
              </w:rPr>
              <w:t>16%</w:t>
            </w:r>
          </w:p>
        </w:tc>
      </w:tr>
      <w:tr w:rsidR="00E54A30" w:rsidRPr="00595FE6" w14:paraId="44FCF4D4" w14:textId="77777777">
        <w:tc>
          <w:tcPr>
            <w:tcW w:w="2392" w:type="dxa"/>
          </w:tcPr>
          <w:p w14:paraId="2D69F987" w14:textId="77777777" w:rsidR="00E54A30" w:rsidRPr="00595FE6" w:rsidRDefault="00E54A30" w:rsidP="00D9246A">
            <w:pPr>
              <w:spacing w:line="240" w:lineRule="auto"/>
              <w:rPr>
                <w:rFonts w:cs="Arial"/>
                <w:szCs w:val="24"/>
              </w:rPr>
            </w:pPr>
            <w:r w:rsidRPr="00595FE6">
              <w:rPr>
                <w:rFonts w:cs="Arial"/>
                <w:szCs w:val="24"/>
              </w:rPr>
              <w:t>20 to 24 years</w:t>
            </w:r>
          </w:p>
        </w:tc>
        <w:tc>
          <w:tcPr>
            <w:tcW w:w="2393" w:type="dxa"/>
          </w:tcPr>
          <w:p w14:paraId="55966F35" w14:textId="77777777" w:rsidR="00E54A30" w:rsidRPr="00595FE6" w:rsidRDefault="00E54A30" w:rsidP="00D9246A">
            <w:pPr>
              <w:spacing w:line="240" w:lineRule="auto"/>
              <w:jc w:val="right"/>
              <w:rPr>
                <w:rFonts w:cs="Arial"/>
                <w:szCs w:val="24"/>
              </w:rPr>
            </w:pPr>
            <w:r w:rsidRPr="00595FE6">
              <w:rPr>
                <w:rFonts w:cs="Arial"/>
                <w:szCs w:val="24"/>
              </w:rPr>
              <w:t>17%</w:t>
            </w:r>
          </w:p>
        </w:tc>
        <w:tc>
          <w:tcPr>
            <w:tcW w:w="2392" w:type="dxa"/>
          </w:tcPr>
          <w:p w14:paraId="073522D1" w14:textId="77777777" w:rsidR="00E54A30" w:rsidRPr="00595FE6" w:rsidRDefault="00E54A30" w:rsidP="00D9246A">
            <w:pPr>
              <w:spacing w:line="240" w:lineRule="auto"/>
              <w:jc w:val="right"/>
              <w:rPr>
                <w:rFonts w:cs="Arial"/>
                <w:szCs w:val="24"/>
              </w:rPr>
            </w:pPr>
            <w:r w:rsidRPr="00595FE6">
              <w:rPr>
                <w:rFonts w:cs="Arial"/>
                <w:szCs w:val="24"/>
              </w:rPr>
              <w:t>15%</w:t>
            </w:r>
          </w:p>
        </w:tc>
        <w:tc>
          <w:tcPr>
            <w:tcW w:w="2393" w:type="dxa"/>
          </w:tcPr>
          <w:p w14:paraId="1C85683F" w14:textId="77777777" w:rsidR="00E54A30" w:rsidRPr="00595FE6" w:rsidRDefault="00E54A30" w:rsidP="00D9246A">
            <w:pPr>
              <w:keepNext/>
              <w:spacing w:line="240" w:lineRule="auto"/>
              <w:jc w:val="right"/>
              <w:rPr>
                <w:rFonts w:cs="Arial"/>
                <w:szCs w:val="24"/>
              </w:rPr>
            </w:pPr>
            <w:r w:rsidRPr="00595FE6">
              <w:rPr>
                <w:rFonts w:cs="Arial"/>
                <w:szCs w:val="24"/>
              </w:rPr>
              <w:t>19%</w:t>
            </w:r>
          </w:p>
        </w:tc>
      </w:tr>
    </w:tbl>
    <w:p w14:paraId="00E8A7D2" w14:textId="77777777" w:rsidR="00E54A30" w:rsidRPr="009320E0" w:rsidRDefault="00E54A30" w:rsidP="00D9246A">
      <w:pPr>
        <w:pStyle w:val="Caption"/>
      </w:pPr>
      <w:r w:rsidRPr="00D04830">
        <w:rPr>
          <w:rFonts w:cs="Arial"/>
        </w:rPr>
        <w:t>Source:</w:t>
      </w:r>
      <w:r w:rsidRPr="009320E0">
        <w:rPr>
          <w:rFonts w:cs="Arial"/>
        </w:rPr>
        <w:t xml:space="preserve"> </w:t>
      </w:r>
      <w:r w:rsidRPr="009320E0">
        <w:rPr>
          <w:rFonts w:cs="Arial"/>
          <w:b w:val="0"/>
          <w:bCs w:val="0"/>
        </w:rPr>
        <w:t>Family Resources Survey 2022/23 Table 4.3b</w:t>
      </w:r>
    </w:p>
    <w:p w14:paraId="5B1F8687" w14:textId="1BFF8C20" w:rsidR="00C22A64" w:rsidRPr="00595FE6" w:rsidRDefault="00C22A64" w:rsidP="00D9246A">
      <w:pPr>
        <w:spacing w:line="240" w:lineRule="auto"/>
        <w:rPr>
          <w:rFonts w:cs="Arial"/>
          <w:color w:val="000000" w:themeColor="text1"/>
          <w:szCs w:val="24"/>
        </w:rPr>
      </w:pPr>
      <w:r w:rsidRPr="00D400CF">
        <w:rPr>
          <w:rFonts w:cs="Arial"/>
          <w:b/>
          <w:color w:val="0079C2"/>
          <w:szCs w:val="24"/>
        </w:rPr>
        <w:t>Disability prevalence by impairment type (by age):</w:t>
      </w:r>
      <w:r w:rsidRPr="00D400CF">
        <w:rPr>
          <w:rFonts w:cs="Arial"/>
          <w:color w:val="0079C2"/>
          <w:szCs w:val="24"/>
        </w:rPr>
        <w:t xml:space="preserve"> </w:t>
      </w:r>
      <w:r w:rsidRPr="00595FE6">
        <w:rPr>
          <w:rFonts w:cs="Arial"/>
          <w:color w:val="000000" w:themeColor="text1"/>
          <w:szCs w:val="24"/>
        </w:rPr>
        <w:t>Among disabled children, the most common impairments are social or behavioural (50%), followed by learning disability (32%) and mental health impairment (30%)</w:t>
      </w:r>
      <w:r w:rsidR="00AC4725">
        <w:rPr>
          <w:rFonts w:cs="Arial"/>
          <w:color w:val="000000" w:themeColor="text1"/>
          <w:szCs w:val="24"/>
        </w:rPr>
        <w:t xml:space="preserve"> (</w:t>
      </w:r>
      <w:r w:rsidR="00BB71D1">
        <w:rPr>
          <w:rFonts w:cs="Arial"/>
          <w:color w:val="000000" w:themeColor="text1"/>
          <w:szCs w:val="24"/>
        </w:rPr>
        <w:t>T</w:t>
      </w:r>
      <w:r w:rsidR="00AC4725">
        <w:rPr>
          <w:rFonts w:cs="Arial"/>
          <w:color w:val="000000" w:themeColor="text1"/>
          <w:szCs w:val="24"/>
        </w:rPr>
        <w:t xml:space="preserve">able </w:t>
      </w:r>
      <w:r w:rsidR="000D612C">
        <w:rPr>
          <w:rFonts w:cs="Arial"/>
          <w:color w:val="000000" w:themeColor="text1"/>
          <w:szCs w:val="24"/>
        </w:rPr>
        <w:t>3</w:t>
      </w:r>
      <w:r w:rsidR="00AC4725">
        <w:rPr>
          <w:rFonts w:cs="Arial"/>
          <w:color w:val="000000" w:themeColor="text1"/>
          <w:szCs w:val="24"/>
        </w:rPr>
        <w:t>).</w:t>
      </w:r>
    </w:p>
    <w:p w14:paraId="54762238" w14:textId="77777777" w:rsidR="00991E11" w:rsidRDefault="00991E11" w:rsidP="00D9246A">
      <w:pPr>
        <w:spacing w:line="240" w:lineRule="auto"/>
        <w:rPr>
          <w:rFonts w:eastAsia="Calibri" w:cs="Times New Roman"/>
          <w:b/>
          <w:bCs/>
          <w:szCs w:val="24"/>
          <w:lang w:eastAsia="en-GB"/>
        </w:rPr>
      </w:pPr>
      <w:r>
        <w:br w:type="page"/>
      </w:r>
    </w:p>
    <w:p w14:paraId="1D4E8D52" w14:textId="29A19815" w:rsidR="00B759F1" w:rsidRPr="00612B12" w:rsidRDefault="00B759F1" w:rsidP="00D9246A">
      <w:pPr>
        <w:spacing w:line="240" w:lineRule="auto"/>
        <w:rPr>
          <w:b/>
          <w:color w:val="A65588"/>
        </w:rPr>
      </w:pPr>
      <w:r w:rsidRPr="00612B12">
        <w:rPr>
          <w:b/>
          <w:color w:val="A65588"/>
        </w:rPr>
        <w:lastRenderedPageBreak/>
        <w:t xml:space="preserve">Table </w:t>
      </w:r>
      <w:r w:rsidR="001F7135" w:rsidRPr="00612B12">
        <w:rPr>
          <w:b/>
          <w:color w:val="A65588"/>
        </w:rPr>
        <w:fldChar w:fldCharType="begin"/>
      </w:r>
      <w:r w:rsidR="001F7135" w:rsidRPr="00612B12">
        <w:rPr>
          <w:b/>
          <w:color w:val="A65588"/>
        </w:rPr>
        <w:instrText xml:space="preserve"> SEQ Table \* ARABIC </w:instrText>
      </w:r>
      <w:r w:rsidR="001F7135" w:rsidRPr="00612B12">
        <w:rPr>
          <w:b/>
          <w:color w:val="A65588"/>
        </w:rPr>
        <w:fldChar w:fldCharType="separate"/>
      </w:r>
      <w:r w:rsidR="009A41AE">
        <w:rPr>
          <w:b/>
          <w:noProof/>
          <w:color w:val="A65588"/>
        </w:rPr>
        <w:t>3</w:t>
      </w:r>
      <w:r w:rsidR="001F7135" w:rsidRPr="00612B12">
        <w:rPr>
          <w:b/>
          <w:color w:val="A65588"/>
        </w:rPr>
        <w:fldChar w:fldCharType="end"/>
      </w:r>
      <w:r w:rsidRPr="00612B12">
        <w:rPr>
          <w:b/>
          <w:color w:val="A65588"/>
        </w:rPr>
        <w:t xml:space="preserve">: </w:t>
      </w:r>
      <w:r w:rsidR="00292227" w:rsidRPr="00612B12">
        <w:rPr>
          <w:b/>
          <w:color w:val="A65588"/>
        </w:rPr>
        <w:t>Prevalence of d</w:t>
      </w:r>
      <w:r w:rsidRPr="00612B12">
        <w:rPr>
          <w:b/>
          <w:color w:val="A65588"/>
        </w:rPr>
        <w:t>isability by impairment type in children</w:t>
      </w:r>
      <w:r w:rsidR="00EB4CA5" w:rsidRPr="00612B12">
        <w:rPr>
          <w:b/>
          <w:color w:val="A65588"/>
        </w:rPr>
        <w:t>,</w:t>
      </w:r>
      <w:r w:rsidRPr="00612B12">
        <w:rPr>
          <w:b/>
          <w:color w:val="A65588"/>
        </w:rPr>
        <w:t xml:space="preserve"> 2022 to 2023</w:t>
      </w:r>
      <w:r w:rsidR="00D04830" w:rsidRPr="00612B12">
        <w:rPr>
          <w:b/>
          <w:bCs/>
          <w:color w:val="A65588"/>
        </w:rPr>
        <w:t>, UK</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3220"/>
      </w:tblGrid>
      <w:tr w:rsidR="006F4A0B" w14:paraId="52B5789A" w14:textId="77777777" w:rsidTr="009D1BE7">
        <w:trPr>
          <w:trHeight w:val="423"/>
        </w:trPr>
        <w:tc>
          <w:tcPr>
            <w:tcW w:w="6516" w:type="dxa"/>
            <w:shd w:val="clear" w:color="auto" w:fill="086A76"/>
          </w:tcPr>
          <w:p w14:paraId="761F4D4A" w14:textId="2A8203A2" w:rsidR="006F4A0B" w:rsidRPr="00D371FF" w:rsidRDefault="00D371FF" w:rsidP="00C22A64">
            <w:pPr>
              <w:rPr>
                <w:rFonts w:cs="Arial"/>
                <w:b/>
                <w:color w:val="FFFFFF" w:themeColor="background1"/>
                <w:szCs w:val="24"/>
              </w:rPr>
            </w:pPr>
            <w:r>
              <w:rPr>
                <w:rFonts w:cs="Arial"/>
                <w:b/>
                <w:bCs/>
                <w:color w:val="FFFFFF" w:themeColor="background1"/>
                <w:szCs w:val="24"/>
              </w:rPr>
              <w:t>Impa</w:t>
            </w:r>
            <w:r w:rsidR="001C77FC">
              <w:rPr>
                <w:rFonts w:cs="Arial"/>
                <w:b/>
                <w:bCs/>
                <w:color w:val="FFFFFF" w:themeColor="background1"/>
                <w:szCs w:val="24"/>
              </w:rPr>
              <w:t>irment type</w:t>
            </w:r>
          </w:p>
        </w:tc>
        <w:tc>
          <w:tcPr>
            <w:tcW w:w="3220" w:type="dxa"/>
            <w:shd w:val="clear" w:color="auto" w:fill="086A76"/>
          </w:tcPr>
          <w:p w14:paraId="29E509CB" w14:textId="49E67C9E" w:rsidR="006F4A0B" w:rsidRPr="001C77FC" w:rsidRDefault="001C77FC" w:rsidP="00A144AB">
            <w:pPr>
              <w:jc w:val="center"/>
              <w:rPr>
                <w:rFonts w:cs="Arial"/>
                <w:b/>
                <w:color w:val="FFFFFF" w:themeColor="background1"/>
                <w:szCs w:val="24"/>
              </w:rPr>
            </w:pPr>
            <w:r>
              <w:rPr>
                <w:rFonts w:cs="Arial"/>
                <w:b/>
                <w:bCs/>
                <w:color w:val="FFFFFF" w:themeColor="background1"/>
                <w:szCs w:val="24"/>
              </w:rPr>
              <w:t>% children</w:t>
            </w:r>
          </w:p>
        </w:tc>
      </w:tr>
      <w:tr w:rsidR="006F4A0B" w14:paraId="7214EFDD" w14:textId="77777777" w:rsidTr="009D1BE7">
        <w:trPr>
          <w:trHeight w:val="402"/>
        </w:trPr>
        <w:tc>
          <w:tcPr>
            <w:tcW w:w="6516" w:type="dxa"/>
          </w:tcPr>
          <w:p w14:paraId="16E08D34" w14:textId="1E7E4D0D" w:rsidR="006F4A0B" w:rsidRPr="003527B6" w:rsidRDefault="003527B6" w:rsidP="00C22A64">
            <w:pPr>
              <w:rPr>
                <w:rFonts w:cs="Arial"/>
                <w:szCs w:val="24"/>
              </w:rPr>
            </w:pPr>
            <w:r>
              <w:rPr>
                <w:rFonts w:cs="Arial"/>
                <w:szCs w:val="24"/>
              </w:rPr>
              <w:t xml:space="preserve">Social/ </w:t>
            </w:r>
            <w:r w:rsidR="00D75E7A">
              <w:rPr>
                <w:rFonts w:cs="Arial"/>
                <w:szCs w:val="24"/>
              </w:rPr>
              <w:t>b</w:t>
            </w:r>
            <w:r>
              <w:rPr>
                <w:rFonts w:cs="Arial"/>
                <w:szCs w:val="24"/>
              </w:rPr>
              <w:t>ehavioural</w:t>
            </w:r>
          </w:p>
        </w:tc>
        <w:tc>
          <w:tcPr>
            <w:tcW w:w="3220" w:type="dxa"/>
          </w:tcPr>
          <w:p w14:paraId="3F95D4E3" w14:textId="359A3807" w:rsidR="006F4A0B" w:rsidRPr="003527B6" w:rsidRDefault="003527B6" w:rsidP="00A144AB">
            <w:pPr>
              <w:jc w:val="right"/>
              <w:rPr>
                <w:rFonts w:cs="Arial"/>
                <w:szCs w:val="24"/>
              </w:rPr>
            </w:pPr>
            <w:r>
              <w:rPr>
                <w:rFonts w:cs="Arial"/>
                <w:szCs w:val="24"/>
              </w:rPr>
              <w:t>50%</w:t>
            </w:r>
          </w:p>
        </w:tc>
      </w:tr>
      <w:tr w:rsidR="006F4A0B" w14:paraId="64A42BB1" w14:textId="77777777" w:rsidTr="009D1BE7">
        <w:trPr>
          <w:trHeight w:val="403"/>
        </w:trPr>
        <w:tc>
          <w:tcPr>
            <w:tcW w:w="6516" w:type="dxa"/>
          </w:tcPr>
          <w:p w14:paraId="2842E49A" w14:textId="05EA8C65" w:rsidR="006F4A0B" w:rsidRPr="003527B6" w:rsidRDefault="003527B6" w:rsidP="00C22A64">
            <w:pPr>
              <w:rPr>
                <w:rFonts w:cs="Arial"/>
                <w:szCs w:val="24"/>
              </w:rPr>
            </w:pPr>
            <w:r>
              <w:rPr>
                <w:rFonts w:cs="Arial"/>
                <w:szCs w:val="24"/>
              </w:rPr>
              <w:t xml:space="preserve">Learning </w:t>
            </w:r>
          </w:p>
        </w:tc>
        <w:tc>
          <w:tcPr>
            <w:tcW w:w="3220" w:type="dxa"/>
          </w:tcPr>
          <w:p w14:paraId="2948B067" w14:textId="608A38F2" w:rsidR="006F4A0B" w:rsidRPr="003527B6" w:rsidRDefault="003527B6" w:rsidP="00A144AB">
            <w:pPr>
              <w:jc w:val="right"/>
              <w:rPr>
                <w:rFonts w:cs="Arial"/>
                <w:szCs w:val="24"/>
              </w:rPr>
            </w:pPr>
            <w:r>
              <w:rPr>
                <w:rFonts w:cs="Arial"/>
                <w:szCs w:val="24"/>
              </w:rPr>
              <w:t>32%</w:t>
            </w:r>
          </w:p>
        </w:tc>
      </w:tr>
      <w:tr w:rsidR="006F4A0B" w14:paraId="0E8F3531" w14:textId="77777777" w:rsidTr="009D1BE7">
        <w:trPr>
          <w:trHeight w:val="403"/>
        </w:trPr>
        <w:tc>
          <w:tcPr>
            <w:tcW w:w="6516" w:type="dxa"/>
          </w:tcPr>
          <w:p w14:paraId="092D220F" w14:textId="158F430D" w:rsidR="006F4A0B" w:rsidRPr="003527B6" w:rsidRDefault="003527B6" w:rsidP="00C22A64">
            <w:pPr>
              <w:rPr>
                <w:rFonts w:cs="Arial"/>
                <w:szCs w:val="24"/>
              </w:rPr>
            </w:pPr>
            <w:r>
              <w:rPr>
                <w:rFonts w:cs="Arial"/>
                <w:szCs w:val="24"/>
              </w:rPr>
              <w:t>Mental health</w:t>
            </w:r>
          </w:p>
        </w:tc>
        <w:tc>
          <w:tcPr>
            <w:tcW w:w="3220" w:type="dxa"/>
          </w:tcPr>
          <w:p w14:paraId="23805D7C" w14:textId="3063B39E" w:rsidR="006F4A0B" w:rsidRPr="003527B6" w:rsidRDefault="000A2606" w:rsidP="00A144AB">
            <w:pPr>
              <w:jc w:val="right"/>
              <w:rPr>
                <w:rFonts w:cs="Arial"/>
                <w:szCs w:val="24"/>
              </w:rPr>
            </w:pPr>
            <w:r>
              <w:rPr>
                <w:rFonts w:cs="Arial"/>
                <w:szCs w:val="24"/>
              </w:rPr>
              <w:t>30%</w:t>
            </w:r>
          </w:p>
        </w:tc>
      </w:tr>
      <w:tr w:rsidR="006F4A0B" w14:paraId="400063BC" w14:textId="77777777" w:rsidTr="009D1BE7">
        <w:trPr>
          <w:trHeight w:val="403"/>
        </w:trPr>
        <w:tc>
          <w:tcPr>
            <w:tcW w:w="6516" w:type="dxa"/>
          </w:tcPr>
          <w:p w14:paraId="26F855CB" w14:textId="086128E5" w:rsidR="006F4A0B" w:rsidRPr="003527B6" w:rsidRDefault="00FF455F" w:rsidP="00C22A64">
            <w:pPr>
              <w:rPr>
                <w:rFonts w:cs="Arial"/>
                <w:szCs w:val="24"/>
              </w:rPr>
            </w:pPr>
            <w:r>
              <w:rPr>
                <w:rFonts w:cs="Arial"/>
                <w:szCs w:val="24"/>
              </w:rPr>
              <w:t>Mobility</w:t>
            </w:r>
          </w:p>
        </w:tc>
        <w:tc>
          <w:tcPr>
            <w:tcW w:w="3220" w:type="dxa"/>
          </w:tcPr>
          <w:p w14:paraId="2000210B" w14:textId="59DCF609" w:rsidR="006F4A0B" w:rsidRPr="003527B6" w:rsidRDefault="00FF455F" w:rsidP="00A144AB">
            <w:pPr>
              <w:jc w:val="right"/>
              <w:rPr>
                <w:rFonts w:cs="Arial"/>
                <w:szCs w:val="24"/>
              </w:rPr>
            </w:pPr>
            <w:r>
              <w:rPr>
                <w:rFonts w:cs="Arial"/>
                <w:szCs w:val="24"/>
              </w:rPr>
              <w:t>17%</w:t>
            </w:r>
          </w:p>
        </w:tc>
      </w:tr>
      <w:tr w:rsidR="006F4A0B" w14:paraId="133BE7DB" w14:textId="77777777" w:rsidTr="009D1BE7">
        <w:trPr>
          <w:trHeight w:val="403"/>
        </w:trPr>
        <w:tc>
          <w:tcPr>
            <w:tcW w:w="6516" w:type="dxa"/>
          </w:tcPr>
          <w:p w14:paraId="69FEFABC" w14:textId="26F589D5" w:rsidR="006F4A0B" w:rsidRPr="003527B6" w:rsidRDefault="00FF455F" w:rsidP="00C22A64">
            <w:pPr>
              <w:rPr>
                <w:rFonts w:cs="Arial"/>
                <w:szCs w:val="24"/>
              </w:rPr>
            </w:pPr>
            <w:r>
              <w:rPr>
                <w:rFonts w:cs="Arial"/>
                <w:szCs w:val="24"/>
              </w:rPr>
              <w:t>Stamina/ brea</w:t>
            </w:r>
            <w:r w:rsidR="00984E48">
              <w:rPr>
                <w:rFonts w:cs="Arial"/>
                <w:szCs w:val="24"/>
              </w:rPr>
              <w:t>thing/ fatigue</w:t>
            </w:r>
          </w:p>
        </w:tc>
        <w:tc>
          <w:tcPr>
            <w:tcW w:w="3220" w:type="dxa"/>
          </w:tcPr>
          <w:p w14:paraId="75E5FD86" w14:textId="4CBE3FE7" w:rsidR="006F4A0B" w:rsidRPr="003527B6" w:rsidRDefault="00984E48" w:rsidP="00A144AB">
            <w:pPr>
              <w:jc w:val="right"/>
              <w:rPr>
                <w:rFonts w:cs="Arial"/>
                <w:szCs w:val="24"/>
              </w:rPr>
            </w:pPr>
            <w:r>
              <w:rPr>
                <w:rFonts w:cs="Arial"/>
                <w:szCs w:val="24"/>
              </w:rPr>
              <w:t>15%</w:t>
            </w:r>
          </w:p>
        </w:tc>
      </w:tr>
      <w:tr w:rsidR="003B0A9B" w14:paraId="5C4B1A18" w14:textId="77777777" w:rsidTr="009D1BE7">
        <w:trPr>
          <w:trHeight w:val="403"/>
        </w:trPr>
        <w:tc>
          <w:tcPr>
            <w:tcW w:w="6516" w:type="dxa"/>
          </w:tcPr>
          <w:p w14:paraId="08CB4F8A" w14:textId="02C5DE60" w:rsidR="003B0A9B" w:rsidRDefault="003B0A9B" w:rsidP="00C22A64">
            <w:pPr>
              <w:rPr>
                <w:rFonts w:cs="Arial"/>
                <w:szCs w:val="24"/>
              </w:rPr>
            </w:pPr>
            <w:r>
              <w:rPr>
                <w:rFonts w:cs="Arial"/>
                <w:szCs w:val="24"/>
              </w:rPr>
              <w:t>Other</w:t>
            </w:r>
          </w:p>
        </w:tc>
        <w:tc>
          <w:tcPr>
            <w:tcW w:w="3220" w:type="dxa"/>
          </w:tcPr>
          <w:p w14:paraId="7AB7126F" w14:textId="1C9D9EFD" w:rsidR="003B0A9B" w:rsidRDefault="003B0A9B" w:rsidP="00A144AB">
            <w:pPr>
              <w:jc w:val="right"/>
              <w:rPr>
                <w:rFonts w:cs="Arial"/>
                <w:szCs w:val="24"/>
              </w:rPr>
            </w:pPr>
            <w:r>
              <w:rPr>
                <w:rFonts w:cs="Arial"/>
                <w:szCs w:val="24"/>
              </w:rPr>
              <w:t>14%</w:t>
            </w:r>
          </w:p>
        </w:tc>
      </w:tr>
      <w:tr w:rsidR="006E30FC" w14:paraId="3D9E3CE1" w14:textId="77777777" w:rsidTr="009D1BE7">
        <w:trPr>
          <w:trHeight w:val="403"/>
        </w:trPr>
        <w:tc>
          <w:tcPr>
            <w:tcW w:w="6516" w:type="dxa"/>
          </w:tcPr>
          <w:p w14:paraId="7313DC90" w14:textId="0071E084" w:rsidR="006E30FC" w:rsidRDefault="006E30FC" w:rsidP="00C22A64">
            <w:pPr>
              <w:rPr>
                <w:rFonts w:cs="Arial"/>
                <w:szCs w:val="24"/>
              </w:rPr>
            </w:pPr>
            <w:r>
              <w:rPr>
                <w:rFonts w:cs="Arial"/>
                <w:szCs w:val="24"/>
              </w:rPr>
              <w:t>Memory</w:t>
            </w:r>
          </w:p>
        </w:tc>
        <w:tc>
          <w:tcPr>
            <w:tcW w:w="3220" w:type="dxa"/>
          </w:tcPr>
          <w:p w14:paraId="5C016C22" w14:textId="1D8481B1" w:rsidR="006E30FC" w:rsidRDefault="006E30FC" w:rsidP="00A144AB">
            <w:pPr>
              <w:jc w:val="right"/>
              <w:rPr>
                <w:rFonts w:cs="Arial"/>
                <w:szCs w:val="24"/>
              </w:rPr>
            </w:pPr>
            <w:r>
              <w:rPr>
                <w:rFonts w:cs="Arial"/>
                <w:szCs w:val="24"/>
              </w:rPr>
              <w:t>11%</w:t>
            </w:r>
          </w:p>
        </w:tc>
      </w:tr>
      <w:tr w:rsidR="006E30FC" w14:paraId="640F6BC9" w14:textId="77777777" w:rsidTr="009D1BE7">
        <w:trPr>
          <w:trHeight w:val="403"/>
        </w:trPr>
        <w:tc>
          <w:tcPr>
            <w:tcW w:w="6516" w:type="dxa"/>
          </w:tcPr>
          <w:p w14:paraId="7DA50603" w14:textId="3CD79D03" w:rsidR="006E30FC" w:rsidRDefault="006E30FC" w:rsidP="00C22A64">
            <w:pPr>
              <w:rPr>
                <w:rFonts w:cs="Arial"/>
                <w:szCs w:val="24"/>
              </w:rPr>
            </w:pPr>
            <w:r>
              <w:rPr>
                <w:rFonts w:cs="Arial"/>
                <w:szCs w:val="24"/>
              </w:rPr>
              <w:t>Dexterity</w:t>
            </w:r>
          </w:p>
        </w:tc>
        <w:tc>
          <w:tcPr>
            <w:tcW w:w="3220" w:type="dxa"/>
          </w:tcPr>
          <w:p w14:paraId="3EE4A15E" w14:textId="7CD9FBA6" w:rsidR="006E30FC" w:rsidRDefault="006E30FC" w:rsidP="00A144AB">
            <w:pPr>
              <w:jc w:val="right"/>
              <w:rPr>
                <w:rFonts w:cs="Arial"/>
                <w:szCs w:val="24"/>
              </w:rPr>
            </w:pPr>
            <w:r>
              <w:rPr>
                <w:rFonts w:cs="Arial"/>
                <w:szCs w:val="24"/>
              </w:rPr>
              <w:t>9%</w:t>
            </w:r>
          </w:p>
        </w:tc>
      </w:tr>
      <w:tr w:rsidR="006E30FC" w14:paraId="479E8607" w14:textId="77777777" w:rsidTr="009D1BE7">
        <w:trPr>
          <w:trHeight w:val="403"/>
        </w:trPr>
        <w:tc>
          <w:tcPr>
            <w:tcW w:w="6516" w:type="dxa"/>
          </w:tcPr>
          <w:p w14:paraId="5929C705" w14:textId="7296443B" w:rsidR="006E30FC" w:rsidRDefault="00D75E7A" w:rsidP="00C22A64">
            <w:pPr>
              <w:rPr>
                <w:rFonts w:cs="Arial"/>
                <w:szCs w:val="24"/>
              </w:rPr>
            </w:pPr>
            <w:r>
              <w:rPr>
                <w:rFonts w:cs="Arial"/>
                <w:szCs w:val="24"/>
              </w:rPr>
              <w:t>Vision</w:t>
            </w:r>
          </w:p>
        </w:tc>
        <w:tc>
          <w:tcPr>
            <w:tcW w:w="3220" w:type="dxa"/>
          </w:tcPr>
          <w:p w14:paraId="32C4EC00" w14:textId="5344FF70" w:rsidR="006E30FC" w:rsidRDefault="00D75E7A" w:rsidP="00A144AB">
            <w:pPr>
              <w:jc w:val="right"/>
              <w:rPr>
                <w:rFonts w:cs="Arial"/>
                <w:szCs w:val="24"/>
              </w:rPr>
            </w:pPr>
            <w:r>
              <w:rPr>
                <w:rFonts w:cs="Arial"/>
                <w:szCs w:val="24"/>
              </w:rPr>
              <w:t>6%</w:t>
            </w:r>
          </w:p>
        </w:tc>
      </w:tr>
      <w:tr w:rsidR="006E30FC" w14:paraId="492D4D9D" w14:textId="77777777" w:rsidTr="009D1BE7">
        <w:trPr>
          <w:trHeight w:val="403"/>
        </w:trPr>
        <w:tc>
          <w:tcPr>
            <w:tcW w:w="6516" w:type="dxa"/>
          </w:tcPr>
          <w:p w14:paraId="2C998796" w14:textId="51331508" w:rsidR="006E30FC" w:rsidRDefault="00D75E7A" w:rsidP="00C22A64">
            <w:pPr>
              <w:rPr>
                <w:rFonts w:cs="Arial"/>
                <w:szCs w:val="24"/>
              </w:rPr>
            </w:pPr>
            <w:r>
              <w:rPr>
                <w:rFonts w:cs="Arial"/>
                <w:szCs w:val="24"/>
              </w:rPr>
              <w:t>Hearing</w:t>
            </w:r>
          </w:p>
        </w:tc>
        <w:tc>
          <w:tcPr>
            <w:tcW w:w="3220" w:type="dxa"/>
          </w:tcPr>
          <w:p w14:paraId="18F34F13" w14:textId="2A93A86F" w:rsidR="006E30FC" w:rsidRDefault="00D75E7A" w:rsidP="006E1FEC">
            <w:pPr>
              <w:keepNext/>
              <w:jc w:val="right"/>
              <w:rPr>
                <w:rFonts w:cs="Arial"/>
                <w:szCs w:val="24"/>
              </w:rPr>
            </w:pPr>
            <w:r>
              <w:rPr>
                <w:rFonts w:cs="Arial"/>
                <w:szCs w:val="24"/>
              </w:rPr>
              <w:t>5%</w:t>
            </w:r>
          </w:p>
        </w:tc>
      </w:tr>
    </w:tbl>
    <w:p w14:paraId="485C70F0" w14:textId="24F12C49" w:rsidR="00C22A64" w:rsidRPr="0046057D" w:rsidRDefault="00C22A64" w:rsidP="00D9246A">
      <w:pPr>
        <w:pStyle w:val="Caption"/>
        <w:rPr>
          <w:rFonts w:cs="Arial"/>
        </w:rPr>
      </w:pPr>
      <w:r w:rsidRPr="00D04830">
        <w:rPr>
          <w:rFonts w:cs="Arial"/>
        </w:rPr>
        <w:t>Source:</w:t>
      </w:r>
      <w:r w:rsidRPr="0046057D">
        <w:rPr>
          <w:rFonts w:cs="Arial"/>
          <w:b w:val="0"/>
        </w:rPr>
        <w:t xml:space="preserve"> Family Resources Survey 2022/23 Table 4.6</w:t>
      </w:r>
    </w:p>
    <w:p w14:paraId="595A3C97" w14:textId="77777777" w:rsidR="00C22A64" w:rsidRPr="00595FE6" w:rsidRDefault="00C22A64" w:rsidP="00D9246A">
      <w:pPr>
        <w:pStyle w:val="Heading2"/>
        <w:spacing w:before="0" w:after="120"/>
      </w:pPr>
      <w:r w:rsidRPr="00595FE6">
        <w:t>Special Educational Needs in England</w:t>
      </w:r>
    </w:p>
    <w:p w14:paraId="75D3500F" w14:textId="2CFBBA5A" w:rsidR="00C22A64" w:rsidRPr="00595FE6" w:rsidRDefault="00C22A64" w:rsidP="00D9246A">
      <w:pPr>
        <w:spacing w:line="240" w:lineRule="auto"/>
        <w:rPr>
          <w:rFonts w:cs="Arial"/>
          <w:color w:val="000000" w:themeColor="text1"/>
          <w:szCs w:val="24"/>
        </w:rPr>
      </w:pPr>
      <w:r w:rsidRPr="00595FE6">
        <w:rPr>
          <w:rFonts w:cs="Arial"/>
          <w:color w:val="000000" w:themeColor="text1"/>
          <w:szCs w:val="24"/>
        </w:rPr>
        <w:t xml:space="preserve">This section is summarised from the Department for Education publication on Special educational needs in </w:t>
      </w:r>
      <w:r w:rsidR="00C93468">
        <w:rPr>
          <w:rFonts w:cs="Arial"/>
          <w:color w:val="000000" w:themeColor="text1"/>
          <w:szCs w:val="24"/>
        </w:rPr>
        <w:t>2023/24</w:t>
      </w:r>
      <w:r w:rsidR="008C0275">
        <w:rPr>
          <w:rFonts w:cs="Arial"/>
          <w:color w:val="000000" w:themeColor="text1"/>
          <w:szCs w:val="24"/>
        </w:rPr>
        <w:t xml:space="preserve">. </w:t>
      </w:r>
      <w:r w:rsidRPr="00595FE6">
        <w:rPr>
          <w:rFonts w:cs="Arial"/>
          <w:color w:val="000000" w:themeColor="text1"/>
          <w:szCs w:val="24"/>
        </w:rPr>
        <w:t>It therefore uses the terms and breakdowns available within that publication</w:t>
      </w:r>
      <w:r w:rsidR="00FF43F2">
        <w:rPr>
          <w:rFonts w:cs="Arial"/>
          <w:color w:val="000000" w:themeColor="text1"/>
          <w:szCs w:val="24"/>
        </w:rPr>
        <w:t xml:space="preserve">. </w:t>
      </w:r>
      <w:r w:rsidR="00FF43F2" w:rsidRPr="00711F4F">
        <w:rPr>
          <w:rFonts w:cs="Arial"/>
          <w:color w:val="000000" w:themeColor="text1"/>
          <w:szCs w:val="24"/>
        </w:rPr>
        <w:t>This report is based on England school census data released annually</w:t>
      </w:r>
      <w:r w:rsidR="00B40FA4" w:rsidRPr="00711F4F">
        <w:rPr>
          <w:rFonts w:cs="Arial"/>
          <w:color w:val="000000" w:themeColor="text1"/>
          <w:szCs w:val="24"/>
        </w:rPr>
        <w:t>, see reference for latest updates</w:t>
      </w:r>
      <w:r w:rsidR="00B40FA4">
        <w:rPr>
          <w:rFonts w:cs="Arial"/>
          <w:color w:val="000000" w:themeColor="text1"/>
          <w:szCs w:val="24"/>
        </w:rPr>
        <w:t>.</w:t>
      </w:r>
      <w:r w:rsidR="00981440" w:rsidRPr="00595FE6">
        <w:rPr>
          <w:rStyle w:val="EndnoteReference"/>
          <w:rFonts w:cs="Arial"/>
          <w:color w:val="000000" w:themeColor="text1"/>
          <w:szCs w:val="24"/>
        </w:rPr>
        <w:endnoteReference w:id="49"/>
      </w:r>
    </w:p>
    <w:p w14:paraId="65182D0A" w14:textId="049636E9" w:rsidR="00C22A64" w:rsidRPr="00595FE6" w:rsidRDefault="00C22A64" w:rsidP="00D9246A">
      <w:pPr>
        <w:spacing w:line="240" w:lineRule="auto"/>
        <w:rPr>
          <w:rFonts w:cs="Arial"/>
          <w:color w:val="000000" w:themeColor="text1"/>
          <w:szCs w:val="24"/>
        </w:rPr>
      </w:pPr>
      <w:r w:rsidRPr="00D400CF">
        <w:rPr>
          <w:rFonts w:cs="Arial"/>
          <w:b/>
          <w:color w:val="0079C2"/>
          <w:szCs w:val="24"/>
        </w:rPr>
        <w:t xml:space="preserve">In 2023/24, 18% of all pupils in England have special educational needs (SEN) - over 1.6 million pupils. </w:t>
      </w:r>
      <w:r w:rsidRPr="00595FE6">
        <w:rPr>
          <w:rFonts w:cs="Arial"/>
          <w:color w:val="000000" w:themeColor="text1"/>
          <w:szCs w:val="24"/>
        </w:rPr>
        <w:t xml:space="preserve">This is an increase from 14% (over 1.2 million pupils) in 2015/16 (Figure </w:t>
      </w:r>
      <w:r w:rsidR="00D61B1C">
        <w:rPr>
          <w:rFonts w:cs="Arial"/>
          <w:color w:val="000000" w:themeColor="text1"/>
          <w:szCs w:val="24"/>
        </w:rPr>
        <w:t>9</w:t>
      </w:r>
      <w:r w:rsidRPr="00595FE6">
        <w:rPr>
          <w:rFonts w:cs="Arial"/>
          <w:color w:val="000000" w:themeColor="text1"/>
          <w:szCs w:val="24"/>
        </w:rPr>
        <w:t>). This includes the number of pupils with an education, health and care plan (</w:t>
      </w:r>
      <w:r w:rsidR="001572D3">
        <w:rPr>
          <w:rFonts w:cs="Arial"/>
          <w:color w:val="000000" w:themeColor="text1"/>
          <w:szCs w:val="24"/>
        </w:rPr>
        <w:t>EHC Plan</w:t>
      </w:r>
      <w:r w:rsidRPr="00595FE6">
        <w:rPr>
          <w:rFonts w:cs="Arial"/>
          <w:color w:val="000000" w:themeColor="text1"/>
          <w:szCs w:val="24"/>
        </w:rPr>
        <w:t>) and the number of pupils with SEN support, both of which continue a trend of increases since 2015/2016. In 2023/24:</w:t>
      </w:r>
    </w:p>
    <w:p w14:paraId="6B84B64A" w14:textId="2C955B2F" w:rsidR="00C22A64" w:rsidRPr="00595FE6" w:rsidRDefault="00C22A64" w:rsidP="009858E3">
      <w:pPr>
        <w:pStyle w:val="ListParagraph"/>
        <w:numPr>
          <w:ilvl w:val="0"/>
          <w:numId w:val="22"/>
        </w:numPr>
        <w:spacing w:line="240" w:lineRule="auto"/>
        <w:ind w:left="357" w:hanging="357"/>
        <w:contextualSpacing w:val="0"/>
        <w:rPr>
          <w:rFonts w:cs="Arial"/>
          <w:color w:val="000000" w:themeColor="text1"/>
          <w:szCs w:val="24"/>
        </w:rPr>
      </w:pPr>
      <w:r w:rsidRPr="00595FE6">
        <w:rPr>
          <w:rFonts w:cs="Arial"/>
          <w:color w:val="000000" w:themeColor="text1"/>
          <w:szCs w:val="24"/>
        </w:rPr>
        <w:t xml:space="preserve">The percentage of pupils with an </w:t>
      </w:r>
      <w:r w:rsidR="001572D3">
        <w:rPr>
          <w:rFonts w:cs="Arial"/>
          <w:color w:val="000000" w:themeColor="text1"/>
          <w:szCs w:val="24"/>
        </w:rPr>
        <w:t>EHC Plan</w:t>
      </w:r>
      <w:r w:rsidRPr="00595FE6">
        <w:rPr>
          <w:rFonts w:cs="Arial"/>
          <w:color w:val="000000" w:themeColor="text1"/>
          <w:szCs w:val="24"/>
        </w:rPr>
        <w:t xml:space="preserve"> has increased to 5%, from 3% in 2015/16</w:t>
      </w:r>
    </w:p>
    <w:p w14:paraId="5D523708" w14:textId="6C8FA2EB" w:rsidR="00C22A64" w:rsidRPr="00595FE6" w:rsidRDefault="00C22A64" w:rsidP="009858E3">
      <w:pPr>
        <w:pStyle w:val="ListParagraph"/>
        <w:numPr>
          <w:ilvl w:val="0"/>
          <w:numId w:val="22"/>
        </w:numPr>
        <w:spacing w:line="240" w:lineRule="auto"/>
        <w:ind w:left="357" w:hanging="357"/>
        <w:contextualSpacing w:val="0"/>
        <w:rPr>
          <w:rFonts w:cs="Arial"/>
          <w:color w:val="000000" w:themeColor="text1"/>
          <w:szCs w:val="24"/>
        </w:rPr>
      </w:pPr>
      <w:r w:rsidRPr="00595FE6">
        <w:rPr>
          <w:rFonts w:cs="Arial"/>
          <w:color w:val="000000" w:themeColor="text1"/>
          <w:szCs w:val="24"/>
        </w:rPr>
        <w:t xml:space="preserve">The percentage of pupils with SEN (SEN support) but no </w:t>
      </w:r>
      <w:r w:rsidR="001572D3">
        <w:rPr>
          <w:rFonts w:cs="Arial"/>
          <w:color w:val="000000" w:themeColor="text1"/>
          <w:szCs w:val="24"/>
        </w:rPr>
        <w:t>EHC Plan</w:t>
      </w:r>
      <w:r w:rsidRPr="00595FE6">
        <w:rPr>
          <w:rFonts w:cs="Arial"/>
          <w:color w:val="000000" w:themeColor="text1"/>
          <w:szCs w:val="24"/>
        </w:rPr>
        <w:t xml:space="preserve"> has increased to 14%, from 12% in 2015/16</w:t>
      </w:r>
      <w:r w:rsidR="001A70EB">
        <w:rPr>
          <w:rFonts w:cs="Arial"/>
          <w:color w:val="000000" w:themeColor="text1"/>
          <w:szCs w:val="24"/>
        </w:rPr>
        <w:t xml:space="preserve"> (</w:t>
      </w:r>
      <w:r w:rsidR="00BB71D1">
        <w:rPr>
          <w:rFonts w:cs="Arial"/>
          <w:color w:val="000000" w:themeColor="text1"/>
          <w:szCs w:val="24"/>
        </w:rPr>
        <w:t>F</w:t>
      </w:r>
      <w:r w:rsidR="001A70EB">
        <w:rPr>
          <w:rFonts w:cs="Arial"/>
          <w:color w:val="000000" w:themeColor="text1"/>
          <w:szCs w:val="24"/>
        </w:rPr>
        <w:t xml:space="preserve">igure </w:t>
      </w:r>
      <w:r w:rsidR="00EE1FE9">
        <w:rPr>
          <w:rFonts w:cs="Arial"/>
          <w:color w:val="000000" w:themeColor="text1"/>
          <w:szCs w:val="24"/>
        </w:rPr>
        <w:t>9</w:t>
      </w:r>
      <w:r w:rsidR="001A70EB">
        <w:rPr>
          <w:rFonts w:cs="Arial"/>
          <w:color w:val="000000" w:themeColor="text1"/>
          <w:szCs w:val="24"/>
        </w:rPr>
        <w:t>)</w:t>
      </w:r>
      <w:r w:rsidR="00845570">
        <w:rPr>
          <w:rFonts w:cs="Arial"/>
          <w:color w:val="000000" w:themeColor="text1"/>
          <w:szCs w:val="24"/>
        </w:rPr>
        <w:t>.</w:t>
      </w:r>
    </w:p>
    <w:p w14:paraId="691317C3" w14:textId="77777777" w:rsidR="00612B12" w:rsidRDefault="00612B12" w:rsidP="00D9246A">
      <w:pPr>
        <w:spacing w:line="240" w:lineRule="auto"/>
        <w:rPr>
          <w:b/>
          <w:bCs/>
          <w:color w:val="A65588"/>
        </w:rPr>
      </w:pPr>
      <w:r>
        <w:rPr>
          <w:b/>
          <w:bCs/>
          <w:color w:val="A65588"/>
        </w:rPr>
        <w:br w:type="page"/>
      </w:r>
    </w:p>
    <w:p w14:paraId="05626AB3" w14:textId="34280991" w:rsidR="00806E8E" w:rsidRPr="00612B12" w:rsidRDefault="00030268" w:rsidP="00D9246A">
      <w:pPr>
        <w:spacing w:line="240" w:lineRule="auto"/>
        <w:rPr>
          <w:b/>
          <w:color w:val="A65588"/>
        </w:rPr>
      </w:pPr>
      <w:r w:rsidRPr="00612B12">
        <w:rPr>
          <w:b/>
          <w:color w:val="A65588"/>
        </w:rPr>
        <w:lastRenderedPageBreak/>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9</w:t>
      </w:r>
      <w:r w:rsidR="00CA2D43">
        <w:rPr>
          <w:b/>
          <w:color w:val="A65588"/>
        </w:rPr>
        <w:fldChar w:fldCharType="end"/>
      </w:r>
      <w:r w:rsidRPr="00612B12">
        <w:rPr>
          <w:b/>
          <w:color w:val="A65588"/>
        </w:rPr>
        <w:t xml:space="preserve">: </w:t>
      </w:r>
      <w:r w:rsidR="00991E11" w:rsidRPr="00612B12">
        <w:rPr>
          <w:b/>
          <w:bCs/>
          <w:color w:val="A65588"/>
        </w:rPr>
        <w:t>Percentage of p</w:t>
      </w:r>
      <w:r w:rsidRPr="00612B12">
        <w:rPr>
          <w:b/>
          <w:bCs/>
          <w:color w:val="A65588"/>
        </w:rPr>
        <w:t xml:space="preserve">upils with </w:t>
      </w:r>
      <w:r w:rsidR="005D3E09" w:rsidRPr="00612B12">
        <w:rPr>
          <w:b/>
          <w:color w:val="A65588"/>
        </w:rPr>
        <w:t>special educational needs</w:t>
      </w:r>
      <w:r w:rsidR="00A550AD" w:rsidRPr="00612B12">
        <w:rPr>
          <w:b/>
          <w:color w:val="A65588"/>
        </w:rPr>
        <w:t xml:space="preserve"> (</w:t>
      </w:r>
      <w:r w:rsidRPr="00612B12">
        <w:rPr>
          <w:b/>
          <w:color w:val="A65588"/>
        </w:rPr>
        <w:t>SEN</w:t>
      </w:r>
      <w:r w:rsidR="00A550AD" w:rsidRPr="00612B12">
        <w:rPr>
          <w:b/>
          <w:color w:val="A65588"/>
        </w:rPr>
        <w:t>)</w:t>
      </w:r>
      <w:r w:rsidR="0032113F" w:rsidRPr="00612B12">
        <w:rPr>
          <w:b/>
          <w:color w:val="A65588"/>
        </w:rPr>
        <w:t xml:space="preserve">, </w:t>
      </w:r>
      <w:r w:rsidRPr="00612B12">
        <w:rPr>
          <w:b/>
          <w:color w:val="A65588"/>
        </w:rPr>
        <w:t>by SEN type of provisio</w:t>
      </w:r>
      <w:r w:rsidR="0032113F" w:rsidRPr="00612B12">
        <w:rPr>
          <w:b/>
          <w:color w:val="A65588"/>
        </w:rPr>
        <w:t xml:space="preserve">n, </w:t>
      </w:r>
      <w:r w:rsidR="00991E11" w:rsidRPr="00612B12">
        <w:rPr>
          <w:b/>
          <w:bCs/>
          <w:color w:val="A65588"/>
        </w:rPr>
        <w:t xml:space="preserve">all schools, </w:t>
      </w:r>
      <w:r w:rsidRPr="00612B12">
        <w:rPr>
          <w:b/>
          <w:color w:val="A65588"/>
        </w:rPr>
        <w:t xml:space="preserve">2015/16 </w:t>
      </w:r>
      <w:r w:rsidR="0032113F" w:rsidRPr="00612B12">
        <w:rPr>
          <w:b/>
          <w:color w:val="A65588"/>
        </w:rPr>
        <w:t>to</w:t>
      </w:r>
      <w:r w:rsidRPr="00612B12">
        <w:rPr>
          <w:b/>
          <w:color w:val="A65588"/>
        </w:rPr>
        <w:t xml:space="preserve"> 2023/24</w:t>
      </w:r>
      <w:r w:rsidR="00991E11" w:rsidRPr="00612B12">
        <w:rPr>
          <w:b/>
          <w:bCs/>
          <w:color w:val="A65588"/>
        </w:rPr>
        <w:t xml:space="preserve">, </w:t>
      </w:r>
      <w:r w:rsidR="00B9350B" w:rsidRPr="00612B12">
        <w:rPr>
          <w:b/>
          <w:color w:val="A65588"/>
        </w:rPr>
        <w:t>England</w:t>
      </w:r>
    </w:p>
    <w:p w14:paraId="4D58E806" w14:textId="519CBF44" w:rsidR="00F63CA6" w:rsidRDefault="00C7480E" w:rsidP="00D9246A">
      <w:pPr>
        <w:keepNext/>
        <w:spacing w:line="240" w:lineRule="auto"/>
      </w:pPr>
      <w:r w:rsidRPr="00C7480E">
        <w:rPr>
          <w:noProof/>
        </w:rPr>
        <w:drawing>
          <wp:inline distT="0" distB="0" distL="0" distR="0" wp14:anchorId="4F2C3E0B" wp14:editId="2D347C99">
            <wp:extent cx="5947576" cy="3266218"/>
            <wp:effectExtent l="0" t="0" r="0" b="0"/>
            <wp:docPr id="1215107530" name="Picture 1" descr="Line chart showing the percentage of pupils with special educational needs (SEN), by SEN type of provision (EHCP or SEN support) in all schools in England between 2015/16 to 2023/24. &#10;&#10;The percentage of pupils with an Education, Health and Care Plan (EHCP) has increased to 5%, from 3% in 2015/16.&#10;The percentage of pupils with SEN (SEN support) but no EHCP has increased to 14%, from 12% in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107530" name="Picture 1" descr="Line chart showing the percentage of pupils with special educational needs (SEN), by SEN type of provision (EHCP or SEN support) in all schools in England between 2015/16 to 2023/24. &#10;&#10;The percentage of pupils with an Education, Health and Care Plan (EHCP) has increased to 5%, from 3% in 2015/16.&#10;The percentage of pupils with SEN (SEN support) but no EHCP has increased to 14%, from 12% in 2015/16."/>
                    <pic:cNvPicPr/>
                  </pic:nvPicPr>
                  <pic:blipFill rotWithShape="1">
                    <a:blip r:embed="rId55"/>
                    <a:srcRect l="2185" t="11995" r="1691"/>
                    <a:stretch>
                      <a:fillRect/>
                    </a:stretch>
                  </pic:blipFill>
                  <pic:spPr bwMode="auto">
                    <a:xfrm>
                      <a:off x="0" y="0"/>
                      <a:ext cx="5948886" cy="3266937"/>
                    </a:xfrm>
                    <a:prstGeom prst="rect">
                      <a:avLst/>
                    </a:prstGeom>
                    <a:ln>
                      <a:noFill/>
                    </a:ln>
                    <a:extLst>
                      <a:ext uri="{53640926-AAD7-44D8-BBD7-CCE9431645EC}">
                        <a14:shadowObscured xmlns:a14="http://schemas.microsoft.com/office/drawing/2010/main"/>
                      </a:ext>
                    </a:extLst>
                  </pic:spPr>
                </pic:pic>
              </a:graphicData>
            </a:graphic>
          </wp:inline>
        </w:drawing>
      </w:r>
    </w:p>
    <w:p w14:paraId="6F6A0431" w14:textId="59F7FF68" w:rsidR="00C22A64" w:rsidRPr="00896BAD" w:rsidRDefault="00C22A64" w:rsidP="00D9246A">
      <w:pPr>
        <w:pStyle w:val="Caption"/>
        <w:rPr>
          <w:b w:val="0"/>
          <w:bCs w:val="0"/>
        </w:rPr>
      </w:pPr>
      <w:r w:rsidRPr="00991E11">
        <w:rPr>
          <w:rFonts w:cs="Arial"/>
          <w:color w:val="000000" w:themeColor="text1"/>
        </w:rPr>
        <w:t>Source:</w:t>
      </w:r>
      <w:r w:rsidR="007C29C1" w:rsidRPr="00896BAD">
        <w:rPr>
          <w:rFonts w:cs="Arial"/>
          <w:b w:val="0"/>
          <w:bCs w:val="0"/>
          <w:color w:val="000000" w:themeColor="text1"/>
        </w:rPr>
        <w:t xml:space="preserve"> </w:t>
      </w:r>
      <w:r w:rsidR="007C29C1" w:rsidRPr="00896BAD">
        <w:rPr>
          <w:rFonts w:cs="Arial"/>
          <w:b w:val="0"/>
          <w:bCs w:val="0"/>
        </w:rPr>
        <w:t>Department for Education, Special educational needs in England</w:t>
      </w:r>
      <w:r w:rsidR="00C41E24" w:rsidRPr="00896BAD">
        <w:rPr>
          <w:rFonts w:cs="Arial"/>
          <w:b w:val="0"/>
          <w:bCs w:val="0"/>
        </w:rPr>
        <w:t xml:space="preserve">, </w:t>
      </w:r>
      <w:r w:rsidR="007C29C1" w:rsidRPr="00896BAD">
        <w:rPr>
          <w:rFonts w:cs="Arial"/>
          <w:b w:val="0"/>
          <w:bCs w:val="0"/>
        </w:rPr>
        <w:t>2023/24</w:t>
      </w:r>
    </w:p>
    <w:p w14:paraId="512FAF74" w14:textId="0E759267" w:rsidR="00C22A64" w:rsidRPr="00473773" w:rsidRDefault="00C22A64" w:rsidP="00473773">
      <w:pPr>
        <w:pStyle w:val="Header"/>
        <w:rPr>
          <w:b/>
          <w:bCs/>
        </w:rPr>
      </w:pPr>
      <w:r w:rsidRPr="00D400CF">
        <w:rPr>
          <w:b/>
          <w:color w:val="0079C2"/>
        </w:rPr>
        <w:t>By demographics</w:t>
      </w:r>
      <w:r w:rsidR="007A1EDD" w:rsidRPr="00D400CF">
        <w:rPr>
          <w:b/>
          <w:color w:val="0079C2"/>
        </w:rPr>
        <w:t xml:space="preserve"> </w:t>
      </w:r>
      <w:r w:rsidR="00385220" w:rsidRPr="00D400CF">
        <w:rPr>
          <w:b/>
          <w:color w:val="0079C2"/>
        </w:rPr>
        <w:t xml:space="preserve">and </w:t>
      </w:r>
      <w:r w:rsidR="007A1EDD" w:rsidRPr="00D400CF">
        <w:rPr>
          <w:b/>
          <w:color w:val="0079C2"/>
        </w:rPr>
        <w:t>protective characteristics</w:t>
      </w:r>
      <w:r w:rsidR="00D400CF">
        <w:rPr>
          <w:b/>
          <w:bCs/>
          <w:color w:val="0079C2"/>
        </w:rPr>
        <w:t>:</w:t>
      </w:r>
    </w:p>
    <w:p w14:paraId="2D6AE576" w14:textId="1D9B3975" w:rsidR="00C22A64" w:rsidRPr="00595FE6" w:rsidRDefault="00C22A64" w:rsidP="009858E3">
      <w:pPr>
        <w:pStyle w:val="ListParagraph"/>
        <w:numPr>
          <w:ilvl w:val="0"/>
          <w:numId w:val="35"/>
        </w:numPr>
        <w:spacing w:line="240" w:lineRule="auto"/>
        <w:rPr>
          <w:rFonts w:cs="Arial"/>
          <w:color w:val="000000" w:themeColor="text1"/>
          <w:szCs w:val="24"/>
        </w:rPr>
      </w:pPr>
      <w:r w:rsidRPr="00D400CF">
        <w:rPr>
          <w:rFonts w:cs="Arial"/>
          <w:b/>
          <w:bCs/>
          <w:color w:val="0079C2"/>
          <w:szCs w:val="24"/>
        </w:rPr>
        <w:t xml:space="preserve">SEN </w:t>
      </w:r>
      <w:r w:rsidR="00D400CF">
        <w:rPr>
          <w:rFonts w:cs="Arial"/>
          <w:b/>
          <w:bCs/>
          <w:color w:val="0079C2"/>
          <w:szCs w:val="24"/>
        </w:rPr>
        <w:t>support</w:t>
      </w:r>
      <w:r>
        <w:rPr>
          <w:rFonts w:cs="Arial"/>
          <w:b/>
          <w:color w:val="0079C2"/>
          <w:szCs w:val="24"/>
        </w:rPr>
        <w:t xml:space="preserve"> </w:t>
      </w:r>
      <w:r w:rsidRPr="00D400CF">
        <w:rPr>
          <w:rFonts w:cs="Arial"/>
          <w:b/>
          <w:color w:val="0079C2"/>
          <w:szCs w:val="24"/>
        </w:rPr>
        <w:t xml:space="preserve">is most prevalent at age 9: </w:t>
      </w:r>
      <w:r w:rsidRPr="00595FE6">
        <w:rPr>
          <w:rFonts w:cs="Arial"/>
          <w:color w:val="000000" w:themeColor="text1"/>
          <w:szCs w:val="24"/>
        </w:rPr>
        <w:t xml:space="preserve">The percentage of pupils who have SEN support increases during primary school age, reaching a peak of 16% of pupils at age 9. This then </w:t>
      </w:r>
      <w:r w:rsidRPr="00562B5B">
        <w:t>steadily</w:t>
      </w:r>
      <w:r w:rsidRPr="00595FE6">
        <w:rPr>
          <w:rFonts w:cs="Arial"/>
          <w:color w:val="000000" w:themeColor="text1"/>
          <w:szCs w:val="24"/>
        </w:rPr>
        <w:t xml:space="preserve"> declines through secondary ages, to 13% at age 15</w:t>
      </w:r>
    </w:p>
    <w:p w14:paraId="78F19E0E" w14:textId="54FAEFC8" w:rsidR="00C22A64" w:rsidRPr="00595FE6" w:rsidRDefault="00C22A64" w:rsidP="009858E3">
      <w:pPr>
        <w:pStyle w:val="ListParagraph"/>
        <w:numPr>
          <w:ilvl w:val="0"/>
          <w:numId w:val="35"/>
        </w:numPr>
        <w:spacing w:line="240" w:lineRule="auto"/>
        <w:rPr>
          <w:rFonts w:cs="Arial"/>
          <w:color w:val="000000" w:themeColor="text1"/>
          <w:szCs w:val="24"/>
        </w:rPr>
      </w:pPr>
      <w:r w:rsidRPr="00D400CF">
        <w:rPr>
          <w:rFonts w:cs="Arial"/>
          <w:b/>
          <w:color w:val="0079C2"/>
          <w:szCs w:val="24"/>
        </w:rPr>
        <w:t>The percentage of pupils with an EHC plan also increases with age</w:t>
      </w:r>
      <w:r w:rsidR="00C05E8C">
        <w:rPr>
          <w:rFonts w:cs="Arial"/>
          <w:b/>
          <w:bCs/>
          <w:color w:val="0079C2"/>
          <w:szCs w:val="24"/>
        </w:rPr>
        <w:t>:</w:t>
      </w:r>
      <w:r w:rsidRPr="00595FE6">
        <w:rPr>
          <w:rFonts w:cs="Arial"/>
          <w:color w:val="000000" w:themeColor="text1"/>
          <w:szCs w:val="24"/>
        </w:rPr>
        <w:t xml:space="preserve"> from 4% at age 5, up to a peak of 6% at age 11 before slowly declining to 5% at age 15</w:t>
      </w:r>
    </w:p>
    <w:p w14:paraId="68497625" w14:textId="20AC1250" w:rsidR="00C22A64" w:rsidRPr="00595FE6" w:rsidRDefault="00C22A64" w:rsidP="009858E3">
      <w:pPr>
        <w:pStyle w:val="ListParagraph"/>
        <w:numPr>
          <w:ilvl w:val="0"/>
          <w:numId w:val="35"/>
        </w:numPr>
        <w:spacing w:line="240" w:lineRule="auto"/>
        <w:rPr>
          <w:rFonts w:cs="Arial"/>
          <w:color w:val="000000" w:themeColor="text1"/>
          <w:szCs w:val="24"/>
        </w:rPr>
      </w:pPr>
      <w:r w:rsidRPr="00D400CF">
        <w:rPr>
          <w:rFonts w:cs="Arial"/>
          <w:b/>
          <w:bCs/>
          <w:color w:val="0079C2"/>
          <w:szCs w:val="24"/>
        </w:rPr>
        <w:t xml:space="preserve">SEN </w:t>
      </w:r>
      <w:r w:rsidR="00C05E8C">
        <w:rPr>
          <w:rFonts w:cs="Arial"/>
          <w:b/>
          <w:bCs/>
          <w:color w:val="0079C2"/>
          <w:szCs w:val="24"/>
        </w:rPr>
        <w:t xml:space="preserve">support and EHCPs </w:t>
      </w:r>
      <w:r w:rsidRPr="00D400CF">
        <w:rPr>
          <w:rFonts w:cs="Arial"/>
          <w:b/>
          <w:bCs/>
          <w:color w:val="0079C2"/>
          <w:szCs w:val="24"/>
        </w:rPr>
        <w:t>continue</w:t>
      </w:r>
      <w:r w:rsidRPr="00D400CF">
        <w:rPr>
          <w:rFonts w:cs="Arial"/>
          <w:b/>
          <w:color w:val="0079C2"/>
          <w:szCs w:val="24"/>
        </w:rPr>
        <w:t xml:space="preserve"> to be more prevalent in boys than girls: </w:t>
      </w:r>
      <w:r w:rsidRPr="00595FE6">
        <w:rPr>
          <w:rFonts w:cs="Arial"/>
          <w:color w:val="000000" w:themeColor="text1"/>
          <w:szCs w:val="24"/>
        </w:rPr>
        <w:t xml:space="preserve">72% of pupils with an </w:t>
      </w:r>
      <w:r w:rsidR="001572D3">
        <w:rPr>
          <w:rFonts w:cs="Arial"/>
          <w:color w:val="000000" w:themeColor="text1"/>
          <w:szCs w:val="24"/>
        </w:rPr>
        <w:t>EHC Plan</w:t>
      </w:r>
      <w:r w:rsidRPr="00595FE6">
        <w:rPr>
          <w:rFonts w:cs="Arial"/>
          <w:color w:val="000000" w:themeColor="text1"/>
          <w:szCs w:val="24"/>
        </w:rPr>
        <w:t xml:space="preserve"> are male, and 62% of pupils with SEN support are male. The proportion of pupils with SEN that are male has </w:t>
      </w:r>
      <w:r w:rsidR="00F13F2A">
        <w:rPr>
          <w:rFonts w:cs="Arial"/>
          <w:color w:val="000000" w:themeColor="text1"/>
          <w:szCs w:val="24"/>
        </w:rPr>
        <w:t>fallen very slightly</w:t>
      </w:r>
      <w:r w:rsidRPr="00595FE6">
        <w:rPr>
          <w:rFonts w:cs="Arial"/>
          <w:color w:val="000000" w:themeColor="text1"/>
          <w:szCs w:val="24"/>
        </w:rPr>
        <w:t xml:space="preserve"> in recent years (73% of pupils with an </w:t>
      </w:r>
      <w:r w:rsidR="001572D3">
        <w:rPr>
          <w:rFonts w:cs="Arial"/>
          <w:color w:val="000000" w:themeColor="text1"/>
          <w:szCs w:val="24"/>
        </w:rPr>
        <w:t>EHC Plan</w:t>
      </w:r>
      <w:r w:rsidRPr="00595FE6">
        <w:rPr>
          <w:rFonts w:cs="Arial"/>
          <w:color w:val="000000" w:themeColor="text1"/>
          <w:szCs w:val="24"/>
        </w:rPr>
        <w:t xml:space="preserve"> in 2015/</w:t>
      </w:r>
      <w:r w:rsidRPr="00562B5B">
        <w:t>16</w:t>
      </w:r>
      <w:r w:rsidRPr="00595FE6">
        <w:rPr>
          <w:rFonts w:cs="Arial"/>
          <w:color w:val="000000" w:themeColor="text1"/>
          <w:szCs w:val="24"/>
        </w:rPr>
        <w:t xml:space="preserve"> were male, and 65% of those with SEN support)</w:t>
      </w:r>
    </w:p>
    <w:p w14:paraId="65465B68" w14:textId="4D36D9DD" w:rsidR="00C22A64" w:rsidRPr="00595FE6" w:rsidRDefault="00C22A64" w:rsidP="009858E3">
      <w:pPr>
        <w:pStyle w:val="ListParagraph"/>
        <w:numPr>
          <w:ilvl w:val="0"/>
          <w:numId w:val="35"/>
        </w:numPr>
        <w:spacing w:line="240" w:lineRule="auto"/>
        <w:rPr>
          <w:rFonts w:cs="Arial"/>
          <w:b/>
          <w:bCs/>
          <w:color w:val="000000" w:themeColor="text1"/>
          <w:szCs w:val="24"/>
        </w:rPr>
      </w:pPr>
      <w:r w:rsidRPr="00D400CF">
        <w:rPr>
          <w:rFonts w:cs="Arial"/>
          <w:b/>
          <w:color w:val="0079C2"/>
          <w:szCs w:val="24"/>
        </w:rPr>
        <w:t xml:space="preserve">The most common type of need for those with an EHC plan is autistic spectrum </w:t>
      </w:r>
      <w:r w:rsidR="00AD6580" w:rsidRPr="00D400CF">
        <w:rPr>
          <w:rFonts w:cs="Arial"/>
          <w:b/>
          <w:color w:val="0079C2"/>
          <w:szCs w:val="24"/>
        </w:rPr>
        <w:t>condition</w:t>
      </w:r>
      <w:r w:rsidRPr="00D400CF">
        <w:rPr>
          <w:rFonts w:cs="Arial"/>
          <w:b/>
          <w:color w:val="0079C2"/>
          <w:szCs w:val="24"/>
        </w:rPr>
        <w:t xml:space="preserve">: </w:t>
      </w:r>
      <w:r w:rsidR="00BE34A8">
        <w:rPr>
          <w:rFonts w:cs="Arial"/>
          <w:color w:val="000000" w:themeColor="text1"/>
          <w:szCs w:val="24"/>
        </w:rPr>
        <w:t>33% of</w:t>
      </w:r>
      <w:r w:rsidRPr="00595FE6">
        <w:rPr>
          <w:rFonts w:cs="Arial"/>
          <w:color w:val="000000" w:themeColor="text1"/>
          <w:szCs w:val="24"/>
        </w:rPr>
        <w:t xml:space="preserve"> </w:t>
      </w:r>
      <w:r w:rsidR="00BE34A8" w:rsidRPr="00595FE6">
        <w:rPr>
          <w:rFonts w:cs="Arial"/>
          <w:color w:val="000000" w:themeColor="text1"/>
          <w:szCs w:val="24"/>
        </w:rPr>
        <w:t>EHC</w:t>
      </w:r>
      <w:r w:rsidR="00BE34A8">
        <w:rPr>
          <w:rFonts w:cs="Arial"/>
          <w:color w:val="000000" w:themeColor="text1"/>
          <w:szCs w:val="24"/>
        </w:rPr>
        <w:t>P</w:t>
      </w:r>
      <w:r w:rsidRPr="00595FE6">
        <w:rPr>
          <w:rFonts w:cs="Arial"/>
          <w:color w:val="000000" w:themeColor="text1"/>
          <w:szCs w:val="24"/>
        </w:rPr>
        <w:t xml:space="preserve"> pupils </w:t>
      </w:r>
      <w:r w:rsidR="00806FDE">
        <w:rPr>
          <w:rFonts w:cs="Arial"/>
          <w:color w:val="000000" w:themeColor="text1"/>
          <w:szCs w:val="24"/>
        </w:rPr>
        <w:t>have</w:t>
      </w:r>
      <w:r w:rsidRPr="00595FE6">
        <w:rPr>
          <w:rFonts w:cs="Arial"/>
          <w:color w:val="000000" w:themeColor="text1"/>
          <w:szCs w:val="24"/>
        </w:rPr>
        <w:t xml:space="preserve"> a primary need of AS</w:t>
      </w:r>
      <w:r w:rsidR="00AD6580">
        <w:rPr>
          <w:rFonts w:cs="Arial"/>
          <w:color w:val="000000" w:themeColor="text1"/>
          <w:szCs w:val="24"/>
        </w:rPr>
        <w:t>C</w:t>
      </w:r>
      <w:r w:rsidR="00806FDE">
        <w:rPr>
          <w:rFonts w:cs="Arial"/>
          <w:color w:val="000000" w:themeColor="text1"/>
          <w:szCs w:val="24"/>
        </w:rPr>
        <w:t>,</w:t>
      </w:r>
      <w:r w:rsidRPr="00595FE6">
        <w:rPr>
          <w:rFonts w:cs="Arial"/>
          <w:color w:val="000000" w:themeColor="text1"/>
          <w:szCs w:val="24"/>
        </w:rPr>
        <w:t xml:space="preserve"> followed by speech, language </w:t>
      </w:r>
      <w:r w:rsidR="00BE34A8">
        <w:rPr>
          <w:rFonts w:cs="Arial"/>
          <w:color w:val="000000" w:themeColor="text1"/>
          <w:szCs w:val="24"/>
        </w:rPr>
        <w:t>&amp;</w:t>
      </w:r>
      <w:r w:rsidRPr="00595FE6">
        <w:rPr>
          <w:rFonts w:cs="Arial"/>
          <w:color w:val="000000" w:themeColor="text1"/>
          <w:szCs w:val="24"/>
        </w:rPr>
        <w:t xml:space="preserve"> communication needs (20%) </w:t>
      </w:r>
      <w:r w:rsidR="00BE34A8">
        <w:rPr>
          <w:rFonts w:cs="Arial"/>
          <w:color w:val="000000" w:themeColor="text1"/>
          <w:szCs w:val="24"/>
        </w:rPr>
        <w:t>&amp;</w:t>
      </w:r>
      <w:r w:rsidRPr="00595FE6">
        <w:rPr>
          <w:rFonts w:cs="Arial"/>
          <w:color w:val="000000" w:themeColor="text1"/>
          <w:szCs w:val="24"/>
        </w:rPr>
        <w:t xml:space="preserve"> social, emotional </w:t>
      </w:r>
      <w:r w:rsidR="00BE34A8">
        <w:rPr>
          <w:rFonts w:cs="Arial"/>
          <w:color w:val="000000" w:themeColor="text1"/>
          <w:szCs w:val="24"/>
        </w:rPr>
        <w:t>&amp;</w:t>
      </w:r>
      <w:r w:rsidRPr="00595FE6">
        <w:rPr>
          <w:rFonts w:cs="Arial"/>
          <w:color w:val="000000" w:themeColor="text1"/>
          <w:szCs w:val="24"/>
        </w:rPr>
        <w:t xml:space="preserve"> mental health (16%)</w:t>
      </w:r>
    </w:p>
    <w:p w14:paraId="572D892F" w14:textId="044742EF" w:rsidR="00C22A64" w:rsidRPr="00595FE6" w:rsidRDefault="00C22A64" w:rsidP="009858E3">
      <w:pPr>
        <w:pStyle w:val="ListParagraph"/>
        <w:numPr>
          <w:ilvl w:val="0"/>
          <w:numId w:val="35"/>
        </w:numPr>
        <w:spacing w:line="240" w:lineRule="auto"/>
        <w:rPr>
          <w:rFonts w:cs="Arial"/>
          <w:color w:val="000000" w:themeColor="text1"/>
          <w:szCs w:val="24"/>
        </w:rPr>
      </w:pPr>
      <w:r w:rsidRPr="00D400CF">
        <w:rPr>
          <w:rFonts w:cs="Arial"/>
          <w:b/>
          <w:color w:val="0079C2"/>
          <w:szCs w:val="24"/>
        </w:rPr>
        <w:t xml:space="preserve">The most common type of need for those with SEN support is speech, language and communication needs: </w:t>
      </w:r>
      <w:r w:rsidRPr="00595FE6">
        <w:rPr>
          <w:rFonts w:cs="Arial"/>
          <w:color w:val="000000" w:themeColor="text1"/>
          <w:szCs w:val="24"/>
        </w:rPr>
        <w:t>The primary need identified for one in four pupils is speech, language and communication needs (26%). This is followed by social, emotional and mental health needs (22%) and moderate learning difficulty (16%)</w:t>
      </w:r>
    </w:p>
    <w:p w14:paraId="08F4B934" w14:textId="3CDF8352" w:rsidR="00C22A64" w:rsidRPr="00595FE6" w:rsidRDefault="00C22A64" w:rsidP="009858E3">
      <w:pPr>
        <w:pStyle w:val="ListParagraph"/>
        <w:numPr>
          <w:ilvl w:val="0"/>
          <w:numId w:val="35"/>
        </w:numPr>
        <w:spacing w:line="240" w:lineRule="auto"/>
        <w:rPr>
          <w:rFonts w:cs="Arial"/>
          <w:color w:val="000000" w:themeColor="text1"/>
          <w:szCs w:val="24"/>
        </w:rPr>
      </w:pPr>
      <w:r w:rsidRPr="00D400CF">
        <w:rPr>
          <w:rFonts w:cs="Arial"/>
          <w:b/>
          <w:color w:val="0079C2"/>
          <w:szCs w:val="24"/>
        </w:rPr>
        <w:t xml:space="preserve">Pupils with SEN are more likely to be eligible for free school meals: </w:t>
      </w:r>
      <w:r w:rsidRPr="00595FE6">
        <w:rPr>
          <w:rFonts w:cs="Arial"/>
          <w:color w:val="000000" w:themeColor="text1"/>
          <w:szCs w:val="24"/>
        </w:rPr>
        <w:t>42% of pupils with an EHC plan and 38% of pupils with SEN support are eligible for free school meals in 2023/24. This compares to 21% of all pupils in schools without SEN</w:t>
      </w:r>
    </w:p>
    <w:p w14:paraId="2F71AD4C" w14:textId="28719FFA" w:rsidR="00C22A64" w:rsidRPr="00595FE6" w:rsidRDefault="00C22A64" w:rsidP="009858E3">
      <w:pPr>
        <w:pStyle w:val="ListParagraph"/>
        <w:numPr>
          <w:ilvl w:val="0"/>
          <w:numId w:val="35"/>
        </w:numPr>
        <w:spacing w:line="240" w:lineRule="auto"/>
        <w:rPr>
          <w:rFonts w:cs="Arial"/>
          <w:color w:val="000000" w:themeColor="text1"/>
          <w:szCs w:val="24"/>
        </w:rPr>
      </w:pPr>
      <w:r w:rsidRPr="00D400CF">
        <w:rPr>
          <w:rFonts w:cs="Arial"/>
          <w:b/>
          <w:color w:val="0079C2"/>
          <w:szCs w:val="24"/>
        </w:rPr>
        <w:t xml:space="preserve">Pupils with SEN have higher rates </w:t>
      </w:r>
      <w:r>
        <w:rPr>
          <w:rFonts w:cs="Arial"/>
          <w:b/>
          <w:color w:val="0079C2"/>
          <w:szCs w:val="24"/>
        </w:rPr>
        <w:t xml:space="preserve">English </w:t>
      </w:r>
      <w:r w:rsidR="00BE34A8">
        <w:rPr>
          <w:rFonts w:cs="Arial"/>
          <w:b/>
          <w:bCs/>
          <w:color w:val="0079C2"/>
          <w:szCs w:val="24"/>
        </w:rPr>
        <w:t xml:space="preserve">as a </w:t>
      </w:r>
      <w:r w:rsidRPr="00D400CF">
        <w:rPr>
          <w:rFonts w:cs="Arial"/>
          <w:b/>
          <w:bCs/>
          <w:color w:val="0079C2"/>
          <w:szCs w:val="24"/>
        </w:rPr>
        <w:t>first</w:t>
      </w:r>
      <w:r w:rsidRPr="00D400CF">
        <w:rPr>
          <w:rFonts w:cs="Arial"/>
          <w:b/>
          <w:color w:val="0079C2"/>
          <w:szCs w:val="24"/>
        </w:rPr>
        <w:t xml:space="preserve">: </w:t>
      </w:r>
      <w:r w:rsidRPr="00595FE6">
        <w:rPr>
          <w:rFonts w:cs="Arial"/>
          <w:color w:val="000000" w:themeColor="text1"/>
          <w:szCs w:val="24"/>
        </w:rPr>
        <w:t>84% of pupils who have SEN support and with an EHC plan have a first language known or believed to be English</w:t>
      </w:r>
      <w:r w:rsidR="00806FDE">
        <w:rPr>
          <w:rFonts w:cs="Arial"/>
          <w:color w:val="000000" w:themeColor="text1"/>
          <w:szCs w:val="24"/>
        </w:rPr>
        <w:t xml:space="preserve">, </w:t>
      </w:r>
      <w:r w:rsidRPr="00595FE6">
        <w:rPr>
          <w:rFonts w:cs="Arial"/>
          <w:color w:val="000000" w:themeColor="text1"/>
          <w:szCs w:val="24"/>
        </w:rPr>
        <w:t>compare</w:t>
      </w:r>
      <w:r w:rsidR="00806FDE">
        <w:rPr>
          <w:rFonts w:cs="Arial"/>
          <w:color w:val="000000" w:themeColor="text1"/>
          <w:szCs w:val="24"/>
        </w:rPr>
        <w:t>d</w:t>
      </w:r>
      <w:r w:rsidRPr="00595FE6">
        <w:rPr>
          <w:rFonts w:cs="Arial"/>
          <w:color w:val="000000" w:themeColor="text1"/>
          <w:szCs w:val="24"/>
        </w:rPr>
        <w:t xml:space="preserve"> to 79% of all pupils</w:t>
      </w:r>
    </w:p>
    <w:p w14:paraId="4C614689" w14:textId="630588FB" w:rsidR="00C22A64" w:rsidRPr="0035030C" w:rsidRDefault="00C22A64" w:rsidP="009858E3">
      <w:pPr>
        <w:pStyle w:val="ListParagraph"/>
        <w:numPr>
          <w:ilvl w:val="0"/>
          <w:numId w:val="35"/>
        </w:numPr>
        <w:spacing w:line="240" w:lineRule="auto"/>
        <w:rPr>
          <w:rFonts w:cs="Arial"/>
          <w:color w:val="000000" w:themeColor="text1"/>
          <w:szCs w:val="24"/>
        </w:rPr>
      </w:pPr>
      <w:r w:rsidRPr="00D400CF">
        <w:rPr>
          <w:rFonts w:cs="Arial"/>
          <w:b/>
          <w:color w:val="0079C2"/>
          <w:szCs w:val="24"/>
        </w:rPr>
        <w:t xml:space="preserve">SEN is most prevalent in the Traveller of Irish heritage ethnic group: </w:t>
      </w:r>
      <w:r w:rsidRPr="00595FE6">
        <w:rPr>
          <w:rFonts w:cs="Arial"/>
          <w:color w:val="000000" w:themeColor="text1"/>
          <w:szCs w:val="24"/>
        </w:rPr>
        <w:t xml:space="preserve">33% of pupils recorded as Traveller of Irish heritage ethnic group had SEN support or an ECHP in 2023/24, followed by Gypsy/Roma pupils (28%), Mixed – White and Black Caribbean </w:t>
      </w:r>
      <w:r w:rsidRPr="00595FE6">
        <w:rPr>
          <w:rFonts w:cs="Arial"/>
          <w:color w:val="000000" w:themeColor="text1"/>
          <w:szCs w:val="24"/>
        </w:rPr>
        <w:lastRenderedPageBreak/>
        <w:t>pupils (24%) and Black – Black Caribbean pupils (24%). The lowest rate for SEN support and ECHP is in the Chinese ethnic group (7% of pupils)</w:t>
      </w:r>
      <w:r w:rsidR="00845570">
        <w:rPr>
          <w:rFonts w:cs="Arial"/>
          <w:color w:val="000000" w:themeColor="text1"/>
          <w:szCs w:val="24"/>
        </w:rPr>
        <w:t xml:space="preserve"> (</w:t>
      </w:r>
      <w:r w:rsidR="00A776A7">
        <w:rPr>
          <w:rFonts w:cs="Arial"/>
          <w:color w:val="000000" w:themeColor="text1"/>
          <w:szCs w:val="24"/>
        </w:rPr>
        <w:t>F</w:t>
      </w:r>
      <w:r w:rsidR="00845570">
        <w:rPr>
          <w:rFonts w:cs="Arial"/>
          <w:color w:val="000000" w:themeColor="text1"/>
          <w:szCs w:val="24"/>
        </w:rPr>
        <w:t xml:space="preserve">igure </w:t>
      </w:r>
      <w:r w:rsidR="00D466C8">
        <w:rPr>
          <w:rFonts w:cs="Arial"/>
          <w:color w:val="000000" w:themeColor="text1"/>
          <w:szCs w:val="24"/>
        </w:rPr>
        <w:t>10</w:t>
      </w:r>
      <w:r w:rsidR="00845570">
        <w:rPr>
          <w:rFonts w:cs="Arial"/>
          <w:color w:val="000000" w:themeColor="text1"/>
          <w:szCs w:val="24"/>
        </w:rPr>
        <w:t>).</w:t>
      </w:r>
    </w:p>
    <w:p w14:paraId="5AB83CAD" w14:textId="7F03BF23" w:rsidR="004E44B5" w:rsidRPr="00612B12" w:rsidRDefault="00760647" w:rsidP="00D9246A">
      <w:pPr>
        <w:spacing w:line="240" w:lineRule="auto"/>
        <w:rPr>
          <w:b/>
          <w:color w:val="A65588"/>
        </w:rPr>
      </w:pPr>
      <w:r w:rsidRPr="00612B12">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10</w:t>
      </w:r>
      <w:r w:rsidR="00CA2D43">
        <w:rPr>
          <w:b/>
          <w:color w:val="A65588"/>
        </w:rPr>
        <w:fldChar w:fldCharType="end"/>
      </w:r>
      <w:r w:rsidRPr="00612B12">
        <w:rPr>
          <w:b/>
          <w:color w:val="A65588"/>
        </w:rPr>
        <w:t>: Percentage of pupils with EHC plan or SEN Support</w:t>
      </w:r>
      <w:r w:rsidR="00E82C53" w:rsidRPr="00612B12">
        <w:rPr>
          <w:b/>
          <w:color w:val="A65588"/>
        </w:rPr>
        <w:t>,</w:t>
      </w:r>
      <w:r w:rsidR="00F100C1" w:rsidRPr="00612B12">
        <w:rPr>
          <w:b/>
          <w:color w:val="A65588"/>
        </w:rPr>
        <w:t xml:space="preserve"> </w:t>
      </w:r>
      <w:r w:rsidRPr="00612B12">
        <w:rPr>
          <w:b/>
          <w:color w:val="A65588"/>
        </w:rPr>
        <w:t>by ethnicity</w:t>
      </w:r>
      <w:r w:rsidR="00CD4796" w:rsidRPr="00612B12">
        <w:rPr>
          <w:b/>
          <w:color w:val="A65588"/>
        </w:rPr>
        <w:t>,</w:t>
      </w:r>
      <w:r w:rsidRPr="00612B12">
        <w:rPr>
          <w:b/>
          <w:color w:val="A65588"/>
        </w:rPr>
        <w:t xml:space="preserve"> England, 2023/24</w:t>
      </w:r>
    </w:p>
    <w:p w14:paraId="5C713971" w14:textId="7E5D41F4" w:rsidR="003A1128" w:rsidRDefault="003302D1" w:rsidP="00D9246A">
      <w:pPr>
        <w:keepNext/>
        <w:spacing w:line="240" w:lineRule="auto"/>
      </w:pPr>
      <w:r w:rsidRPr="003302D1">
        <w:rPr>
          <w:rFonts w:cs="Arial"/>
          <w:b/>
          <w:noProof/>
          <w:color w:val="086A76"/>
          <w:szCs w:val="24"/>
        </w:rPr>
        <w:drawing>
          <wp:inline distT="0" distB="0" distL="0" distR="0" wp14:anchorId="592EA741" wp14:editId="5D7F794C">
            <wp:extent cx="6088789" cy="3506028"/>
            <wp:effectExtent l="0" t="0" r="7620" b="0"/>
            <wp:docPr id="1757353956" name="Picture 1" descr="A graph of Percentage of pupils with EHC plan or SEN support, by ethnicity, in England, 2023/24 showing White Travellers of Irish heritage had the highest percentage and Asian Chinese had the lowest percentage of pupils with an EHCP or SEN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353956" name="Picture 1" descr="A graph of Percentage of pupils with EHC plan or SEN support, by ethnicity, in England, 2023/24 showing White Travellers of Irish heritage had the highest percentage and Asian Chinese had the lowest percentage of pupils with an EHCP or SEN support."/>
                    <pic:cNvPicPr/>
                  </pic:nvPicPr>
                  <pic:blipFill rotWithShape="1">
                    <a:blip r:embed="rId56"/>
                    <a:srcRect l="771" t="11773" r="807" b="1682"/>
                    <a:stretch>
                      <a:fillRect/>
                    </a:stretch>
                  </pic:blipFill>
                  <pic:spPr bwMode="auto">
                    <a:xfrm>
                      <a:off x="0" y="0"/>
                      <a:ext cx="6090695" cy="3507126"/>
                    </a:xfrm>
                    <a:prstGeom prst="rect">
                      <a:avLst/>
                    </a:prstGeom>
                    <a:ln>
                      <a:noFill/>
                    </a:ln>
                    <a:extLst>
                      <a:ext uri="{53640926-AAD7-44D8-BBD7-CCE9431645EC}">
                        <a14:shadowObscured xmlns:a14="http://schemas.microsoft.com/office/drawing/2010/main"/>
                      </a:ext>
                    </a:extLst>
                  </pic:spPr>
                </pic:pic>
              </a:graphicData>
            </a:graphic>
          </wp:inline>
        </w:drawing>
      </w:r>
    </w:p>
    <w:p w14:paraId="6D2E6B8D" w14:textId="5B34389D" w:rsidR="00C22A64" w:rsidRPr="00760647" w:rsidRDefault="00C22A64" w:rsidP="00D9246A">
      <w:pPr>
        <w:pStyle w:val="Caption"/>
        <w:rPr>
          <w:rFonts w:cs="Arial"/>
          <w:b w:val="0"/>
          <w:color w:val="086A76"/>
        </w:rPr>
      </w:pPr>
      <w:r w:rsidRPr="00612B12">
        <w:rPr>
          <w:rFonts w:cs="Arial"/>
          <w:color w:val="000000" w:themeColor="text1"/>
        </w:rPr>
        <w:t>Source:</w:t>
      </w:r>
      <w:r w:rsidR="008F79B0" w:rsidRPr="00760647">
        <w:rPr>
          <w:rFonts w:cs="Arial"/>
          <w:b w:val="0"/>
          <w:bCs w:val="0"/>
          <w:color w:val="000000" w:themeColor="text1"/>
        </w:rPr>
        <w:t xml:space="preserve"> </w:t>
      </w:r>
      <w:r w:rsidR="008F79B0" w:rsidRPr="00760647">
        <w:rPr>
          <w:rFonts w:cs="Arial"/>
          <w:b w:val="0"/>
          <w:bCs w:val="0"/>
        </w:rPr>
        <w:t>Department for Education, Special educational needs in England, 2023/24</w:t>
      </w:r>
      <w:r w:rsidRPr="00760647">
        <w:rPr>
          <w:rFonts w:cs="Arial"/>
          <w:b w:val="0"/>
          <w:bCs w:val="0"/>
          <w:color w:val="000000" w:themeColor="text1"/>
        </w:rPr>
        <w:t xml:space="preserve"> </w:t>
      </w:r>
    </w:p>
    <w:p w14:paraId="28E0DF9C" w14:textId="0C8A82C6" w:rsidR="00C22A64" w:rsidRPr="00595FE6" w:rsidRDefault="00C22A64" w:rsidP="00C22A64">
      <w:pPr>
        <w:spacing w:line="240" w:lineRule="auto"/>
        <w:rPr>
          <w:rFonts w:cs="Arial"/>
          <w:b/>
          <w:bCs/>
          <w:color w:val="000000" w:themeColor="text1"/>
          <w:szCs w:val="24"/>
        </w:rPr>
      </w:pPr>
      <w:r w:rsidRPr="00D400CF">
        <w:rPr>
          <w:rFonts w:cs="Arial"/>
          <w:b/>
          <w:color w:val="0079C2"/>
          <w:szCs w:val="24"/>
        </w:rPr>
        <w:t xml:space="preserve">Children Looked After, Children in Need (CIN) and Children on a child protection plan were over twice as likely to have SEN than the overall pupil population. </w:t>
      </w:r>
      <w:r w:rsidRPr="00711F4F">
        <w:rPr>
          <w:rFonts w:cs="Arial"/>
          <w:color w:val="000000" w:themeColor="text1"/>
          <w:szCs w:val="24"/>
        </w:rPr>
        <w:t>This data is for 2022/23 as has not yet been published for 2023/24</w:t>
      </w:r>
      <w:r w:rsidR="00711F4F">
        <w:rPr>
          <w:rFonts w:cs="Arial"/>
          <w:color w:val="000000" w:themeColor="text1"/>
          <w:szCs w:val="24"/>
        </w:rPr>
        <w:t xml:space="preserve"> at the time of production</w:t>
      </w:r>
      <w:r w:rsidRPr="00711F4F">
        <w:rPr>
          <w:rFonts w:cs="Arial"/>
          <w:color w:val="000000" w:themeColor="text1"/>
          <w:szCs w:val="24"/>
        </w:rPr>
        <w:t>.</w:t>
      </w:r>
      <w:r w:rsidRPr="00D400CF">
        <w:rPr>
          <w:rFonts w:cs="Arial"/>
          <w:b/>
          <w:color w:val="0079C2"/>
          <w:szCs w:val="24"/>
        </w:rPr>
        <w:t xml:space="preserve"> </w:t>
      </w:r>
      <w:r w:rsidRPr="00595FE6">
        <w:rPr>
          <w:rFonts w:cs="Arial"/>
          <w:color w:val="000000" w:themeColor="text1"/>
          <w:szCs w:val="24"/>
        </w:rPr>
        <w:t>They were over two and a half times more likely to have an Education, Health, and Care (EHC) plan than the overall pupil population and roughly twice as likely to have SEN support.</w:t>
      </w:r>
      <w:r w:rsidRPr="00595FE6">
        <w:rPr>
          <w:rStyle w:val="EndnoteReference"/>
          <w:rFonts w:cs="Arial"/>
          <w:color w:val="000000" w:themeColor="text1"/>
          <w:szCs w:val="24"/>
        </w:rPr>
        <w:endnoteReference w:id="50"/>
      </w:r>
      <w:r w:rsidRPr="00595FE6">
        <w:rPr>
          <w:rFonts w:cs="Arial"/>
          <w:b/>
          <w:bCs/>
          <w:color w:val="000000" w:themeColor="text1"/>
          <w:szCs w:val="24"/>
        </w:rPr>
        <w:t xml:space="preserve"> </w:t>
      </w:r>
    </w:p>
    <w:p w14:paraId="55EF1FFD" w14:textId="77777777" w:rsidR="00C22A64" w:rsidRPr="00595FE6" w:rsidRDefault="00C22A64" w:rsidP="009858E3">
      <w:pPr>
        <w:pStyle w:val="ListParagraph"/>
        <w:numPr>
          <w:ilvl w:val="0"/>
          <w:numId w:val="35"/>
        </w:numPr>
        <w:spacing w:line="240" w:lineRule="auto"/>
        <w:rPr>
          <w:rFonts w:cs="Arial"/>
          <w:color w:val="000000" w:themeColor="text1"/>
          <w:szCs w:val="24"/>
        </w:rPr>
      </w:pPr>
      <w:r w:rsidRPr="00595FE6">
        <w:rPr>
          <w:rFonts w:cs="Arial"/>
          <w:color w:val="000000" w:themeColor="text1"/>
          <w:szCs w:val="24"/>
        </w:rPr>
        <w:t>Children Looked After for at least 12 months were over seven times more likely to have an EHC plan than the overall population (this is similar to previous years). Additionally, the proportion of CLA for at least 12 months with a statement or EHC plan has risen by over 4 percentage points to 30.8% over the seven years covered in this data</w:t>
      </w:r>
    </w:p>
    <w:p w14:paraId="51AB0F37" w14:textId="11051488" w:rsidR="00C22A64" w:rsidRPr="00595FE6" w:rsidRDefault="00C22A64" w:rsidP="009858E3">
      <w:pPr>
        <w:pStyle w:val="ListParagraph"/>
        <w:numPr>
          <w:ilvl w:val="0"/>
          <w:numId w:val="35"/>
        </w:numPr>
        <w:spacing w:line="240" w:lineRule="auto"/>
        <w:rPr>
          <w:rFonts w:cs="Arial"/>
          <w:color w:val="000000" w:themeColor="text1"/>
          <w:szCs w:val="24"/>
        </w:rPr>
      </w:pPr>
      <w:r w:rsidRPr="00595FE6">
        <w:rPr>
          <w:rFonts w:cs="Arial"/>
          <w:color w:val="000000" w:themeColor="text1"/>
          <w:szCs w:val="24"/>
        </w:rPr>
        <w:t xml:space="preserve">Of all the key social care groups, Children Looked After for at least 12 months had the highest proportion of children with SEN (58%) compared to </w:t>
      </w:r>
      <w:r w:rsidR="001E6E62">
        <w:rPr>
          <w:rFonts w:cs="Arial"/>
          <w:color w:val="000000" w:themeColor="text1"/>
          <w:szCs w:val="24"/>
        </w:rPr>
        <w:t xml:space="preserve">those with a </w:t>
      </w:r>
      <w:r w:rsidR="004D25E1">
        <w:t xml:space="preserve">child protection plan </w:t>
      </w:r>
      <w:r w:rsidRPr="00595FE6">
        <w:rPr>
          <w:rFonts w:cs="Arial"/>
          <w:color w:val="000000" w:themeColor="text1"/>
          <w:szCs w:val="24"/>
        </w:rPr>
        <w:t>(41%), which had the lowest proportion. 17% of all pupils had SEN. The percentage of pupils with SEN across the key social care groups is broadly stable in the seven years covered in this data though rising slightly for some groups over the last two years. The largest rises were in the Children in Need and Children on a child protection plan, with increases of over 2 percentage points compared to the previous year.</w:t>
      </w:r>
    </w:p>
    <w:p w14:paraId="2A7396CF" w14:textId="77777777" w:rsidR="00C22A64" w:rsidRPr="00D400CF" w:rsidRDefault="00C22A64" w:rsidP="00C22A64">
      <w:pPr>
        <w:spacing w:line="240" w:lineRule="auto"/>
        <w:rPr>
          <w:rFonts w:cs="Arial"/>
          <w:b/>
          <w:color w:val="0079C2"/>
          <w:szCs w:val="24"/>
        </w:rPr>
      </w:pPr>
      <w:r w:rsidRPr="00D400CF">
        <w:rPr>
          <w:rFonts w:cs="Arial"/>
          <w:b/>
          <w:color w:val="0079C2"/>
          <w:szCs w:val="24"/>
        </w:rPr>
        <w:t>This data is not available for other characteristics.</w:t>
      </w:r>
    </w:p>
    <w:p w14:paraId="346D4E83" w14:textId="498DD57D" w:rsidR="00C22A64" w:rsidRPr="00595FE6" w:rsidRDefault="00C22A64" w:rsidP="00D9246A">
      <w:pPr>
        <w:spacing w:line="240" w:lineRule="auto"/>
        <w:rPr>
          <w:rFonts w:cs="Arial"/>
          <w:szCs w:val="24"/>
        </w:rPr>
        <w:sectPr w:rsidR="00C22A64" w:rsidRPr="00595FE6" w:rsidSect="00885998">
          <w:headerReference w:type="even" r:id="rId57"/>
          <w:headerReference w:type="default" r:id="rId58"/>
          <w:footnotePr>
            <w:numFmt w:val="lowerLetter"/>
          </w:footnotePr>
          <w:endnotePr>
            <w:numFmt w:val="decimal"/>
          </w:endnotePr>
          <w:pgSz w:w="11906" w:h="16838"/>
          <w:pgMar w:top="1440" w:right="1080" w:bottom="1440" w:left="1080" w:header="709" w:footer="709" w:gutter="0"/>
          <w:cols w:space="708"/>
          <w:docGrid w:linePitch="360"/>
        </w:sectPr>
      </w:pPr>
    </w:p>
    <w:p w14:paraId="4FF76F45" w14:textId="25628B39" w:rsidR="00D562A2" w:rsidRPr="00A359C3" w:rsidRDefault="00743D9F" w:rsidP="00D9246A">
      <w:pPr>
        <w:pStyle w:val="Heading1"/>
        <w:spacing w:before="0"/>
      </w:pPr>
      <w:bookmarkStart w:id="192" w:name="_Toc20838488"/>
      <w:bookmarkStart w:id="193" w:name="_Toc218690643"/>
      <w:r w:rsidRPr="00595FE6">
        <w:lastRenderedPageBreak/>
        <w:t>The level of need in Brighton &amp; Hove</w:t>
      </w:r>
      <w:bookmarkEnd w:id="192"/>
      <w:bookmarkEnd w:id="193"/>
      <w:r w:rsidR="003D4FAA" w:rsidRPr="00595FE6">
        <w:t xml:space="preserve"> </w:t>
      </w:r>
    </w:p>
    <w:p w14:paraId="588AF95B" w14:textId="59EDF7BA" w:rsidR="003B41C9" w:rsidRPr="007A17DE" w:rsidRDefault="007A17DE" w:rsidP="00D9246A">
      <w:pPr>
        <w:spacing w:line="240" w:lineRule="auto"/>
      </w:pPr>
      <w:r>
        <w:t xml:space="preserve">Analysis of local data for the needs assessment took place between May 2024 and May 2025. </w:t>
      </w:r>
      <w:r w:rsidR="003B41C9" w:rsidRPr="00DB5318">
        <w:t xml:space="preserve">Appendix </w:t>
      </w:r>
      <w:r w:rsidR="003B441F" w:rsidRPr="00DB5318">
        <w:t>2</w:t>
      </w:r>
      <w:r w:rsidR="003B41C9" w:rsidRPr="00DB5318">
        <w:t xml:space="preserve"> </w:t>
      </w:r>
      <w:r w:rsidR="00240559" w:rsidRPr="00DB5318">
        <w:t>Key</w:t>
      </w:r>
      <w:r w:rsidR="00240559" w:rsidRPr="008C4D14">
        <w:t xml:space="preserve"> datasets analysed as part of the needs assessment</w:t>
      </w:r>
      <w:r w:rsidR="00720E7C">
        <w:t>,</w:t>
      </w:r>
      <w:r w:rsidR="003B41C9">
        <w:t xml:space="preserve"> </w:t>
      </w:r>
      <w:r>
        <w:t>shows the key data sources identified</w:t>
      </w:r>
      <w:r w:rsidR="001A74C6">
        <w:t>, along with when they were analysed. These may not be the latest data at the time of publication of the needs assessment.</w:t>
      </w:r>
      <w:r w:rsidR="008C0226">
        <w:t xml:space="preserve"> </w:t>
      </w:r>
      <w:r w:rsidR="003B41C9">
        <w:t xml:space="preserve">They include local data from surveys, Compass (the voluntary register for </w:t>
      </w:r>
      <w:r w:rsidR="003B41C9">
        <w:rPr>
          <w:rFonts w:cs="Arial"/>
          <w:szCs w:val="24"/>
        </w:rPr>
        <w:t>children and young people (CYP)</w:t>
      </w:r>
      <w:r w:rsidR="003B41C9" w:rsidRPr="00A21585">
        <w:rPr>
          <w:rFonts w:cs="Arial"/>
          <w:szCs w:val="24"/>
        </w:rPr>
        <w:t xml:space="preserve"> with disabilities in Brighton &amp; Hove</w:t>
      </w:r>
      <w:r w:rsidR="00B80208">
        <w:rPr>
          <w:rFonts w:cs="Arial"/>
          <w:szCs w:val="24"/>
        </w:rPr>
        <w:t>), education data and neurodevelopmental assessments, and national data from the Department of Education and NHS.</w:t>
      </w:r>
    </w:p>
    <w:p w14:paraId="69C608B0" w14:textId="37D40B01" w:rsidR="00C24B37" w:rsidRDefault="00C24B37" w:rsidP="00D9246A">
      <w:pPr>
        <w:pStyle w:val="Heading2"/>
        <w:spacing w:before="0" w:after="120"/>
      </w:pPr>
      <w:bookmarkStart w:id="194" w:name="_Toc451780928"/>
      <w:bookmarkStart w:id="195" w:name="_Toc451780939"/>
      <w:bookmarkEnd w:id="90"/>
      <w:bookmarkEnd w:id="91"/>
      <w:bookmarkEnd w:id="92"/>
      <w:r>
        <w:t>Local prevalence</w:t>
      </w:r>
      <w:r w:rsidR="00D26120">
        <w:t xml:space="preserve"> data</w:t>
      </w:r>
    </w:p>
    <w:p w14:paraId="6306E4FF" w14:textId="3D7D2754" w:rsidR="0053651B" w:rsidRPr="00102F0B" w:rsidRDefault="0053651B" w:rsidP="0053651B">
      <w:pPr>
        <w:pStyle w:val="Heading3"/>
      </w:pPr>
      <w:r w:rsidRPr="00CB76E9">
        <w:t>SEN</w:t>
      </w:r>
      <w:r>
        <w:t xml:space="preserve"> provision</w:t>
      </w:r>
      <w:r w:rsidR="000E7898">
        <w:t xml:space="preserve"> data</w:t>
      </w:r>
    </w:p>
    <w:p w14:paraId="518EBE1D" w14:textId="407E045B" w:rsidR="00DB79BD" w:rsidRPr="004A2E35" w:rsidRDefault="00DB79BD" w:rsidP="004A2E35">
      <w:pPr>
        <w:spacing w:after="0" w:line="240" w:lineRule="auto"/>
        <w:rPr>
          <w:rFonts w:cs="Arial"/>
          <w:b/>
          <w:color w:val="0079C2"/>
          <w:szCs w:val="24"/>
        </w:rPr>
      </w:pPr>
      <w:r w:rsidRPr="00477D61">
        <w:rPr>
          <w:rFonts w:cs="Arial"/>
          <w:b/>
          <w:color w:val="0079C2"/>
          <w:szCs w:val="24"/>
        </w:rPr>
        <w:t xml:space="preserve">All pupils </w:t>
      </w:r>
      <w:r>
        <w:rPr>
          <w:rFonts w:cs="Arial"/>
          <w:szCs w:val="24"/>
        </w:rPr>
        <w:t>Over the years, for all school age pupils, there have been more pupils on SEN support than on an EHC plan. In 2023/24, of all pupils, 434,354 (5%) were on an EHC plan in England, 74,809 (5%) in South-East and 1,697 (5%) in Brighton and Hove. There were 1,238,851 (14%) pupils on SEN support in England, 207,768 (14%) in South-East (14%) and a little higher percentage for Brighton &amp; Hove with 5,045 (17%)</w:t>
      </w:r>
      <w:r>
        <w:rPr>
          <w:rStyle w:val="EndnoteReference"/>
          <w:szCs w:val="24"/>
        </w:rPr>
        <w:endnoteReference w:id="51"/>
      </w:r>
      <w:r>
        <w:rPr>
          <w:rFonts w:cs="Arial"/>
          <w:szCs w:val="24"/>
        </w:rPr>
        <w:t>.</w:t>
      </w:r>
    </w:p>
    <w:p w14:paraId="6C204137" w14:textId="77777777" w:rsidR="00DB79BD" w:rsidRDefault="00DB79BD" w:rsidP="00DB79BD">
      <w:pPr>
        <w:spacing w:line="240" w:lineRule="auto"/>
        <w:rPr>
          <w:rFonts w:cs="Arial"/>
          <w:szCs w:val="24"/>
        </w:rPr>
      </w:pPr>
      <w:r>
        <w:rPr>
          <w:rFonts w:cs="Arial"/>
          <w:szCs w:val="24"/>
        </w:rPr>
        <w:t>In the same year, the percentage of all pupils with no identified SEN was 82% (7,418,868) in England, similar to the South-East at 81% (1,221,234), and 78% (27,561) in Brighton &amp; Hove.</w:t>
      </w:r>
    </w:p>
    <w:p w14:paraId="2C72BD4A" w14:textId="20C4BB03" w:rsidR="00DB79BD" w:rsidRPr="003376F6" w:rsidRDefault="00DB79BD" w:rsidP="00DB79BD">
      <w:pPr>
        <w:spacing w:line="240" w:lineRule="auto"/>
        <w:rPr>
          <w:b/>
          <w:color w:val="A65588"/>
        </w:rPr>
      </w:pPr>
      <w:r w:rsidRPr="003376F6">
        <w:rPr>
          <w:b/>
          <w:color w:val="A65588"/>
        </w:rPr>
        <w:t xml:space="preserve">Table </w:t>
      </w:r>
      <w:r w:rsidRPr="003376F6">
        <w:rPr>
          <w:b/>
          <w:color w:val="A65588"/>
        </w:rPr>
        <w:fldChar w:fldCharType="begin"/>
      </w:r>
      <w:r w:rsidRPr="003376F6">
        <w:rPr>
          <w:b/>
          <w:color w:val="A65588"/>
        </w:rPr>
        <w:instrText xml:space="preserve"> SEQ Table \* ARABIC </w:instrText>
      </w:r>
      <w:r w:rsidRPr="003376F6">
        <w:rPr>
          <w:b/>
          <w:color w:val="A65588"/>
        </w:rPr>
        <w:fldChar w:fldCharType="separate"/>
      </w:r>
      <w:r w:rsidR="009A41AE">
        <w:rPr>
          <w:b/>
          <w:noProof/>
          <w:color w:val="A65588"/>
        </w:rPr>
        <w:t>4</w:t>
      </w:r>
      <w:r w:rsidRPr="003376F6">
        <w:rPr>
          <w:b/>
          <w:color w:val="A65588"/>
        </w:rPr>
        <w:fldChar w:fldCharType="end"/>
      </w:r>
      <w:r w:rsidRPr="003376F6">
        <w:rPr>
          <w:b/>
          <w:color w:val="A65588"/>
        </w:rPr>
        <w:t>: Special educational needs for all pupils</w:t>
      </w:r>
      <w:r>
        <w:rPr>
          <w:b/>
          <w:color w:val="A65588"/>
        </w:rPr>
        <w:t>,</w:t>
      </w:r>
      <w:r w:rsidRPr="003376F6">
        <w:rPr>
          <w:b/>
          <w:color w:val="A65588"/>
        </w:rPr>
        <w:t xml:space="preserve"> Brighton and Hove, South-East and England, 2022/23 and 2023/24</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4"/>
        <w:gridCol w:w="1335"/>
        <w:gridCol w:w="1335"/>
        <w:gridCol w:w="1335"/>
        <w:gridCol w:w="1335"/>
        <w:gridCol w:w="1335"/>
        <w:gridCol w:w="1335"/>
      </w:tblGrid>
      <w:tr w:rsidR="00DB79BD" w:rsidRPr="002936E3" w14:paraId="36C8DB64" w14:textId="77777777">
        <w:tc>
          <w:tcPr>
            <w:tcW w:w="1334" w:type="dxa"/>
            <w:tcBorders>
              <w:bottom w:val="nil"/>
            </w:tcBorders>
            <w:shd w:val="clear" w:color="auto" w:fill="086A76"/>
          </w:tcPr>
          <w:p w14:paraId="48D47F59" w14:textId="77777777" w:rsidR="00DB79BD" w:rsidRPr="00BF25AF" w:rsidRDefault="00DB79BD">
            <w:pPr>
              <w:rPr>
                <w:rFonts w:cs="Arial"/>
                <w:color w:val="FFFFFF" w:themeColor="background1"/>
                <w:szCs w:val="24"/>
              </w:rPr>
            </w:pPr>
          </w:p>
        </w:tc>
        <w:tc>
          <w:tcPr>
            <w:tcW w:w="1335" w:type="dxa"/>
            <w:tcBorders>
              <w:bottom w:val="nil"/>
            </w:tcBorders>
            <w:shd w:val="clear" w:color="auto" w:fill="086A76"/>
          </w:tcPr>
          <w:p w14:paraId="1B264D67" w14:textId="77777777" w:rsidR="00DB79BD" w:rsidRPr="00BF25AF" w:rsidRDefault="00DB79BD">
            <w:pPr>
              <w:rPr>
                <w:rFonts w:cs="Arial"/>
                <w:color w:val="FFFFFF" w:themeColor="background1"/>
                <w:szCs w:val="24"/>
              </w:rPr>
            </w:pPr>
            <w:r w:rsidRPr="00BF25AF">
              <w:rPr>
                <w:rFonts w:cs="Arial"/>
                <w:color w:val="FFFFFF" w:themeColor="background1"/>
                <w:szCs w:val="24"/>
              </w:rPr>
              <w:t>England</w:t>
            </w:r>
          </w:p>
        </w:tc>
        <w:tc>
          <w:tcPr>
            <w:tcW w:w="1335" w:type="dxa"/>
            <w:tcBorders>
              <w:bottom w:val="nil"/>
            </w:tcBorders>
            <w:shd w:val="clear" w:color="auto" w:fill="086A76"/>
          </w:tcPr>
          <w:p w14:paraId="27743A9E" w14:textId="77777777" w:rsidR="00DB79BD" w:rsidRPr="00BF25AF" w:rsidRDefault="00DB79BD">
            <w:pPr>
              <w:rPr>
                <w:rFonts w:cs="Arial"/>
                <w:color w:val="FFFFFF" w:themeColor="background1"/>
                <w:szCs w:val="24"/>
              </w:rPr>
            </w:pPr>
            <w:r w:rsidRPr="00BF25AF">
              <w:rPr>
                <w:rFonts w:cs="Arial"/>
                <w:color w:val="FFFFFF" w:themeColor="background1"/>
                <w:szCs w:val="24"/>
              </w:rPr>
              <w:t>England</w:t>
            </w:r>
          </w:p>
        </w:tc>
        <w:tc>
          <w:tcPr>
            <w:tcW w:w="1335" w:type="dxa"/>
            <w:tcBorders>
              <w:bottom w:val="nil"/>
            </w:tcBorders>
            <w:shd w:val="clear" w:color="auto" w:fill="086A76"/>
          </w:tcPr>
          <w:p w14:paraId="30F97CD7" w14:textId="77777777" w:rsidR="00DB79BD" w:rsidRPr="00BF25AF" w:rsidRDefault="00DB79BD">
            <w:pPr>
              <w:rPr>
                <w:rFonts w:cs="Arial"/>
                <w:color w:val="FFFFFF" w:themeColor="background1"/>
                <w:szCs w:val="24"/>
              </w:rPr>
            </w:pPr>
            <w:r w:rsidRPr="00BF25AF">
              <w:rPr>
                <w:rFonts w:cs="Arial"/>
                <w:color w:val="FFFFFF" w:themeColor="background1"/>
                <w:szCs w:val="24"/>
              </w:rPr>
              <w:t>South-East</w:t>
            </w:r>
          </w:p>
        </w:tc>
        <w:tc>
          <w:tcPr>
            <w:tcW w:w="1335" w:type="dxa"/>
            <w:tcBorders>
              <w:bottom w:val="nil"/>
            </w:tcBorders>
            <w:shd w:val="clear" w:color="auto" w:fill="086A76"/>
          </w:tcPr>
          <w:p w14:paraId="6E371BD8" w14:textId="77777777" w:rsidR="00DB79BD" w:rsidRPr="00BF25AF" w:rsidRDefault="00DB79BD">
            <w:pPr>
              <w:rPr>
                <w:rFonts w:cs="Arial"/>
                <w:color w:val="FFFFFF" w:themeColor="background1"/>
                <w:szCs w:val="24"/>
              </w:rPr>
            </w:pPr>
            <w:r w:rsidRPr="00BF25AF">
              <w:rPr>
                <w:rFonts w:cs="Arial"/>
                <w:color w:val="FFFFFF" w:themeColor="background1"/>
                <w:szCs w:val="24"/>
              </w:rPr>
              <w:t>South-East</w:t>
            </w:r>
          </w:p>
        </w:tc>
        <w:tc>
          <w:tcPr>
            <w:tcW w:w="1335" w:type="dxa"/>
            <w:tcBorders>
              <w:bottom w:val="nil"/>
            </w:tcBorders>
            <w:shd w:val="clear" w:color="auto" w:fill="086A76"/>
          </w:tcPr>
          <w:p w14:paraId="53342235" w14:textId="77777777" w:rsidR="00DB79BD" w:rsidRPr="00BF25AF" w:rsidRDefault="00DB79BD">
            <w:pPr>
              <w:jc w:val="center"/>
              <w:rPr>
                <w:rFonts w:cs="Arial"/>
                <w:color w:val="FFFFFF" w:themeColor="background1"/>
                <w:szCs w:val="24"/>
              </w:rPr>
            </w:pPr>
            <w:r w:rsidRPr="00BF25AF">
              <w:rPr>
                <w:rFonts w:cs="Arial"/>
                <w:color w:val="FFFFFF" w:themeColor="background1"/>
                <w:szCs w:val="24"/>
              </w:rPr>
              <w:t>Brighton &amp; Hove</w:t>
            </w:r>
          </w:p>
        </w:tc>
        <w:tc>
          <w:tcPr>
            <w:tcW w:w="1335" w:type="dxa"/>
            <w:tcBorders>
              <w:bottom w:val="nil"/>
            </w:tcBorders>
            <w:shd w:val="clear" w:color="auto" w:fill="086A76"/>
          </w:tcPr>
          <w:p w14:paraId="12112519" w14:textId="77777777" w:rsidR="00DB79BD" w:rsidRPr="00BF25AF" w:rsidRDefault="00DB79BD">
            <w:pPr>
              <w:jc w:val="center"/>
              <w:rPr>
                <w:rFonts w:cs="Arial"/>
                <w:color w:val="FFFFFF" w:themeColor="background1"/>
                <w:szCs w:val="24"/>
              </w:rPr>
            </w:pPr>
            <w:r w:rsidRPr="00BF25AF">
              <w:rPr>
                <w:rFonts w:cs="Arial"/>
                <w:color w:val="FFFFFF" w:themeColor="background1"/>
                <w:szCs w:val="24"/>
              </w:rPr>
              <w:t>Brighton &amp; Hove</w:t>
            </w:r>
          </w:p>
        </w:tc>
      </w:tr>
      <w:tr w:rsidR="00DB79BD" w:rsidRPr="002936E3" w14:paraId="5ED21B49" w14:textId="77777777">
        <w:tc>
          <w:tcPr>
            <w:tcW w:w="1334" w:type="dxa"/>
            <w:tcBorders>
              <w:top w:val="nil"/>
            </w:tcBorders>
            <w:shd w:val="clear" w:color="auto" w:fill="086A76"/>
          </w:tcPr>
          <w:p w14:paraId="529564B7" w14:textId="77777777" w:rsidR="00DB79BD" w:rsidRPr="00BF25AF" w:rsidRDefault="00DB79BD">
            <w:pPr>
              <w:rPr>
                <w:rFonts w:cs="Arial"/>
                <w:color w:val="FFFFFF" w:themeColor="background1"/>
                <w:szCs w:val="24"/>
              </w:rPr>
            </w:pPr>
          </w:p>
        </w:tc>
        <w:tc>
          <w:tcPr>
            <w:tcW w:w="1335" w:type="dxa"/>
            <w:tcBorders>
              <w:top w:val="nil"/>
            </w:tcBorders>
            <w:shd w:val="clear" w:color="auto" w:fill="086A76"/>
          </w:tcPr>
          <w:p w14:paraId="4845B512" w14:textId="77777777" w:rsidR="00DB79BD" w:rsidRPr="00BF25AF" w:rsidRDefault="00DB79BD">
            <w:pPr>
              <w:rPr>
                <w:rFonts w:cs="Arial"/>
                <w:color w:val="FFFFFF" w:themeColor="background1"/>
                <w:szCs w:val="24"/>
              </w:rPr>
            </w:pPr>
            <w:r w:rsidRPr="00BF25AF">
              <w:rPr>
                <w:rFonts w:cs="Arial"/>
                <w:color w:val="FFFFFF" w:themeColor="background1"/>
                <w:szCs w:val="24"/>
              </w:rPr>
              <w:t>2022/23</w:t>
            </w:r>
          </w:p>
        </w:tc>
        <w:tc>
          <w:tcPr>
            <w:tcW w:w="1335" w:type="dxa"/>
            <w:tcBorders>
              <w:top w:val="nil"/>
            </w:tcBorders>
            <w:shd w:val="clear" w:color="auto" w:fill="086A76"/>
          </w:tcPr>
          <w:p w14:paraId="35403F4B" w14:textId="77777777" w:rsidR="00DB79BD" w:rsidRPr="00BF25AF" w:rsidRDefault="00DB79BD">
            <w:pPr>
              <w:rPr>
                <w:rFonts w:cs="Arial"/>
                <w:color w:val="FFFFFF" w:themeColor="background1"/>
                <w:szCs w:val="24"/>
              </w:rPr>
            </w:pPr>
            <w:r w:rsidRPr="00BF25AF">
              <w:rPr>
                <w:rFonts w:cs="Arial"/>
                <w:color w:val="FFFFFF" w:themeColor="background1"/>
                <w:szCs w:val="24"/>
              </w:rPr>
              <w:t>2023/24</w:t>
            </w:r>
          </w:p>
        </w:tc>
        <w:tc>
          <w:tcPr>
            <w:tcW w:w="1335" w:type="dxa"/>
            <w:tcBorders>
              <w:top w:val="nil"/>
            </w:tcBorders>
            <w:shd w:val="clear" w:color="auto" w:fill="086A76"/>
          </w:tcPr>
          <w:p w14:paraId="7CC8EC38" w14:textId="77777777" w:rsidR="00DB79BD" w:rsidRPr="00BF25AF" w:rsidRDefault="00DB79BD">
            <w:pPr>
              <w:rPr>
                <w:rFonts w:cs="Arial"/>
                <w:color w:val="FFFFFF" w:themeColor="background1"/>
                <w:szCs w:val="24"/>
              </w:rPr>
            </w:pPr>
            <w:r w:rsidRPr="00BF25AF">
              <w:rPr>
                <w:rFonts w:cs="Arial"/>
                <w:color w:val="FFFFFF" w:themeColor="background1"/>
                <w:szCs w:val="24"/>
              </w:rPr>
              <w:t>2022/23</w:t>
            </w:r>
          </w:p>
        </w:tc>
        <w:tc>
          <w:tcPr>
            <w:tcW w:w="1335" w:type="dxa"/>
            <w:tcBorders>
              <w:top w:val="nil"/>
            </w:tcBorders>
            <w:shd w:val="clear" w:color="auto" w:fill="086A76"/>
          </w:tcPr>
          <w:p w14:paraId="431B2797" w14:textId="77777777" w:rsidR="00DB79BD" w:rsidRPr="00BF25AF" w:rsidRDefault="00DB79BD">
            <w:pPr>
              <w:rPr>
                <w:rFonts w:cs="Arial"/>
                <w:color w:val="FFFFFF" w:themeColor="background1"/>
                <w:szCs w:val="24"/>
              </w:rPr>
            </w:pPr>
            <w:r w:rsidRPr="00BF25AF">
              <w:rPr>
                <w:rFonts w:cs="Arial"/>
                <w:color w:val="FFFFFF" w:themeColor="background1"/>
                <w:szCs w:val="24"/>
              </w:rPr>
              <w:t>2023/24</w:t>
            </w:r>
          </w:p>
        </w:tc>
        <w:tc>
          <w:tcPr>
            <w:tcW w:w="1335" w:type="dxa"/>
            <w:tcBorders>
              <w:top w:val="nil"/>
            </w:tcBorders>
            <w:shd w:val="clear" w:color="auto" w:fill="086A76"/>
          </w:tcPr>
          <w:p w14:paraId="03CAA074" w14:textId="77777777" w:rsidR="00DB79BD" w:rsidRPr="00BF25AF" w:rsidRDefault="00DB79BD">
            <w:pPr>
              <w:rPr>
                <w:rFonts w:cs="Arial"/>
                <w:color w:val="FFFFFF" w:themeColor="background1"/>
                <w:szCs w:val="24"/>
              </w:rPr>
            </w:pPr>
            <w:r w:rsidRPr="00BF25AF">
              <w:rPr>
                <w:rFonts w:cs="Arial"/>
                <w:color w:val="FFFFFF" w:themeColor="background1"/>
                <w:szCs w:val="24"/>
              </w:rPr>
              <w:t>2022/23</w:t>
            </w:r>
          </w:p>
        </w:tc>
        <w:tc>
          <w:tcPr>
            <w:tcW w:w="1335" w:type="dxa"/>
            <w:tcBorders>
              <w:top w:val="nil"/>
            </w:tcBorders>
            <w:shd w:val="clear" w:color="auto" w:fill="086A76"/>
          </w:tcPr>
          <w:p w14:paraId="0F7A3864" w14:textId="77777777" w:rsidR="00DB79BD" w:rsidRPr="00BF25AF" w:rsidRDefault="00DB79BD">
            <w:pPr>
              <w:rPr>
                <w:rFonts w:cs="Arial"/>
                <w:color w:val="FFFFFF" w:themeColor="background1"/>
                <w:szCs w:val="24"/>
              </w:rPr>
            </w:pPr>
            <w:r w:rsidRPr="00BF25AF">
              <w:rPr>
                <w:rFonts w:cs="Arial"/>
                <w:color w:val="FFFFFF" w:themeColor="background1"/>
                <w:szCs w:val="24"/>
              </w:rPr>
              <w:t>2023/24</w:t>
            </w:r>
          </w:p>
        </w:tc>
      </w:tr>
      <w:tr w:rsidR="00DB79BD" w:rsidRPr="002936E3" w14:paraId="1659A39A" w14:textId="77777777">
        <w:tc>
          <w:tcPr>
            <w:tcW w:w="1334" w:type="dxa"/>
          </w:tcPr>
          <w:p w14:paraId="3D6D99E2" w14:textId="77777777" w:rsidR="00DB79BD" w:rsidRPr="002936E3" w:rsidRDefault="00DB79BD">
            <w:pPr>
              <w:rPr>
                <w:rFonts w:cs="Arial"/>
                <w:szCs w:val="24"/>
              </w:rPr>
            </w:pPr>
            <w:r>
              <w:rPr>
                <w:rFonts w:cs="Arial"/>
                <w:szCs w:val="24"/>
              </w:rPr>
              <w:t>% of all pupils with EHC plan</w:t>
            </w:r>
          </w:p>
        </w:tc>
        <w:tc>
          <w:tcPr>
            <w:tcW w:w="1335" w:type="dxa"/>
          </w:tcPr>
          <w:p w14:paraId="30B54F31" w14:textId="77777777" w:rsidR="00DB79BD" w:rsidRPr="00595FE6" w:rsidRDefault="00DB79BD">
            <w:pPr>
              <w:jc w:val="right"/>
              <w:rPr>
                <w:rFonts w:cs="Arial"/>
                <w:szCs w:val="24"/>
              </w:rPr>
            </w:pPr>
          </w:p>
          <w:p w14:paraId="36ABC758" w14:textId="77777777" w:rsidR="00DB79BD" w:rsidRPr="002936E3" w:rsidRDefault="00DB79BD">
            <w:pPr>
              <w:jc w:val="right"/>
              <w:rPr>
                <w:rFonts w:cs="Arial"/>
                <w:szCs w:val="24"/>
              </w:rPr>
            </w:pPr>
            <w:r w:rsidRPr="00595FE6">
              <w:rPr>
                <w:rFonts w:cs="Arial"/>
                <w:szCs w:val="24"/>
              </w:rPr>
              <w:t>4%</w:t>
            </w:r>
          </w:p>
        </w:tc>
        <w:tc>
          <w:tcPr>
            <w:tcW w:w="1335" w:type="dxa"/>
          </w:tcPr>
          <w:p w14:paraId="770B4BD0" w14:textId="77777777" w:rsidR="00DB79BD" w:rsidRPr="00595FE6" w:rsidRDefault="00DB79BD">
            <w:pPr>
              <w:jc w:val="right"/>
              <w:rPr>
                <w:rFonts w:cs="Arial"/>
                <w:szCs w:val="24"/>
              </w:rPr>
            </w:pPr>
          </w:p>
          <w:p w14:paraId="07686A65" w14:textId="77777777" w:rsidR="00DB79BD" w:rsidRPr="002936E3" w:rsidRDefault="00DB79BD">
            <w:pPr>
              <w:jc w:val="right"/>
              <w:rPr>
                <w:rFonts w:cs="Arial"/>
                <w:szCs w:val="24"/>
              </w:rPr>
            </w:pPr>
            <w:r w:rsidRPr="00595FE6">
              <w:rPr>
                <w:rFonts w:cs="Arial"/>
                <w:szCs w:val="24"/>
              </w:rPr>
              <w:t>5%</w:t>
            </w:r>
          </w:p>
        </w:tc>
        <w:tc>
          <w:tcPr>
            <w:tcW w:w="1335" w:type="dxa"/>
          </w:tcPr>
          <w:p w14:paraId="4BC653AC" w14:textId="77777777" w:rsidR="00DB79BD" w:rsidRPr="00595FE6" w:rsidRDefault="00DB79BD">
            <w:pPr>
              <w:jc w:val="right"/>
              <w:rPr>
                <w:rFonts w:cs="Arial"/>
                <w:szCs w:val="24"/>
              </w:rPr>
            </w:pPr>
          </w:p>
          <w:p w14:paraId="1284C30E" w14:textId="77777777" w:rsidR="00DB79BD" w:rsidRPr="002936E3" w:rsidRDefault="00DB79BD">
            <w:pPr>
              <w:jc w:val="right"/>
              <w:rPr>
                <w:rFonts w:cs="Arial"/>
                <w:szCs w:val="24"/>
              </w:rPr>
            </w:pPr>
            <w:r w:rsidRPr="00595FE6">
              <w:rPr>
                <w:rFonts w:cs="Arial"/>
                <w:szCs w:val="24"/>
              </w:rPr>
              <w:t>5%</w:t>
            </w:r>
          </w:p>
        </w:tc>
        <w:tc>
          <w:tcPr>
            <w:tcW w:w="1335" w:type="dxa"/>
          </w:tcPr>
          <w:p w14:paraId="0A3BB433" w14:textId="77777777" w:rsidR="00DB79BD" w:rsidRPr="00595FE6" w:rsidRDefault="00DB79BD">
            <w:pPr>
              <w:jc w:val="right"/>
              <w:rPr>
                <w:rFonts w:cs="Arial"/>
                <w:szCs w:val="24"/>
              </w:rPr>
            </w:pPr>
          </w:p>
          <w:p w14:paraId="2F7CC046" w14:textId="77777777" w:rsidR="00DB79BD" w:rsidRPr="002936E3" w:rsidRDefault="00DB79BD">
            <w:pPr>
              <w:jc w:val="right"/>
              <w:rPr>
                <w:rFonts w:cs="Arial"/>
                <w:szCs w:val="24"/>
              </w:rPr>
            </w:pPr>
            <w:r w:rsidRPr="00595FE6">
              <w:rPr>
                <w:rFonts w:cs="Arial"/>
                <w:szCs w:val="24"/>
              </w:rPr>
              <w:t>5%</w:t>
            </w:r>
          </w:p>
        </w:tc>
        <w:tc>
          <w:tcPr>
            <w:tcW w:w="1335" w:type="dxa"/>
          </w:tcPr>
          <w:p w14:paraId="5FE91CA9" w14:textId="77777777" w:rsidR="00DB79BD" w:rsidRPr="00595FE6" w:rsidRDefault="00DB79BD">
            <w:pPr>
              <w:jc w:val="right"/>
              <w:rPr>
                <w:rFonts w:cs="Arial"/>
                <w:szCs w:val="24"/>
              </w:rPr>
            </w:pPr>
          </w:p>
          <w:p w14:paraId="0CFD7A6E" w14:textId="77777777" w:rsidR="00DB79BD" w:rsidRPr="002936E3" w:rsidRDefault="00DB79BD">
            <w:pPr>
              <w:jc w:val="right"/>
              <w:rPr>
                <w:rFonts w:cs="Arial"/>
                <w:szCs w:val="24"/>
              </w:rPr>
            </w:pPr>
            <w:r w:rsidRPr="00595FE6">
              <w:rPr>
                <w:rFonts w:cs="Arial"/>
                <w:szCs w:val="24"/>
              </w:rPr>
              <w:t>4%</w:t>
            </w:r>
          </w:p>
        </w:tc>
        <w:tc>
          <w:tcPr>
            <w:tcW w:w="1335" w:type="dxa"/>
          </w:tcPr>
          <w:p w14:paraId="734E8B2D" w14:textId="77777777" w:rsidR="00DB79BD" w:rsidRPr="00595FE6" w:rsidRDefault="00DB79BD">
            <w:pPr>
              <w:jc w:val="right"/>
              <w:rPr>
                <w:rFonts w:cs="Arial"/>
                <w:szCs w:val="24"/>
              </w:rPr>
            </w:pPr>
          </w:p>
          <w:p w14:paraId="273E268C" w14:textId="77777777" w:rsidR="00DB79BD" w:rsidRPr="002936E3" w:rsidRDefault="00DB79BD">
            <w:pPr>
              <w:jc w:val="right"/>
              <w:rPr>
                <w:rFonts w:cs="Arial"/>
                <w:szCs w:val="24"/>
              </w:rPr>
            </w:pPr>
            <w:r w:rsidRPr="00595FE6">
              <w:rPr>
                <w:rFonts w:cs="Arial"/>
                <w:szCs w:val="24"/>
              </w:rPr>
              <w:t>5%</w:t>
            </w:r>
          </w:p>
        </w:tc>
      </w:tr>
      <w:tr w:rsidR="00DB79BD" w:rsidRPr="002936E3" w14:paraId="1EAD5CEE" w14:textId="77777777">
        <w:tc>
          <w:tcPr>
            <w:tcW w:w="1334" w:type="dxa"/>
          </w:tcPr>
          <w:p w14:paraId="07E5FD27" w14:textId="77777777" w:rsidR="00DB79BD" w:rsidRPr="002936E3" w:rsidRDefault="00DB79BD">
            <w:pPr>
              <w:rPr>
                <w:rFonts w:cs="Arial"/>
                <w:szCs w:val="24"/>
              </w:rPr>
            </w:pPr>
            <w:r>
              <w:rPr>
                <w:rFonts w:cs="Arial"/>
                <w:szCs w:val="24"/>
              </w:rPr>
              <w:t>% of all pupils with SEN support</w:t>
            </w:r>
          </w:p>
        </w:tc>
        <w:tc>
          <w:tcPr>
            <w:tcW w:w="1335" w:type="dxa"/>
          </w:tcPr>
          <w:p w14:paraId="1D2D691B" w14:textId="77777777" w:rsidR="00DB79BD" w:rsidRPr="00595FE6" w:rsidRDefault="00DB79BD">
            <w:pPr>
              <w:jc w:val="right"/>
              <w:rPr>
                <w:rFonts w:cs="Arial"/>
                <w:szCs w:val="24"/>
              </w:rPr>
            </w:pPr>
          </w:p>
          <w:p w14:paraId="72260387" w14:textId="77777777" w:rsidR="00DB79BD" w:rsidRPr="002936E3" w:rsidRDefault="00DB79BD">
            <w:pPr>
              <w:jc w:val="right"/>
              <w:rPr>
                <w:rFonts w:cs="Arial"/>
                <w:szCs w:val="24"/>
              </w:rPr>
            </w:pPr>
            <w:r w:rsidRPr="00595FE6">
              <w:rPr>
                <w:rFonts w:cs="Arial"/>
                <w:szCs w:val="24"/>
              </w:rPr>
              <w:t>13%</w:t>
            </w:r>
          </w:p>
        </w:tc>
        <w:tc>
          <w:tcPr>
            <w:tcW w:w="1335" w:type="dxa"/>
          </w:tcPr>
          <w:p w14:paraId="37624043" w14:textId="77777777" w:rsidR="00DB79BD" w:rsidRPr="00595FE6" w:rsidRDefault="00DB79BD">
            <w:pPr>
              <w:jc w:val="right"/>
              <w:rPr>
                <w:rFonts w:cs="Arial"/>
                <w:szCs w:val="24"/>
              </w:rPr>
            </w:pPr>
          </w:p>
          <w:p w14:paraId="4F482BAC" w14:textId="77777777" w:rsidR="00DB79BD" w:rsidRPr="002936E3" w:rsidRDefault="00DB79BD">
            <w:pPr>
              <w:jc w:val="right"/>
              <w:rPr>
                <w:rFonts w:cs="Arial"/>
                <w:szCs w:val="24"/>
              </w:rPr>
            </w:pPr>
            <w:r w:rsidRPr="00595FE6">
              <w:rPr>
                <w:rFonts w:cs="Arial"/>
                <w:szCs w:val="24"/>
              </w:rPr>
              <w:t>14%</w:t>
            </w:r>
          </w:p>
        </w:tc>
        <w:tc>
          <w:tcPr>
            <w:tcW w:w="1335" w:type="dxa"/>
          </w:tcPr>
          <w:p w14:paraId="1EC03D74" w14:textId="77777777" w:rsidR="00DB79BD" w:rsidRPr="00595FE6" w:rsidRDefault="00DB79BD">
            <w:pPr>
              <w:jc w:val="right"/>
              <w:rPr>
                <w:rFonts w:cs="Arial"/>
                <w:szCs w:val="24"/>
              </w:rPr>
            </w:pPr>
          </w:p>
          <w:p w14:paraId="5002480F" w14:textId="77777777" w:rsidR="00DB79BD" w:rsidRPr="002936E3" w:rsidRDefault="00DB79BD">
            <w:pPr>
              <w:jc w:val="right"/>
              <w:rPr>
                <w:rFonts w:cs="Arial"/>
                <w:szCs w:val="24"/>
              </w:rPr>
            </w:pPr>
            <w:r w:rsidRPr="00595FE6">
              <w:rPr>
                <w:rFonts w:cs="Arial"/>
                <w:szCs w:val="24"/>
              </w:rPr>
              <w:t>13%</w:t>
            </w:r>
          </w:p>
        </w:tc>
        <w:tc>
          <w:tcPr>
            <w:tcW w:w="1335" w:type="dxa"/>
          </w:tcPr>
          <w:p w14:paraId="029334C7" w14:textId="77777777" w:rsidR="00DB79BD" w:rsidRPr="00595FE6" w:rsidRDefault="00DB79BD">
            <w:pPr>
              <w:jc w:val="right"/>
              <w:rPr>
                <w:rFonts w:cs="Arial"/>
                <w:szCs w:val="24"/>
              </w:rPr>
            </w:pPr>
          </w:p>
          <w:p w14:paraId="645C7B26" w14:textId="77777777" w:rsidR="00DB79BD" w:rsidRPr="002936E3" w:rsidRDefault="00DB79BD">
            <w:pPr>
              <w:jc w:val="right"/>
              <w:rPr>
                <w:rFonts w:cs="Arial"/>
                <w:szCs w:val="24"/>
              </w:rPr>
            </w:pPr>
            <w:r w:rsidRPr="00595FE6">
              <w:rPr>
                <w:rFonts w:cs="Arial"/>
                <w:szCs w:val="24"/>
              </w:rPr>
              <w:t>14%</w:t>
            </w:r>
          </w:p>
        </w:tc>
        <w:tc>
          <w:tcPr>
            <w:tcW w:w="1335" w:type="dxa"/>
          </w:tcPr>
          <w:p w14:paraId="4AED5E3D" w14:textId="77777777" w:rsidR="00DB79BD" w:rsidRPr="00595FE6" w:rsidRDefault="00DB79BD">
            <w:pPr>
              <w:jc w:val="right"/>
              <w:rPr>
                <w:rFonts w:cs="Arial"/>
                <w:szCs w:val="24"/>
              </w:rPr>
            </w:pPr>
          </w:p>
          <w:p w14:paraId="0F451731" w14:textId="77777777" w:rsidR="00DB79BD" w:rsidRPr="002936E3" w:rsidRDefault="00DB79BD">
            <w:pPr>
              <w:jc w:val="right"/>
              <w:rPr>
                <w:rFonts w:cs="Arial"/>
                <w:szCs w:val="24"/>
              </w:rPr>
            </w:pPr>
            <w:r w:rsidRPr="00595FE6">
              <w:rPr>
                <w:rFonts w:cs="Arial"/>
                <w:szCs w:val="24"/>
              </w:rPr>
              <w:t>16%</w:t>
            </w:r>
          </w:p>
        </w:tc>
        <w:tc>
          <w:tcPr>
            <w:tcW w:w="1335" w:type="dxa"/>
          </w:tcPr>
          <w:p w14:paraId="68975BC9" w14:textId="77777777" w:rsidR="00DB79BD" w:rsidRPr="00595FE6" w:rsidRDefault="00DB79BD">
            <w:pPr>
              <w:jc w:val="right"/>
              <w:rPr>
                <w:rFonts w:cs="Arial"/>
                <w:szCs w:val="24"/>
              </w:rPr>
            </w:pPr>
          </w:p>
          <w:p w14:paraId="11A91593" w14:textId="77777777" w:rsidR="00DB79BD" w:rsidRPr="002936E3" w:rsidRDefault="00DB79BD">
            <w:pPr>
              <w:jc w:val="right"/>
              <w:rPr>
                <w:rFonts w:cs="Arial"/>
                <w:szCs w:val="24"/>
              </w:rPr>
            </w:pPr>
            <w:r w:rsidRPr="00595FE6">
              <w:rPr>
                <w:rFonts w:cs="Arial"/>
                <w:szCs w:val="24"/>
              </w:rPr>
              <w:t>17%</w:t>
            </w:r>
          </w:p>
        </w:tc>
      </w:tr>
      <w:tr w:rsidR="00DB79BD" w:rsidRPr="002936E3" w14:paraId="72B8066E" w14:textId="77777777">
        <w:tc>
          <w:tcPr>
            <w:tcW w:w="1334" w:type="dxa"/>
          </w:tcPr>
          <w:p w14:paraId="7BD2D699" w14:textId="77777777" w:rsidR="00DB79BD" w:rsidRPr="002936E3" w:rsidRDefault="00DB79BD">
            <w:pPr>
              <w:rPr>
                <w:rFonts w:cs="Arial"/>
                <w:szCs w:val="24"/>
              </w:rPr>
            </w:pPr>
            <w:r>
              <w:rPr>
                <w:rFonts w:cs="Arial"/>
                <w:szCs w:val="24"/>
              </w:rPr>
              <w:t>% of all pupils with no identified SEN</w:t>
            </w:r>
          </w:p>
        </w:tc>
        <w:tc>
          <w:tcPr>
            <w:tcW w:w="1335" w:type="dxa"/>
          </w:tcPr>
          <w:p w14:paraId="627F9800" w14:textId="77777777" w:rsidR="00DB79BD" w:rsidRPr="00595FE6" w:rsidRDefault="00DB79BD">
            <w:pPr>
              <w:jc w:val="right"/>
              <w:rPr>
                <w:rFonts w:cs="Arial"/>
                <w:szCs w:val="24"/>
              </w:rPr>
            </w:pPr>
          </w:p>
          <w:p w14:paraId="53F731E8" w14:textId="77777777" w:rsidR="00DB79BD" w:rsidRPr="002936E3" w:rsidRDefault="00DB79BD">
            <w:pPr>
              <w:jc w:val="right"/>
              <w:rPr>
                <w:rFonts w:cs="Arial"/>
                <w:szCs w:val="24"/>
              </w:rPr>
            </w:pPr>
            <w:r w:rsidRPr="00595FE6">
              <w:rPr>
                <w:rFonts w:cs="Arial"/>
                <w:szCs w:val="24"/>
              </w:rPr>
              <w:t>83%</w:t>
            </w:r>
          </w:p>
        </w:tc>
        <w:tc>
          <w:tcPr>
            <w:tcW w:w="1335" w:type="dxa"/>
          </w:tcPr>
          <w:p w14:paraId="4D427F6D" w14:textId="77777777" w:rsidR="00DB79BD" w:rsidRPr="00595FE6" w:rsidRDefault="00DB79BD">
            <w:pPr>
              <w:jc w:val="right"/>
              <w:rPr>
                <w:rFonts w:cs="Arial"/>
                <w:szCs w:val="24"/>
              </w:rPr>
            </w:pPr>
          </w:p>
          <w:p w14:paraId="0B1F52E4" w14:textId="77777777" w:rsidR="00DB79BD" w:rsidRPr="002936E3" w:rsidRDefault="00DB79BD">
            <w:pPr>
              <w:jc w:val="right"/>
              <w:rPr>
                <w:rFonts w:cs="Arial"/>
                <w:szCs w:val="24"/>
              </w:rPr>
            </w:pPr>
            <w:r w:rsidRPr="00595FE6">
              <w:rPr>
                <w:rFonts w:cs="Arial"/>
                <w:szCs w:val="24"/>
              </w:rPr>
              <w:t>82%</w:t>
            </w:r>
          </w:p>
        </w:tc>
        <w:tc>
          <w:tcPr>
            <w:tcW w:w="1335" w:type="dxa"/>
          </w:tcPr>
          <w:p w14:paraId="4BBBA395" w14:textId="77777777" w:rsidR="00DB79BD" w:rsidRPr="00595FE6" w:rsidRDefault="00DB79BD">
            <w:pPr>
              <w:jc w:val="right"/>
              <w:rPr>
                <w:rFonts w:cs="Arial"/>
                <w:szCs w:val="24"/>
              </w:rPr>
            </w:pPr>
          </w:p>
          <w:p w14:paraId="787F7227" w14:textId="77777777" w:rsidR="00DB79BD" w:rsidRPr="002936E3" w:rsidRDefault="00DB79BD">
            <w:pPr>
              <w:jc w:val="right"/>
              <w:rPr>
                <w:rFonts w:cs="Arial"/>
                <w:szCs w:val="24"/>
              </w:rPr>
            </w:pPr>
            <w:r w:rsidRPr="00595FE6">
              <w:rPr>
                <w:rFonts w:cs="Arial"/>
                <w:szCs w:val="24"/>
              </w:rPr>
              <w:t>82%</w:t>
            </w:r>
          </w:p>
        </w:tc>
        <w:tc>
          <w:tcPr>
            <w:tcW w:w="1335" w:type="dxa"/>
          </w:tcPr>
          <w:p w14:paraId="4C4B3901" w14:textId="77777777" w:rsidR="00DB79BD" w:rsidRPr="00595FE6" w:rsidRDefault="00DB79BD">
            <w:pPr>
              <w:jc w:val="right"/>
              <w:rPr>
                <w:rFonts w:cs="Arial"/>
                <w:szCs w:val="24"/>
              </w:rPr>
            </w:pPr>
          </w:p>
          <w:p w14:paraId="7CD6B87F" w14:textId="77777777" w:rsidR="00DB79BD" w:rsidRPr="002936E3" w:rsidRDefault="00DB79BD">
            <w:pPr>
              <w:jc w:val="right"/>
              <w:rPr>
                <w:rFonts w:cs="Arial"/>
                <w:szCs w:val="24"/>
              </w:rPr>
            </w:pPr>
            <w:r w:rsidRPr="00595FE6">
              <w:rPr>
                <w:rFonts w:cs="Arial"/>
                <w:szCs w:val="24"/>
              </w:rPr>
              <w:t>81%</w:t>
            </w:r>
          </w:p>
        </w:tc>
        <w:tc>
          <w:tcPr>
            <w:tcW w:w="1335" w:type="dxa"/>
          </w:tcPr>
          <w:p w14:paraId="5470D7DF" w14:textId="77777777" w:rsidR="00DB79BD" w:rsidRPr="00595FE6" w:rsidRDefault="00DB79BD">
            <w:pPr>
              <w:jc w:val="right"/>
              <w:rPr>
                <w:rFonts w:cs="Arial"/>
                <w:szCs w:val="24"/>
              </w:rPr>
            </w:pPr>
          </w:p>
          <w:p w14:paraId="08166A0B" w14:textId="77777777" w:rsidR="00DB79BD" w:rsidRPr="002936E3" w:rsidRDefault="00DB79BD">
            <w:pPr>
              <w:jc w:val="right"/>
              <w:rPr>
                <w:rFonts w:cs="Arial"/>
                <w:szCs w:val="24"/>
              </w:rPr>
            </w:pPr>
            <w:r w:rsidRPr="00595FE6">
              <w:rPr>
                <w:rFonts w:cs="Arial"/>
                <w:szCs w:val="24"/>
              </w:rPr>
              <w:t>80%</w:t>
            </w:r>
          </w:p>
        </w:tc>
        <w:tc>
          <w:tcPr>
            <w:tcW w:w="1335" w:type="dxa"/>
          </w:tcPr>
          <w:p w14:paraId="5EEEEE47" w14:textId="77777777" w:rsidR="00DB79BD" w:rsidRPr="00595FE6" w:rsidRDefault="00DB79BD">
            <w:pPr>
              <w:jc w:val="right"/>
              <w:rPr>
                <w:rFonts w:cs="Arial"/>
                <w:szCs w:val="24"/>
              </w:rPr>
            </w:pPr>
          </w:p>
          <w:p w14:paraId="0F38022C" w14:textId="77777777" w:rsidR="00DB79BD" w:rsidRPr="002936E3" w:rsidRDefault="00DB79BD">
            <w:pPr>
              <w:jc w:val="right"/>
              <w:rPr>
                <w:rFonts w:cs="Arial"/>
                <w:szCs w:val="24"/>
              </w:rPr>
            </w:pPr>
            <w:r w:rsidRPr="00595FE6">
              <w:rPr>
                <w:rFonts w:cs="Arial"/>
                <w:szCs w:val="24"/>
              </w:rPr>
              <w:t>78%</w:t>
            </w:r>
          </w:p>
        </w:tc>
      </w:tr>
    </w:tbl>
    <w:p w14:paraId="18DBAFDC" w14:textId="77777777" w:rsidR="00DB79BD" w:rsidRPr="00FD0281" w:rsidRDefault="00DB79BD" w:rsidP="00DB79BD">
      <w:pPr>
        <w:spacing w:line="240" w:lineRule="auto"/>
        <w:rPr>
          <w:rFonts w:eastAsia="Calibri" w:cs="Arial"/>
          <w:u w:val="single"/>
        </w:rPr>
      </w:pPr>
      <w:r w:rsidRPr="003376F6">
        <w:rPr>
          <w:rFonts w:cs="Arial"/>
          <w:b/>
          <w:szCs w:val="24"/>
        </w:rPr>
        <w:t>Source:</w:t>
      </w:r>
      <w:r w:rsidRPr="00CB76E9">
        <w:rPr>
          <w:rFonts w:cs="Arial"/>
          <w:szCs w:val="24"/>
        </w:rPr>
        <w:t xml:space="preserve"> </w:t>
      </w:r>
      <w:r w:rsidRPr="00CB76E9">
        <w:rPr>
          <w:rFonts w:eastAsia="Calibri" w:cs="Arial"/>
        </w:rPr>
        <w:t>SEN</w:t>
      </w:r>
      <w:r>
        <w:rPr>
          <w:rFonts w:eastAsia="Calibri" w:cs="Arial"/>
        </w:rPr>
        <w:t xml:space="preserve"> provision for pupils in all schools in Brighton &amp; Hove, South-East and England, 2022/23 to 2023/24 </w:t>
      </w:r>
    </w:p>
    <w:p w14:paraId="3E7D5AD1" w14:textId="77777777" w:rsidR="00DB79BD" w:rsidRPr="00DB79BD" w:rsidRDefault="00DB79BD" w:rsidP="00DB79BD"/>
    <w:p w14:paraId="333C2D33" w14:textId="102EFFC3" w:rsidR="00B646D9" w:rsidRPr="00102F0B" w:rsidRDefault="00B646D9" w:rsidP="0096012C">
      <w:pPr>
        <w:pStyle w:val="Heading3"/>
      </w:pPr>
      <w:r w:rsidRPr="00102F0B">
        <w:t xml:space="preserve">Schools </w:t>
      </w:r>
      <w:r w:rsidR="00FD3AFE">
        <w:t>C</w:t>
      </w:r>
      <w:r w:rsidRPr="00102F0B">
        <w:t>ensus</w:t>
      </w:r>
      <w:r>
        <w:t xml:space="preserve"> </w:t>
      </w:r>
    </w:p>
    <w:p w14:paraId="584A7D6D" w14:textId="77150EB5" w:rsidR="00FF71E8" w:rsidRDefault="00B646D9" w:rsidP="00D9246A">
      <w:pPr>
        <w:spacing w:line="240" w:lineRule="auto"/>
        <w:rPr>
          <w:rFonts w:cs="Arial"/>
          <w:color w:val="000000" w:themeColor="text1"/>
          <w:szCs w:val="24"/>
        </w:rPr>
      </w:pPr>
      <w:r w:rsidRPr="00595FE6">
        <w:rPr>
          <w:rFonts w:cs="Arial"/>
          <w:color w:val="000000" w:themeColor="text1"/>
          <w:szCs w:val="24"/>
        </w:rPr>
        <w:t xml:space="preserve">Each year Brighton &amp; Hove, and all upper tier/unitary local authorities, conduct a January (Spring) School Census. </w:t>
      </w:r>
      <w:r w:rsidR="00B43F68">
        <w:rPr>
          <w:rFonts w:cs="Arial"/>
          <w:color w:val="000000" w:themeColor="text1"/>
          <w:szCs w:val="24"/>
        </w:rPr>
        <w:t>Data from the January 2025</w:t>
      </w:r>
      <w:r w:rsidR="00FF71E8">
        <w:rPr>
          <w:rFonts w:cs="Arial"/>
          <w:color w:val="000000" w:themeColor="text1"/>
          <w:szCs w:val="24"/>
        </w:rPr>
        <w:t xml:space="preserve"> Census were used for this needs assessment, rather than the </w:t>
      </w:r>
      <w:hyperlink r:id="rId59" w:history="1">
        <w:r w:rsidR="00FF71E8" w:rsidRPr="003E2896">
          <w:rPr>
            <w:rStyle w:val="Hyperlink"/>
            <w:rFonts w:cs="Arial"/>
            <w:szCs w:val="24"/>
          </w:rPr>
          <w:t>SEN2 survey</w:t>
        </w:r>
      </w:hyperlink>
      <w:r w:rsidR="00FF71E8">
        <w:rPr>
          <w:rFonts w:cs="Arial"/>
          <w:color w:val="000000" w:themeColor="text1"/>
          <w:szCs w:val="24"/>
        </w:rPr>
        <w:t xml:space="preserve">, </w:t>
      </w:r>
      <w:r w:rsidR="001B625D">
        <w:rPr>
          <w:rFonts w:cs="Arial"/>
          <w:color w:val="000000" w:themeColor="text1"/>
          <w:szCs w:val="24"/>
        </w:rPr>
        <w:t xml:space="preserve">a </w:t>
      </w:r>
      <w:r w:rsidR="00FF71E8" w:rsidRPr="00FF71E8">
        <w:rPr>
          <w:rFonts w:cs="Arial"/>
          <w:color w:val="000000" w:themeColor="text1"/>
          <w:szCs w:val="24"/>
        </w:rPr>
        <w:t>statutory data collection</w:t>
      </w:r>
      <w:r w:rsidR="00FF71E8">
        <w:rPr>
          <w:rFonts w:cs="Arial"/>
          <w:color w:val="000000" w:themeColor="text1"/>
          <w:szCs w:val="24"/>
        </w:rPr>
        <w:t xml:space="preserve">, as there were data issues with the submission </w:t>
      </w:r>
      <w:r w:rsidR="00677186">
        <w:rPr>
          <w:rFonts w:cs="Arial"/>
          <w:color w:val="000000" w:themeColor="text1"/>
          <w:szCs w:val="24"/>
        </w:rPr>
        <w:t xml:space="preserve">at the time of production of this needs assessment </w:t>
      </w:r>
      <w:r w:rsidR="00FF71E8">
        <w:rPr>
          <w:rFonts w:cs="Arial"/>
          <w:color w:val="000000" w:themeColor="text1"/>
          <w:szCs w:val="24"/>
        </w:rPr>
        <w:t>and so this could not be used.</w:t>
      </w:r>
      <w:r w:rsidR="001B625D">
        <w:rPr>
          <w:rFonts w:cs="Arial"/>
          <w:color w:val="000000" w:themeColor="text1"/>
          <w:szCs w:val="24"/>
        </w:rPr>
        <w:t xml:space="preserve"> In addition </w:t>
      </w:r>
      <w:r w:rsidR="00A577BF">
        <w:rPr>
          <w:rFonts w:cs="Arial"/>
          <w:color w:val="000000" w:themeColor="text1"/>
          <w:szCs w:val="24"/>
        </w:rPr>
        <w:t>the SEN2 survey only collects information on EHC Plans, not SEN Support.</w:t>
      </w:r>
    </w:p>
    <w:p w14:paraId="36C7622D" w14:textId="187C8C57" w:rsidR="00B646D9" w:rsidRPr="00595FE6" w:rsidRDefault="00B646D9" w:rsidP="00D9246A">
      <w:pPr>
        <w:spacing w:line="240" w:lineRule="auto"/>
        <w:rPr>
          <w:rFonts w:cs="Arial"/>
          <w:color w:val="000000" w:themeColor="text1"/>
          <w:szCs w:val="24"/>
        </w:rPr>
      </w:pPr>
      <w:r w:rsidRPr="00595FE6">
        <w:rPr>
          <w:rFonts w:cs="Arial"/>
          <w:color w:val="000000" w:themeColor="text1"/>
          <w:szCs w:val="24"/>
        </w:rPr>
        <w:lastRenderedPageBreak/>
        <w:t xml:space="preserve">The </w:t>
      </w:r>
      <w:r w:rsidR="00FF71E8">
        <w:rPr>
          <w:rFonts w:cs="Arial"/>
          <w:color w:val="000000" w:themeColor="text1"/>
          <w:szCs w:val="24"/>
        </w:rPr>
        <w:t xml:space="preserve">schools census </w:t>
      </w:r>
      <w:r w:rsidRPr="00595FE6">
        <w:rPr>
          <w:rFonts w:cs="Arial"/>
          <w:color w:val="000000" w:themeColor="text1"/>
          <w:szCs w:val="24"/>
        </w:rPr>
        <w:t xml:space="preserve">data is from </w:t>
      </w:r>
      <w:r w:rsidR="00816ED7">
        <w:rPr>
          <w:rFonts w:cs="Arial"/>
          <w:color w:val="000000" w:themeColor="text1"/>
          <w:szCs w:val="24"/>
        </w:rPr>
        <w:t>61 of the</w:t>
      </w:r>
      <w:r w:rsidRPr="00595FE6">
        <w:rPr>
          <w:rFonts w:cs="Arial"/>
          <w:color w:val="000000" w:themeColor="text1"/>
          <w:szCs w:val="24"/>
        </w:rPr>
        <w:t xml:space="preserve"> 68 Brighton &amp; Hove Schools. </w:t>
      </w:r>
      <w:r w:rsidR="00816ED7">
        <w:rPr>
          <w:rFonts w:cs="Arial"/>
          <w:color w:val="000000" w:themeColor="text1"/>
          <w:szCs w:val="24"/>
        </w:rPr>
        <w:t xml:space="preserve">These </w:t>
      </w:r>
      <w:r w:rsidRPr="00595FE6">
        <w:rPr>
          <w:rFonts w:cs="Arial"/>
          <w:color w:val="000000" w:themeColor="text1"/>
          <w:szCs w:val="24"/>
        </w:rPr>
        <w:t>61 are maintained schools (those funded and controlled by the local authority)</w:t>
      </w:r>
      <w:r w:rsidR="00816ED7">
        <w:rPr>
          <w:rFonts w:cs="Arial"/>
          <w:color w:val="000000" w:themeColor="text1"/>
          <w:szCs w:val="24"/>
        </w:rPr>
        <w:t>, including</w:t>
      </w:r>
      <w:r w:rsidRPr="00595FE6">
        <w:rPr>
          <w:rFonts w:cs="Arial"/>
          <w:color w:val="000000" w:themeColor="text1"/>
          <w:szCs w:val="24"/>
        </w:rPr>
        <w:t xml:space="preserve"> 2 </w:t>
      </w:r>
      <w:r w:rsidR="00816ED7">
        <w:rPr>
          <w:rFonts w:cs="Arial"/>
          <w:color w:val="000000" w:themeColor="text1"/>
          <w:szCs w:val="24"/>
        </w:rPr>
        <w:t>m</w:t>
      </w:r>
      <w:r w:rsidRPr="00595FE6">
        <w:rPr>
          <w:rFonts w:cs="Arial"/>
          <w:color w:val="000000" w:themeColor="text1"/>
          <w:szCs w:val="24"/>
        </w:rPr>
        <w:t xml:space="preserve">aintained </w:t>
      </w:r>
      <w:r w:rsidR="00816ED7">
        <w:t>n</w:t>
      </w:r>
      <w:r w:rsidRPr="00C7630F">
        <w:t>urseries</w:t>
      </w:r>
      <w:r w:rsidRPr="00595FE6">
        <w:rPr>
          <w:rFonts w:cs="Arial"/>
          <w:color w:val="000000" w:themeColor="text1"/>
          <w:szCs w:val="24"/>
        </w:rPr>
        <w:t xml:space="preserve">, 48 </w:t>
      </w:r>
      <w:r w:rsidR="00816ED7">
        <w:rPr>
          <w:rFonts w:cs="Arial"/>
          <w:color w:val="000000" w:themeColor="text1"/>
          <w:szCs w:val="24"/>
        </w:rPr>
        <w:t>p</w:t>
      </w:r>
      <w:r w:rsidRPr="00595FE6">
        <w:rPr>
          <w:rFonts w:cs="Arial"/>
          <w:color w:val="000000" w:themeColor="text1"/>
          <w:szCs w:val="24"/>
        </w:rPr>
        <w:t xml:space="preserve">rimary </w:t>
      </w:r>
      <w:r w:rsidR="00816ED7">
        <w:rPr>
          <w:rFonts w:cs="Arial"/>
          <w:color w:val="000000" w:themeColor="text1"/>
          <w:szCs w:val="24"/>
        </w:rPr>
        <w:t>p</w:t>
      </w:r>
      <w:r w:rsidRPr="00595FE6">
        <w:rPr>
          <w:rFonts w:cs="Arial"/>
          <w:color w:val="000000" w:themeColor="text1"/>
          <w:szCs w:val="24"/>
        </w:rPr>
        <w:t xml:space="preserve">hase </w:t>
      </w:r>
      <w:r w:rsidR="00816ED7">
        <w:rPr>
          <w:rFonts w:cs="Arial"/>
          <w:color w:val="000000" w:themeColor="text1"/>
          <w:szCs w:val="24"/>
        </w:rPr>
        <w:t>s</w:t>
      </w:r>
      <w:r w:rsidRPr="00595FE6">
        <w:rPr>
          <w:rFonts w:cs="Arial"/>
          <w:color w:val="000000" w:themeColor="text1"/>
          <w:szCs w:val="24"/>
        </w:rPr>
        <w:t xml:space="preserve">chools, 7 </w:t>
      </w:r>
      <w:r w:rsidR="00816ED7">
        <w:rPr>
          <w:rFonts w:cs="Arial"/>
          <w:color w:val="000000" w:themeColor="text1"/>
          <w:szCs w:val="24"/>
        </w:rPr>
        <w:t>s</w:t>
      </w:r>
      <w:r w:rsidRPr="00595FE6">
        <w:rPr>
          <w:rFonts w:cs="Arial"/>
          <w:color w:val="000000" w:themeColor="text1"/>
          <w:szCs w:val="24"/>
        </w:rPr>
        <w:t xml:space="preserve">econdary </w:t>
      </w:r>
      <w:r w:rsidR="00816ED7">
        <w:rPr>
          <w:rFonts w:cs="Arial"/>
          <w:color w:val="000000" w:themeColor="text1"/>
          <w:szCs w:val="24"/>
        </w:rPr>
        <w:t>s</w:t>
      </w:r>
      <w:r w:rsidRPr="00595FE6">
        <w:rPr>
          <w:rFonts w:cs="Arial"/>
          <w:color w:val="000000" w:themeColor="text1"/>
          <w:szCs w:val="24"/>
        </w:rPr>
        <w:t xml:space="preserve">chools, 3 </w:t>
      </w:r>
      <w:r w:rsidR="00816ED7">
        <w:rPr>
          <w:rFonts w:cs="Arial"/>
          <w:color w:val="000000" w:themeColor="text1"/>
          <w:szCs w:val="24"/>
        </w:rPr>
        <w:t>s</w:t>
      </w:r>
      <w:r w:rsidRPr="00595FE6">
        <w:rPr>
          <w:rFonts w:cs="Arial"/>
          <w:color w:val="000000" w:themeColor="text1"/>
          <w:szCs w:val="24"/>
        </w:rPr>
        <w:t xml:space="preserve">pecial </w:t>
      </w:r>
      <w:r w:rsidR="00816ED7">
        <w:rPr>
          <w:rFonts w:cs="Arial"/>
          <w:color w:val="000000" w:themeColor="text1"/>
          <w:szCs w:val="24"/>
        </w:rPr>
        <w:t>s</w:t>
      </w:r>
      <w:r w:rsidRPr="00595FE6">
        <w:rPr>
          <w:rFonts w:cs="Arial"/>
          <w:color w:val="000000" w:themeColor="text1"/>
          <w:szCs w:val="24"/>
        </w:rPr>
        <w:t>chools and 1 Pupil Referral Unit.</w:t>
      </w:r>
      <w:r w:rsidR="00FD3AFE">
        <w:rPr>
          <w:rFonts w:cs="Arial"/>
          <w:color w:val="000000" w:themeColor="text1"/>
          <w:szCs w:val="24"/>
        </w:rPr>
        <w:t xml:space="preserve"> </w:t>
      </w:r>
      <w:r w:rsidRPr="00595FE6">
        <w:rPr>
          <w:rFonts w:cs="Arial"/>
          <w:color w:val="000000" w:themeColor="text1"/>
          <w:szCs w:val="24"/>
        </w:rPr>
        <w:t>For 7 schools (5 Academies and 2 Free</w:t>
      </w:r>
      <w:r w:rsidR="00816ED7">
        <w:rPr>
          <w:rFonts w:cs="Arial"/>
          <w:color w:val="000000" w:themeColor="text1"/>
          <w:szCs w:val="24"/>
        </w:rPr>
        <w:t xml:space="preserve"> schools</w:t>
      </w:r>
      <w:r w:rsidRPr="00595FE6">
        <w:rPr>
          <w:rFonts w:cs="Arial"/>
          <w:color w:val="000000" w:themeColor="text1"/>
          <w:szCs w:val="24"/>
        </w:rPr>
        <w:t xml:space="preserve">), which are directly accountable to the Department for </w:t>
      </w:r>
      <w:r w:rsidRPr="00C7630F">
        <w:t>Education</w:t>
      </w:r>
      <w:r w:rsidRPr="00433860">
        <w:rPr>
          <w:rFonts w:cs="Arial"/>
          <w:color w:val="000000" w:themeColor="text1"/>
          <w:szCs w:val="24"/>
        </w:rPr>
        <w:t>, they are not included within these figures</w:t>
      </w:r>
      <w:r w:rsidRPr="00595FE6">
        <w:rPr>
          <w:rFonts w:cs="Arial"/>
          <w:color w:val="000000" w:themeColor="text1"/>
          <w:szCs w:val="24"/>
        </w:rPr>
        <w:t>. The benchmark used England 2024</w:t>
      </w:r>
      <w:r w:rsidRPr="00595FE6">
        <w:rPr>
          <w:rStyle w:val="EndnoteReference"/>
          <w:rFonts w:cs="Arial"/>
          <w:color w:val="000000" w:themeColor="text1"/>
          <w:szCs w:val="24"/>
        </w:rPr>
        <w:endnoteReference w:id="52"/>
      </w:r>
      <w:r w:rsidRPr="00595FE6">
        <w:rPr>
          <w:rFonts w:cs="Arial"/>
          <w:color w:val="000000" w:themeColor="text1"/>
          <w:szCs w:val="24"/>
          <w:vertAlign w:val="superscript"/>
        </w:rPr>
        <w:t>,</w:t>
      </w:r>
      <w:r w:rsidRPr="00595FE6">
        <w:rPr>
          <w:rStyle w:val="EndnoteReference"/>
          <w:rFonts w:cs="Arial"/>
          <w:color w:val="000000" w:themeColor="text1"/>
          <w:szCs w:val="24"/>
        </w:rPr>
        <w:endnoteReference w:id="53"/>
      </w:r>
      <w:r w:rsidRPr="00595FE6">
        <w:rPr>
          <w:rFonts w:cs="Arial"/>
          <w:color w:val="000000" w:themeColor="text1"/>
          <w:szCs w:val="24"/>
        </w:rPr>
        <w:t xml:space="preserve"> data.</w:t>
      </w:r>
    </w:p>
    <w:p w14:paraId="1A0E1D22" w14:textId="7315BF5D" w:rsidR="00B646D9" w:rsidRPr="00595FE6" w:rsidRDefault="00B646D9" w:rsidP="00D9246A">
      <w:pPr>
        <w:spacing w:line="240" w:lineRule="auto"/>
        <w:rPr>
          <w:rFonts w:cs="Arial"/>
          <w:color w:val="000000" w:themeColor="text1"/>
          <w:szCs w:val="24"/>
        </w:rPr>
      </w:pPr>
      <w:r w:rsidRPr="00595FE6">
        <w:rPr>
          <w:rFonts w:cs="Arial"/>
          <w:color w:val="000000" w:themeColor="text1"/>
          <w:szCs w:val="24"/>
        </w:rPr>
        <w:t xml:space="preserve">In January 2025, there were 30,566 pupils on roll, </w:t>
      </w:r>
      <w:r w:rsidR="00C56F6A">
        <w:rPr>
          <w:rFonts w:cs="Arial"/>
          <w:color w:val="000000" w:themeColor="text1"/>
          <w:szCs w:val="24"/>
        </w:rPr>
        <w:t>a</w:t>
      </w:r>
      <w:r w:rsidRPr="00595FE6">
        <w:rPr>
          <w:rFonts w:cs="Arial"/>
          <w:color w:val="000000" w:themeColor="text1"/>
          <w:szCs w:val="24"/>
        </w:rPr>
        <w:t xml:space="preserve"> decreas</w:t>
      </w:r>
      <w:r w:rsidR="00C56F6A">
        <w:rPr>
          <w:rFonts w:cs="Arial"/>
          <w:color w:val="000000" w:themeColor="text1"/>
          <w:szCs w:val="24"/>
        </w:rPr>
        <w:t>e from</w:t>
      </w:r>
      <w:r w:rsidRPr="00595FE6">
        <w:rPr>
          <w:rFonts w:cs="Arial"/>
          <w:color w:val="000000" w:themeColor="text1"/>
          <w:szCs w:val="24"/>
        </w:rPr>
        <w:t xml:space="preserve"> 32,296 pupils</w:t>
      </w:r>
      <w:r w:rsidR="00C56F6A" w:rsidRPr="00595FE6">
        <w:rPr>
          <w:rFonts w:cs="Arial"/>
          <w:color w:val="000000" w:themeColor="text1"/>
          <w:szCs w:val="24"/>
        </w:rPr>
        <w:t xml:space="preserve"> </w:t>
      </w:r>
      <w:r w:rsidR="00C56F6A">
        <w:rPr>
          <w:rFonts w:cs="Arial"/>
          <w:color w:val="000000" w:themeColor="text1"/>
          <w:szCs w:val="24"/>
        </w:rPr>
        <w:t>in</w:t>
      </w:r>
      <w:r w:rsidRPr="00595FE6">
        <w:rPr>
          <w:rFonts w:cs="Arial"/>
          <w:color w:val="000000" w:themeColor="text1"/>
          <w:szCs w:val="24"/>
        </w:rPr>
        <w:t xml:space="preserve"> January 2020.</w:t>
      </w:r>
    </w:p>
    <w:p w14:paraId="2A807174" w14:textId="77777777" w:rsidR="00B646D9" w:rsidRPr="00FF71E8" w:rsidRDefault="00B646D9" w:rsidP="00B646D9">
      <w:pPr>
        <w:spacing w:line="240" w:lineRule="auto"/>
        <w:rPr>
          <w:rFonts w:cs="Arial"/>
          <w:b/>
          <w:color w:val="0079C2"/>
          <w:szCs w:val="24"/>
        </w:rPr>
      </w:pPr>
      <w:r w:rsidRPr="00FF71E8">
        <w:rPr>
          <w:rFonts w:cs="Arial"/>
          <w:b/>
          <w:color w:val="0079C2"/>
          <w:szCs w:val="24"/>
        </w:rPr>
        <w:t>Brighton &amp; Hove has a higher percentage of pupils with SEN than England:</w:t>
      </w:r>
    </w:p>
    <w:p w14:paraId="1C8D294A" w14:textId="0AF154C4" w:rsidR="00B646D9" w:rsidRPr="00595FE6" w:rsidRDefault="00B646D9" w:rsidP="009858E3">
      <w:pPr>
        <w:pStyle w:val="ListParagraph"/>
        <w:numPr>
          <w:ilvl w:val="0"/>
          <w:numId w:val="35"/>
        </w:numPr>
        <w:spacing w:line="240" w:lineRule="auto"/>
        <w:rPr>
          <w:rFonts w:cs="Arial"/>
          <w:color w:val="000000" w:themeColor="text1"/>
          <w:szCs w:val="24"/>
        </w:rPr>
      </w:pPr>
      <w:r w:rsidRPr="00595FE6">
        <w:rPr>
          <w:rFonts w:cs="Arial"/>
          <w:color w:val="000000" w:themeColor="text1"/>
          <w:szCs w:val="24"/>
        </w:rPr>
        <w:t xml:space="preserve">24% (7,263) of pupils attending Brighton and Hove schools, were recorded on school special educational needs registers (either SEN Support or </w:t>
      </w:r>
      <w:r w:rsidR="001572D3">
        <w:rPr>
          <w:rFonts w:cs="Arial"/>
          <w:color w:val="000000" w:themeColor="text1"/>
          <w:szCs w:val="24"/>
        </w:rPr>
        <w:t>EHC Plan</w:t>
      </w:r>
      <w:r w:rsidRPr="00595FE6">
        <w:rPr>
          <w:rFonts w:cs="Arial"/>
          <w:color w:val="000000" w:themeColor="text1"/>
          <w:szCs w:val="24"/>
        </w:rPr>
        <w:t>) - above the England 2024 SEN figure of 18%</w:t>
      </w:r>
    </w:p>
    <w:p w14:paraId="5350CD8A" w14:textId="77777777" w:rsidR="00DE05E6" w:rsidRPr="00595FE6" w:rsidRDefault="00DE05E6" w:rsidP="009858E3">
      <w:pPr>
        <w:pStyle w:val="ListParagraph"/>
        <w:numPr>
          <w:ilvl w:val="0"/>
          <w:numId w:val="35"/>
        </w:numPr>
        <w:spacing w:line="240" w:lineRule="auto"/>
        <w:rPr>
          <w:rFonts w:cs="Arial"/>
          <w:color w:val="000000" w:themeColor="text1"/>
          <w:szCs w:val="24"/>
        </w:rPr>
      </w:pPr>
      <w:r w:rsidRPr="00595FE6">
        <w:rPr>
          <w:rFonts w:cs="Arial"/>
          <w:color w:val="000000" w:themeColor="text1"/>
          <w:szCs w:val="24"/>
        </w:rPr>
        <w:t>18% (5,492) of Brighton &amp; Hove pupils were receiving ‘SEN Support’, which means they are on the SEN register, but do not have an Education, Health &amp; Care Plan (England 14%)</w:t>
      </w:r>
    </w:p>
    <w:p w14:paraId="6E75AD8F" w14:textId="7802C1CB" w:rsidR="00B646D9" w:rsidRPr="00595FE6" w:rsidRDefault="00B646D9" w:rsidP="009858E3">
      <w:pPr>
        <w:pStyle w:val="ListParagraph"/>
        <w:numPr>
          <w:ilvl w:val="0"/>
          <w:numId w:val="35"/>
        </w:numPr>
        <w:spacing w:line="240" w:lineRule="auto"/>
        <w:rPr>
          <w:rFonts w:cs="Arial"/>
          <w:color w:val="000000" w:themeColor="text1"/>
          <w:szCs w:val="24"/>
        </w:rPr>
      </w:pPr>
      <w:r w:rsidRPr="00595FE6">
        <w:rPr>
          <w:rFonts w:cs="Arial"/>
          <w:color w:val="000000" w:themeColor="text1"/>
          <w:szCs w:val="24"/>
        </w:rPr>
        <w:t>6% (1,771) of Brighton &amp; Hove pupils have an Education, Health &amp; Care Plan (England 5%)</w:t>
      </w:r>
      <w:r w:rsidR="00DE05E6">
        <w:rPr>
          <w:rFonts w:cs="Arial"/>
          <w:color w:val="000000" w:themeColor="text1"/>
          <w:szCs w:val="24"/>
        </w:rPr>
        <w:t>.</w:t>
      </w:r>
    </w:p>
    <w:p w14:paraId="3DBC3AE2" w14:textId="77777777" w:rsidR="00B646D9" w:rsidRPr="00FF71E8" w:rsidRDefault="00B646D9" w:rsidP="00B646D9">
      <w:pPr>
        <w:spacing w:line="240" w:lineRule="auto"/>
        <w:rPr>
          <w:rFonts w:cs="Arial"/>
          <w:b/>
          <w:color w:val="0079C2"/>
          <w:szCs w:val="24"/>
        </w:rPr>
      </w:pPr>
      <w:r w:rsidRPr="00FF71E8">
        <w:rPr>
          <w:rFonts w:cs="Arial"/>
          <w:b/>
          <w:color w:val="0079C2"/>
          <w:szCs w:val="24"/>
        </w:rPr>
        <w:t>Numbers of pupils with SEN have been increasing, against the pattern of overall falling pupil numbers in the city:</w:t>
      </w:r>
    </w:p>
    <w:p w14:paraId="792BC345" w14:textId="77777777" w:rsidR="00B646D9" w:rsidRPr="00595FE6" w:rsidRDefault="00B646D9" w:rsidP="009858E3">
      <w:pPr>
        <w:pStyle w:val="ListParagraph"/>
        <w:numPr>
          <w:ilvl w:val="0"/>
          <w:numId w:val="35"/>
        </w:numPr>
        <w:spacing w:line="240" w:lineRule="auto"/>
        <w:rPr>
          <w:rFonts w:cs="Arial"/>
          <w:color w:val="000000" w:themeColor="text1"/>
          <w:szCs w:val="24"/>
        </w:rPr>
      </w:pPr>
      <w:r w:rsidRPr="00595FE6">
        <w:rPr>
          <w:rFonts w:cs="Arial"/>
          <w:color w:val="000000" w:themeColor="text1"/>
          <w:szCs w:val="24"/>
        </w:rPr>
        <w:t>The number of pupils with SEN support has been steadily increasing since January 2020 – from 4,374 pupils to 5,492 pupils (a 26% increase)</w:t>
      </w:r>
    </w:p>
    <w:p w14:paraId="1EEF1FBC" w14:textId="3873DA6D" w:rsidR="00B646D9" w:rsidRPr="00595FE6" w:rsidRDefault="00B646D9" w:rsidP="009858E3">
      <w:pPr>
        <w:pStyle w:val="ListParagraph"/>
        <w:numPr>
          <w:ilvl w:val="0"/>
          <w:numId w:val="35"/>
        </w:numPr>
        <w:spacing w:line="240" w:lineRule="auto"/>
        <w:rPr>
          <w:rFonts w:cs="Arial"/>
          <w:color w:val="000000" w:themeColor="text1"/>
          <w:szCs w:val="24"/>
        </w:rPr>
      </w:pPr>
      <w:r w:rsidRPr="00595FE6">
        <w:rPr>
          <w:rFonts w:cs="Arial"/>
          <w:color w:val="000000" w:themeColor="text1"/>
          <w:szCs w:val="24"/>
        </w:rPr>
        <w:t xml:space="preserve">The number of pupils with an </w:t>
      </w:r>
      <w:r w:rsidR="001572D3">
        <w:rPr>
          <w:rFonts w:cs="Arial"/>
          <w:color w:val="000000" w:themeColor="text1"/>
          <w:szCs w:val="24"/>
        </w:rPr>
        <w:t>EHC Plan</w:t>
      </w:r>
      <w:r w:rsidRPr="00595FE6">
        <w:rPr>
          <w:rFonts w:cs="Arial"/>
          <w:color w:val="000000" w:themeColor="text1"/>
          <w:szCs w:val="24"/>
        </w:rPr>
        <w:t xml:space="preserve"> has been increasing from January 2015</w:t>
      </w:r>
      <w:r w:rsidR="0098309C">
        <w:rPr>
          <w:rFonts w:cs="Arial"/>
          <w:color w:val="000000" w:themeColor="text1"/>
          <w:szCs w:val="24"/>
        </w:rPr>
        <w:t>.</w:t>
      </w:r>
      <w:r w:rsidRPr="00595FE6">
        <w:rPr>
          <w:rFonts w:cs="Arial"/>
          <w:color w:val="000000" w:themeColor="text1"/>
          <w:szCs w:val="24"/>
        </w:rPr>
        <w:t xml:space="preserve"> </w:t>
      </w:r>
      <w:r w:rsidR="00223F46">
        <w:rPr>
          <w:rFonts w:cs="Arial"/>
          <w:color w:val="000000" w:themeColor="text1"/>
          <w:szCs w:val="24"/>
        </w:rPr>
        <w:t>Since January 2020</w:t>
      </w:r>
      <w:r w:rsidR="0098309C">
        <w:rPr>
          <w:rFonts w:cs="Arial"/>
          <w:color w:val="000000" w:themeColor="text1"/>
          <w:szCs w:val="24"/>
        </w:rPr>
        <w:t>,</w:t>
      </w:r>
      <w:r w:rsidRPr="00595FE6">
        <w:rPr>
          <w:rFonts w:cs="Arial"/>
          <w:color w:val="000000" w:themeColor="text1"/>
          <w:szCs w:val="24"/>
        </w:rPr>
        <w:t xml:space="preserve"> the number of pupils with an </w:t>
      </w:r>
      <w:r w:rsidR="001572D3">
        <w:rPr>
          <w:rFonts w:cs="Arial"/>
          <w:color w:val="000000" w:themeColor="text1"/>
          <w:szCs w:val="24"/>
        </w:rPr>
        <w:t>EHC Plan</w:t>
      </w:r>
      <w:r w:rsidRPr="00595FE6">
        <w:rPr>
          <w:rFonts w:cs="Arial"/>
          <w:color w:val="000000" w:themeColor="text1"/>
          <w:szCs w:val="24"/>
        </w:rPr>
        <w:t xml:space="preserve"> increased from 1,164 to 1,771 pupils in January 2025 (a 52% increase)</w:t>
      </w:r>
    </w:p>
    <w:p w14:paraId="044518BE" w14:textId="60F0CA3A" w:rsidR="00D23F5D" w:rsidRDefault="00B646D9" w:rsidP="009858E3">
      <w:pPr>
        <w:pStyle w:val="ListParagraph"/>
        <w:numPr>
          <w:ilvl w:val="0"/>
          <w:numId w:val="35"/>
        </w:numPr>
        <w:spacing w:line="240" w:lineRule="auto"/>
        <w:rPr>
          <w:rFonts w:cs="Arial"/>
          <w:color w:val="000000" w:themeColor="text1"/>
          <w:szCs w:val="24"/>
        </w:rPr>
      </w:pPr>
      <w:r w:rsidRPr="00595FE6">
        <w:rPr>
          <w:rFonts w:cs="Arial"/>
          <w:color w:val="000000" w:themeColor="text1"/>
          <w:szCs w:val="24"/>
        </w:rPr>
        <w:t>This equates to an increase in all pupils with SEN from 5,538 in January 2020 to 7,263 in January 2025 (31% increase)</w:t>
      </w:r>
      <w:r w:rsidR="001A3758">
        <w:rPr>
          <w:rFonts w:cs="Arial"/>
          <w:color w:val="000000" w:themeColor="text1"/>
          <w:szCs w:val="24"/>
        </w:rPr>
        <w:t xml:space="preserve"> (</w:t>
      </w:r>
      <w:r w:rsidR="002054FC">
        <w:rPr>
          <w:rFonts w:cs="Arial"/>
          <w:color w:val="000000" w:themeColor="text1"/>
          <w:szCs w:val="24"/>
        </w:rPr>
        <w:t>F</w:t>
      </w:r>
      <w:r w:rsidR="001A3758">
        <w:rPr>
          <w:rFonts w:cs="Arial"/>
          <w:color w:val="000000" w:themeColor="text1"/>
          <w:szCs w:val="24"/>
        </w:rPr>
        <w:t xml:space="preserve">igure </w:t>
      </w:r>
      <w:r w:rsidR="0081179C">
        <w:rPr>
          <w:rFonts w:cs="Arial"/>
          <w:color w:val="000000" w:themeColor="text1"/>
          <w:szCs w:val="24"/>
        </w:rPr>
        <w:t>11</w:t>
      </w:r>
      <w:r w:rsidR="001A3758">
        <w:rPr>
          <w:rFonts w:cs="Arial"/>
          <w:color w:val="000000" w:themeColor="text1"/>
          <w:szCs w:val="24"/>
        </w:rPr>
        <w:t>).</w:t>
      </w:r>
    </w:p>
    <w:p w14:paraId="7A8ED4ED" w14:textId="77777777" w:rsidR="00477D61" w:rsidRDefault="00477D61">
      <w:pPr>
        <w:spacing w:after="200"/>
        <w:rPr>
          <w:b/>
          <w:bCs/>
          <w:color w:val="A65588"/>
        </w:rPr>
      </w:pPr>
      <w:r>
        <w:rPr>
          <w:b/>
          <w:bCs/>
          <w:color w:val="A65588"/>
        </w:rPr>
        <w:br w:type="page"/>
      </w:r>
    </w:p>
    <w:p w14:paraId="1746CEF8" w14:textId="4DC89C26" w:rsidR="00940F37" w:rsidRPr="00612B12" w:rsidRDefault="00096A77" w:rsidP="00D9246A">
      <w:pPr>
        <w:spacing w:line="240" w:lineRule="auto"/>
        <w:rPr>
          <w:b/>
          <w:color w:val="A65588"/>
        </w:rPr>
      </w:pPr>
      <w:r w:rsidRPr="00612B12">
        <w:rPr>
          <w:b/>
          <w:color w:val="A65588"/>
        </w:rPr>
        <w:lastRenderedPageBreak/>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11</w:t>
      </w:r>
      <w:r w:rsidR="00CA2D43">
        <w:rPr>
          <w:b/>
          <w:color w:val="A65588"/>
        </w:rPr>
        <w:fldChar w:fldCharType="end"/>
      </w:r>
      <w:r w:rsidRPr="00612B12">
        <w:rPr>
          <w:b/>
          <w:color w:val="A65588"/>
        </w:rPr>
        <w:t>:</w:t>
      </w:r>
      <w:r>
        <w:rPr>
          <w:b/>
          <w:color w:val="A65588"/>
        </w:rPr>
        <w:t xml:space="preserve"> </w:t>
      </w:r>
      <w:r w:rsidR="00940F37" w:rsidRPr="00612B12">
        <w:rPr>
          <w:b/>
          <w:bCs/>
          <w:color w:val="A65588"/>
        </w:rPr>
        <w:t xml:space="preserve">Number of children with </w:t>
      </w:r>
      <w:r w:rsidRPr="00612B12">
        <w:rPr>
          <w:b/>
          <w:color w:val="A65588"/>
        </w:rPr>
        <w:t>Special educational needs</w:t>
      </w:r>
      <w:r w:rsidR="00612B12" w:rsidRPr="00612B12">
        <w:rPr>
          <w:b/>
          <w:bCs/>
          <w:color w:val="A65588"/>
        </w:rPr>
        <w:t xml:space="preserve"> </w:t>
      </w:r>
      <w:r w:rsidR="00612B12">
        <w:rPr>
          <w:b/>
          <w:bCs/>
          <w:color w:val="A65588"/>
        </w:rPr>
        <w:t>(</w:t>
      </w:r>
      <w:r w:rsidR="00940F37" w:rsidRPr="00612B12">
        <w:rPr>
          <w:b/>
          <w:color w:val="A65588"/>
        </w:rPr>
        <w:t>SE</w:t>
      </w:r>
      <w:r w:rsidR="00805D49" w:rsidRPr="00612B12">
        <w:rPr>
          <w:b/>
          <w:color w:val="A65588"/>
        </w:rPr>
        <w:t>N</w:t>
      </w:r>
      <w:r w:rsidR="00612B12">
        <w:rPr>
          <w:b/>
          <w:bCs/>
          <w:color w:val="A65588"/>
        </w:rPr>
        <w:t>),</w:t>
      </w:r>
      <w:r w:rsidR="00940F37" w:rsidRPr="00612B12">
        <w:rPr>
          <w:b/>
          <w:color w:val="A65588"/>
        </w:rPr>
        <w:t xml:space="preserve"> Brighton and Hove Schools</w:t>
      </w:r>
      <w:r w:rsidR="00805D49" w:rsidRPr="00612B12">
        <w:rPr>
          <w:b/>
          <w:color w:val="A65588"/>
        </w:rPr>
        <w:t>,</w:t>
      </w:r>
      <w:r w:rsidR="004926D8" w:rsidRPr="00612B12">
        <w:rPr>
          <w:b/>
          <w:color w:val="A65588"/>
        </w:rPr>
        <w:t xml:space="preserve"> </w:t>
      </w:r>
      <w:r w:rsidR="00940F37" w:rsidRPr="00612B12">
        <w:rPr>
          <w:b/>
          <w:color w:val="A65588"/>
        </w:rPr>
        <w:t xml:space="preserve">January 2015 </w:t>
      </w:r>
      <w:r w:rsidR="00805D49" w:rsidRPr="00612B12">
        <w:rPr>
          <w:b/>
          <w:color w:val="A65588"/>
        </w:rPr>
        <w:t xml:space="preserve">to January </w:t>
      </w:r>
      <w:r w:rsidR="00940F37" w:rsidRPr="00612B12">
        <w:rPr>
          <w:b/>
          <w:color w:val="A65588"/>
        </w:rPr>
        <w:t>2025</w:t>
      </w:r>
    </w:p>
    <w:p w14:paraId="6F1BDBBE" w14:textId="71079664" w:rsidR="0017146A" w:rsidRPr="00BE5270" w:rsidRDefault="00321617" w:rsidP="00D9246A">
      <w:pPr>
        <w:spacing w:line="240" w:lineRule="auto"/>
        <w:rPr>
          <w:sz w:val="22"/>
        </w:rPr>
      </w:pPr>
      <w:r w:rsidRPr="00321617">
        <w:rPr>
          <w:noProof/>
          <w:sz w:val="22"/>
        </w:rPr>
        <w:drawing>
          <wp:inline distT="0" distB="0" distL="0" distR="0" wp14:anchorId="3D608AFE" wp14:editId="5CE2E7B0">
            <wp:extent cx="5708859" cy="3657600"/>
            <wp:effectExtent l="0" t="0" r="6350" b="0"/>
            <wp:docPr id="1041536562" name="Picture 1" descr="Line chart showing the trend of SEN (EHCP and SEN Support) in Brighton &amp; Hove Schools between from January 2015 to January 2025.&#10;&#10;There has been a 31% increase in pupils with SEN between January 2020 and Januar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36562" name="Picture 1" descr="Line chart showing the trend of SEN (EHCP and SEN Support) in Brighton &amp; Hove Schools between from January 2015 to January 2025.&#10;&#10;There has been a 31% increase in pupils with SEN between January 2020 and January 2025."/>
                    <pic:cNvPicPr/>
                  </pic:nvPicPr>
                  <pic:blipFill>
                    <a:blip r:embed="rId60"/>
                    <a:stretch>
                      <a:fillRect/>
                    </a:stretch>
                  </pic:blipFill>
                  <pic:spPr>
                    <a:xfrm>
                      <a:off x="0" y="0"/>
                      <a:ext cx="5710654" cy="3658750"/>
                    </a:xfrm>
                    <a:prstGeom prst="rect">
                      <a:avLst/>
                    </a:prstGeom>
                  </pic:spPr>
                </pic:pic>
              </a:graphicData>
            </a:graphic>
          </wp:inline>
        </w:drawing>
      </w:r>
    </w:p>
    <w:p w14:paraId="1A4FAD81" w14:textId="1399B3F6" w:rsidR="00B646D9" w:rsidRPr="00940F37" w:rsidRDefault="00C34F0C" w:rsidP="00D9246A">
      <w:pPr>
        <w:spacing w:line="240" w:lineRule="auto"/>
        <w:rPr>
          <w:rFonts w:cs="Arial"/>
          <w:color w:val="000000" w:themeColor="text1"/>
          <w:szCs w:val="24"/>
        </w:rPr>
      </w:pPr>
      <w:r w:rsidRPr="00612B12">
        <w:rPr>
          <w:rFonts w:cs="Arial"/>
          <w:b/>
          <w:color w:val="000000" w:themeColor="text1"/>
          <w:szCs w:val="24"/>
        </w:rPr>
        <w:t>Source:</w:t>
      </w:r>
      <w:r w:rsidR="002E6D74" w:rsidRPr="00612B12">
        <w:rPr>
          <w:rFonts w:cs="Arial"/>
          <w:color w:val="000000" w:themeColor="text1"/>
          <w:szCs w:val="24"/>
        </w:rPr>
        <w:t xml:space="preserve"> </w:t>
      </w:r>
      <w:r w:rsidR="00F02E4D" w:rsidRPr="00612B12">
        <w:rPr>
          <w:rFonts w:cs="Arial"/>
          <w:color w:val="000000" w:themeColor="text1"/>
          <w:szCs w:val="24"/>
        </w:rPr>
        <w:t>Brighton and Hove</w:t>
      </w:r>
      <w:r w:rsidR="001F3D0E" w:rsidRPr="00612B12">
        <w:rPr>
          <w:rFonts w:cs="Arial"/>
          <w:color w:val="000000" w:themeColor="text1"/>
          <w:szCs w:val="24"/>
        </w:rPr>
        <w:t xml:space="preserve"> </w:t>
      </w:r>
      <w:r w:rsidR="00E8061D" w:rsidRPr="00612B12">
        <w:rPr>
          <w:rFonts w:cs="Arial"/>
          <w:color w:val="000000" w:themeColor="text1"/>
          <w:szCs w:val="24"/>
        </w:rPr>
        <w:t>S</w:t>
      </w:r>
      <w:r w:rsidR="001F3D0E" w:rsidRPr="00612B12">
        <w:rPr>
          <w:rFonts w:cs="Arial"/>
          <w:color w:val="000000" w:themeColor="text1"/>
          <w:szCs w:val="24"/>
        </w:rPr>
        <w:t>chool</w:t>
      </w:r>
      <w:r w:rsidR="00940F37" w:rsidRPr="00612B12">
        <w:rPr>
          <w:rFonts w:cs="Arial"/>
          <w:color w:val="000000" w:themeColor="text1"/>
          <w:szCs w:val="24"/>
        </w:rPr>
        <w:t>s</w:t>
      </w:r>
      <w:r w:rsidR="00FF71E8">
        <w:rPr>
          <w:rFonts w:cs="Arial"/>
          <w:iCs/>
          <w:color w:val="000000" w:themeColor="text1"/>
          <w:szCs w:val="24"/>
        </w:rPr>
        <w:t xml:space="preserve"> Census</w:t>
      </w:r>
      <w:r w:rsidR="00DC3CA1" w:rsidRPr="00612B12">
        <w:rPr>
          <w:rFonts w:cs="Arial"/>
          <w:color w:val="000000" w:themeColor="text1"/>
          <w:szCs w:val="24"/>
        </w:rPr>
        <w:t>,</w:t>
      </w:r>
      <w:r w:rsidR="007B403B" w:rsidRPr="00612B12">
        <w:rPr>
          <w:rFonts w:cs="Arial"/>
          <w:color w:val="000000" w:themeColor="text1"/>
          <w:szCs w:val="24"/>
        </w:rPr>
        <w:t xml:space="preserve"> </w:t>
      </w:r>
      <w:r w:rsidR="00A84968" w:rsidRPr="00612B12">
        <w:rPr>
          <w:rFonts w:cs="Arial"/>
          <w:color w:val="000000" w:themeColor="text1"/>
          <w:szCs w:val="24"/>
        </w:rPr>
        <w:t xml:space="preserve">January </w:t>
      </w:r>
      <w:r w:rsidR="004D3414" w:rsidRPr="00612B12">
        <w:rPr>
          <w:rFonts w:cs="Arial"/>
          <w:color w:val="000000" w:themeColor="text1"/>
          <w:szCs w:val="24"/>
        </w:rPr>
        <w:t>2025</w:t>
      </w:r>
    </w:p>
    <w:p w14:paraId="7DBFF2A5" w14:textId="77777777" w:rsidR="00B646D9" w:rsidRPr="00595FE6" w:rsidRDefault="00B646D9" w:rsidP="00B646D9">
      <w:pPr>
        <w:spacing w:line="240" w:lineRule="auto"/>
        <w:rPr>
          <w:rFonts w:cs="Arial"/>
          <w:b/>
          <w:bCs/>
          <w:color w:val="000000" w:themeColor="text1"/>
          <w:szCs w:val="24"/>
        </w:rPr>
      </w:pPr>
      <w:r w:rsidRPr="00FF71E8">
        <w:rPr>
          <w:rFonts w:cs="Arial"/>
          <w:b/>
          <w:color w:val="0079C2"/>
          <w:szCs w:val="24"/>
        </w:rPr>
        <w:t>Primary need</w:t>
      </w:r>
      <w:r w:rsidRPr="00FF71E8">
        <w:rPr>
          <w:rStyle w:val="FootnoteReference"/>
          <w:rFonts w:cs="Arial"/>
          <w:b/>
          <w:color w:val="0079C2"/>
          <w:szCs w:val="24"/>
        </w:rPr>
        <w:footnoteReference w:id="4"/>
      </w:r>
      <w:r w:rsidRPr="00FF71E8">
        <w:rPr>
          <w:rFonts w:cs="Arial"/>
          <w:b/>
          <w:color w:val="0079C2"/>
          <w:szCs w:val="24"/>
        </w:rPr>
        <w:t>:</w:t>
      </w:r>
    </w:p>
    <w:p w14:paraId="47CCB168" w14:textId="6F15B979" w:rsidR="00B646D9" w:rsidRPr="009F57F5" w:rsidRDefault="00B646D9" w:rsidP="009858E3">
      <w:pPr>
        <w:pStyle w:val="ListParagraph"/>
        <w:numPr>
          <w:ilvl w:val="0"/>
          <w:numId w:val="35"/>
        </w:numPr>
        <w:spacing w:line="240" w:lineRule="auto"/>
        <w:rPr>
          <w:rFonts w:cs="Arial"/>
          <w:bCs/>
          <w:color w:val="000000" w:themeColor="text1"/>
          <w:szCs w:val="24"/>
        </w:rPr>
      </w:pPr>
      <w:r w:rsidRPr="009F57F5">
        <w:rPr>
          <w:rFonts w:cs="Arial"/>
          <w:bCs/>
          <w:color w:val="000000" w:themeColor="text1"/>
          <w:szCs w:val="24"/>
        </w:rPr>
        <w:t xml:space="preserve">Among Brighton and Hove pupils receiving SEN Support, the most common primary need is a social, emotional and mental health need (26% compared to 22% for England), followed by specific learning difficulty (22%, England 14%) and speech language and communication (21%, England 26%), which was the most common need across England in 2024 (Figure </w:t>
      </w:r>
      <w:r w:rsidR="00500773">
        <w:rPr>
          <w:rFonts w:cs="Arial"/>
          <w:bCs/>
          <w:color w:val="000000" w:themeColor="text1"/>
          <w:szCs w:val="24"/>
        </w:rPr>
        <w:t>12</w:t>
      </w:r>
      <w:r w:rsidRPr="00562B5B">
        <w:rPr>
          <w:rFonts w:cs="Arial"/>
          <w:color w:val="000000" w:themeColor="text1"/>
          <w:szCs w:val="24"/>
        </w:rPr>
        <w:t>)</w:t>
      </w:r>
    </w:p>
    <w:p w14:paraId="12BEBA3A" w14:textId="76598BFF" w:rsidR="00B646D9" w:rsidRPr="00595FE6" w:rsidRDefault="00B646D9" w:rsidP="009858E3">
      <w:pPr>
        <w:pStyle w:val="ListParagraph"/>
        <w:numPr>
          <w:ilvl w:val="0"/>
          <w:numId w:val="35"/>
        </w:numPr>
        <w:spacing w:line="240" w:lineRule="auto"/>
        <w:rPr>
          <w:rFonts w:cs="Arial"/>
          <w:color w:val="000000" w:themeColor="text1"/>
          <w:szCs w:val="24"/>
        </w:rPr>
      </w:pPr>
      <w:r w:rsidRPr="009F57F5">
        <w:rPr>
          <w:rFonts w:cs="Arial"/>
          <w:bCs/>
          <w:color w:val="000000" w:themeColor="text1"/>
          <w:szCs w:val="24"/>
        </w:rPr>
        <w:t xml:space="preserve">The most common primary SEN need of Brighton and Hove pupils with an </w:t>
      </w:r>
      <w:r w:rsidR="001572D3">
        <w:rPr>
          <w:rFonts w:cs="Arial"/>
          <w:bCs/>
          <w:color w:val="000000" w:themeColor="text1"/>
          <w:szCs w:val="24"/>
        </w:rPr>
        <w:t>EHC Plan</w:t>
      </w:r>
      <w:r w:rsidRPr="009F57F5">
        <w:rPr>
          <w:rFonts w:cs="Arial"/>
          <w:bCs/>
          <w:color w:val="000000" w:themeColor="text1"/>
          <w:szCs w:val="24"/>
        </w:rPr>
        <w:t>, is Autistic Spectrum Condition (48</w:t>
      </w:r>
      <w:r w:rsidRPr="00562B5B">
        <w:rPr>
          <w:rFonts w:cs="Arial"/>
          <w:color w:val="000000" w:themeColor="text1"/>
          <w:szCs w:val="24"/>
        </w:rPr>
        <w:t>%)</w:t>
      </w:r>
      <w:r w:rsidR="001B625D">
        <w:rPr>
          <w:rFonts w:cs="Arial"/>
          <w:color w:val="000000" w:themeColor="text1"/>
          <w:szCs w:val="24"/>
        </w:rPr>
        <w:t>,</w:t>
      </w:r>
      <w:r w:rsidRPr="009F57F5">
        <w:rPr>
          <w:rFonts w:cs="Arial"/>
          <w:bCs/>
          <w:color w:val="000000" w:themeColor="text1"/>
          <w:szCs w:val="24"/>
        </w:rPr>
        <w:t xml:space="preserve"> much higher than England (33%), though it is also the most common primary need across England.</w:t>
      </w:r>
      <w:r w:rsidRPr="00595FE6">
        <w:rPr>
          <w:rFonts w:cs="Arial"/>
          <w:color w:val="000000" w:themeColor="text1"/>
          <w:szCs w:val="24"/>
        </w:rPr>
        <w:t xml:space="preserve"> Followed by Speech, Language and Communication needs (16%, England 20%), and social, emotional and mental health (16</w:t>
      </w:r>
      <w:r w:rsidR="001B625D">
        <w:rPr>
          <w:rFonts w:cs="Arial"/>
          <w:color w:val="000000" w:themeColor="text1"/>
          <w:szCs w:val="24"/>
        </w:rPr>
        <w:t xml:space="preserve"> both areas</w:t>
      </w:r>
      <w:r w:rsidRPr="00595FE6">
        <w:rPr>
          <w:rFonts w:cs="Arial"/>
          <w:color w:val="000000" w:themeColor="text1"/>
          <w:szCs w:val="24"/>
        </w:rPr>
        <w:t>) (</w:t>
      </w:r>
      <w:r w:rsidRPr="00EA5DB2">
        <w:rPr>
          <w:rFonts w:cs="Arial"/>
          <w:color w:val="000000" w:themeColor="text1"/>
          <w:szCs w:val="24"/>
        </w:rPr>
        <w:t xml:space="preserve">Figure </w:t>
      </w:r>
      <w:r w:rsidR="00500773" w:rsidRPr="00EA5DB2">
        <w:rPr>
          <w:rFonts w:cs="Arial"/>
          <w:color w:val="000000" w:themeColor="text1"/>
          <w:szCs w:val="24"/>
        </w:rPr>
        <w:t>13</w:t>
      </w:r>
      <w:r w:rsidRPr="00595FE6">
        <w:rPr>
          <w:rFonts w:cs="Arial"/>
          <w:color w:val="000000" w:themeColor="text1"/>
          <w:szCs w:val="24"/>
        </w:rPr>
        <w:t>).</w:t>
      </w:r>
    </w:p>
    <w:p w14:paraId="39FAF593" w14:textId="77777777" w:rsidR="00B646D9" w:rsidRPr="00FF71E8" w:rsidRDefault="00B646D9" w:rsidP="00B646D9">
      <w:pPr>
        <w:spacing w:line="240" w:lineRule="auto"/>
        <w:rPr>
          <w:rFonts w:cs="Arial"/>
          <w:b/>
          <w:color w:val="0079C2"/>
          <w:szCs w:val="24"/>
        </w:rPr>
      </w:pPr>
      <w:r w:rsidRPr="00FF71E8">
        <w:rPr>
          <w:rFonts w:cs="Arial"/>
          <w:b/>
          <w:color w:val="0079C2"/>
          <w:szCs w:val="24"/>
        </w:rPr>
        <w:t>For any SEN:</w:t>
      </w:r>
    </w:p>
    <w:p w14:paraId="6BABCC36" w14:textId="3C169EAE" w:rsidR="00B646D9" w:rsidRPr="00595FE6" w:rsidRDefault="00B646D9" w:rsidP="009858E3">
      <w:pPr>
        <w:pStyle w:val="ListParagraph"/>
        <w:numPr>
          <w:ilvl w:val="0"/>
          <w:numId w:val="35"/>
        </w:numPr>
        <w:spacing w:line="240" w:lineRule="auto"/>
        <w:rPr>
          <w:rFonts w:cs="Arial"/>
          <w:color w:val="000000" w:themeColor="text1"/>
          <w:szCs w:val="24"/>
        </w:rPr>
      </w:pPr>
      <w:r w:rsidRPr="00FF71E8">
        <w:rPr>
          <w:rFonts w:cs="Arial"/>
          <w:b/>
          <w:color w:val="0079C2"/>
          <w:szCs w:val="24"/>
        </w:rPr>
        <w:t>The number of pupils with Autistic Spectrum Conditions (ASC) have increased sharply since 2015, from 289 pupils in January 2015 to 1,930 in January 2025.</w:t>
      </w:r>
      <w:r w:rsidRPr="00FF71E8">
        <w:rPr>
          <w:rFonts w:cs="Arial"/>
          <w:color w:val="0079C2"/>
          <w:szCs w:val="24"/>
        </w:rPr>
        <w:t xml:space="preserve"> </w:t>
      </w:r>
      <w:r w:rsidRPr="00595FE6">
        <w:rPr>
          <w:rFonts w:cs="Arial"/>
          <w:color w:val="000000" w:themeColor="text1"/>
          <w:szCs w:val="24"/>
        </w:rPr>
        <w:t>The large increase in numbers could be attributed to the increase in ASC diagnosis over the years</w:t>
      </w:r>
      <w:r w:rsidR="00CE553D">
        <w:rPr>
          <w:rFonts w:cs="Arial"/>
          <w:color w:val="000000" w:themeColor="text1"/>
          <w:szCs w:val="24"/>
        </w:rPr>
        <w:t xml:space="preserve"> (</w:t>
      </w:r>
      <w:r w:rsidR="00C0625E">
        <w:rPr>
          <w:rFonts w:cs="Arial"/>
          <w:color w:val="000000" w:themeColor="text1"/>
          <w:szCs w:val="24"/>
        </w:rPr>
        <w:t>T</w:t>
      </w:r>
      <w:r w:rsidR="00CE553D">
        <w:rPr>
          <w:rFonts w:cs="Arial"/>
          <w:color w:val="000000" w:themeColor="text1"/>
          <w:szCs w:val="24"/>
        </w:rPr>
        <w:t xml:space="preserve">able </w:t>
      </w:r>
      <w:r w:rsidR="00617E8C">
        <w:rPr>
          <w:rFonts w:cs="Arial"/>
          <w:color w:val="000000" w:themeColor="text1"/>
          <w:szCs w:val="24"/>
        </w:rPr>
        <w:t>5</w:t>
      </w:r>
      <w:r w:rsidR="00CE553D">
        <w:rPr>
          <w:rFonts w:cs="Arial"/>
          <w:color w:val="000000" w:themeColor="text1"/>
          <w:szCs w:val="24"/>
        </w:rPr>
        <w:t>)</w:t>
      </w:r>
    </w:p>
    <w:p w14:paraId="38C61C38" w14:textId="3061B6C9" w:rsidR="00B646D9" w:rsidRPr="00595FE6" w:rsidRDefault="00B646D9" w:rsidP="009858E3">
      <w:pPr>
        <w:pStyle w:val="ListParagraph"/>
        <w:numPr>
          <w:ilvl w:val="0"/>
          <w:numId w:val="35"/>
        </w:numPr>
        <w:spacing w:line="240" w:lineRule="auto"/>
        <w:rPr>
          <w:rFonts w:cs="Arial"/>
          <w:b/>
          <w:color w:val="000000" w:themeColor="text1"/>
          <w:szCs w:val="24"/>
        </w:rPr>
      </w:pPr>
      <w:r w:rsidRPr="00FF71E8">
        <w:rPr>
          <w:rFonts w:cs="Arial"/>
          <w:b/>
          <w:color w:val="0079C2"/>
          <w:szCs w:val="24"/>
        </w:rPr>
        <w:t xml:space="preserve">The number of pupils with social, emotional and mental health need have also increased since 2015 by </w:t>
      </w:r>
      <w:r w:rsidR="00FB4173">
        <w:rPr>
          <w:rFonts w:cs="Arial"/>
          <w:b/>
          <w:color w:val="0079C2"/>
          <w:szCs w:val="24"/>
        </w:rPr>
        <w:t>4</w:t>
      </w:r>
      <w:r w:rsidR="0048623A">
        <w:rPr>
          <w:rFonts w:cs="Arial"/>
          <w:b/>
          <w:color w:val="0079C2"/>
          <w:szCs w:val="24"/>
        </w:rPr>
        <w:t>3</w:t>
      </w:r>
      <w:r w:rsidR="00164C75">
        <w:rPr>
          <w:rFonts w:cs="Arial"/>
          <w:b/>
          <w:color w:val="0079C2"/>
          <w:szCs w:val="24"/>
        </w:rPr>
        <w:t>%</w:t>
      </w:r>
      <w:r w:rsidRPr="00FF71E8">
        <w:rPr>
          <w:rFonts w:cs="Arial"/>
          <w:b/>
          <w:color w:val="0079C2"/>
          <w:szCs w:val="24"/>
        </w:rPr>
        <w:t xml:space="preserve"> from 1,177 to 1,681. </w:t>
      </w:r>
      <w:r w:rsidR="00E66764">
        <w:rPr>
          <w:rFonts w:cs="Arial"/>
          <w:bCs/>
          <w:color w:val="000000" w:themeColor="text1"/>
          <w:szCs w:val="24"/>
        </w:rPr>
        <w:t xml:space="preserve">This increase is also seen nationally as </w:t>
      </w:r>
      <w:r w:rsidR="009955C1">
        <w:rPr>
          <w:rFonts w:cs="Arial"/>
          <w:bCs/>
          <w:color w:val="000000" w:themeColor="text1"/>
          <w:szCs w:val="24"/>
        </w:rPr>
        <w:t xml:space="preserve">the number of pupils with </w:t>
      </w:r>
      <w:r w:rsidR="007918B4">
        <w:rPr>
          <w:rFonts w:cs="Arial"/>
          <w:bCs/>
          <w:color w:val="000000" w:themeColor="text1"/>
          <w:szCs w:val="24"/>
        </w:rPr>
        <w:t xml:space="preserve">social, emotional, and mental health need increased by </w:t>
      </w:r>
      <w:r w:rsidR="009055FB">
        <w:rPr>
          <w:rFonts w:cs="Arial"/>
          <w:bCs/>
          <w:color w:val="000000" w:themeColor="text1"/>
          <w:szCs w:val="24"/>
        </w:rPr>
        <w:t>80</w:t>
      </w:r>
      <w:r w:rsidR="007918B4">
        <w:rPr>
          <w:rFonts w:cs="Arial"/>
          <w:bCs/>
          <w:color w:val="000000" w:themeColor="text1"/>
          <w:szCs w:val="24"/>
        </w:rPr>
        <w:t>% from 194,</w:t>
      </w:r>
      <w:r w:rsidR="00850CAE">
        <w:rPr>
          <w:rFonts w:cs="Arial"/>
          <w:bCs/>
          <w:color w:val="000000" w:themeColor="text1"/>
          <w:szCs w:val="24"/>
        </w:rPr>
        <w:t xml:space="preserve">691 in January 2016 to 350,534 in January 2025 </w:t>
      </w:r>
      <w:r w:rsidR="00AD5F01">
        <w:rPr>
          <w:rFonts w:cs="Arial"/>
          <w:bCs/>
          <w:color w:val="000000" w:themeColor="text1"/>
          <w:szCs w:val="24"/>
        </w:rPr>
        <w:t>(</w:t>
      </w:r>
      <w:r w:rsidR="00BB3AD3">
        <w:rPr>
          <w:rFonts w:cs="Arial"/>
          <w:bCs/>
          <w:color w:val="000000" w:themeColor="text1"/>
          <w:szCs w:val="24"/>
        </w:rPr>
        <w:t>A</w:t>
      </w:r>
      <w:r w:rsidR="00CE553D">
        <w:rPr>
          <w:rFonts w:cs="Arial"/>
          <w:bCs/>
          <w:color w:val="000000" w:themeColor="text1"/>
          <w:szCs w:val="24"/>
        </w:rPr>
        <w:t xml:space="preserve">ppendix </w:t>
      </w:r>
      <w:r w:rsidR="00BB3AD3">
        <w:rPr>
          <w:rFonts w:cs="Arial"/>
          <w:bCs/>
          <w:color w:val="000000" w:themeColor="text1"/>
          <w:szCs w:val="24"/>
        </w:rPr>
        <w:t>2</w:t>
      </w:r>
      <w:r w:rsidR="00AD5F01">
        <w:rPr>
          <w:rFonts w:cs="Arial"/>
          <w:bCs/>
          <w:color w:val="000000" w:themeColor="text1"/>
          <w:szCs w:val="24"/>
        </w:rPr>
        <w:t>)</w:t>
      </w:r>
    </w:p>
    <w:p w14:paraId="2BC91EBA" w14:textId="489B56C3" w:rsidR="00B646D9" w:rsidRPr="00FF71E8" w:rsidRDefault="00B646D9" w:rsidP="009858E3">
      <w:pPr>
        <w:pStyle w:val="ListParagraph"/>
        <w:numPr>
          <w:ilvl w:val="0"/>
          <w:numId w:val="35"/>
        </w:numPr>
        <w:spacing w:line="240" w:lineRule="auto"/>
        <w:rPr>
          <w:rFonts w:cs="Arial"/>
          <w:b/>
          <w:color w:val="0079C2"/>
          <w:szCs w:val="24"/>
        </w:rPr>
      </w:pPr>
      <w:r w:rsidRPr="00FF71E8">
        <w:rPr>
          <w:rFonts w:cs="Arial"/>
          <w:b/>
          <w:color w:val="0079C2"/>
          <w:szCs w:val="24"/>
        </w:rPr>
        <w:lastRenderedPageBreak/>
        <w:t>All other SEN type of need has either declined or remained unchanged as a primary need.</w:t>
      </w:r>
    </w:p>
    <w:p w14:paraId="41DBA606" w14:textId="241B3027" w:rsidR="00564FD7" w:rsidRPr="00612B12" w:rsidRDefault="003F51E4" w:rsidP="00D9246A">
      <w:pPr>
        <w:spacing w:line="240" w:lineRule="auto"/>
        <w:rPr>
          <w:b/>
          <w:color w:val="A65588"/>
        </w:rPr>
      </w:pPr>
      <w:r w:rsidRPr="00612B12">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12</w:t>
      </w:r>
      <w:r w:rsidR="00CA2D43">
        <w:rPr>
          <w:b/>
          <w:color w:val="A65588"/>
        </w:rPr>
        <w:fldChar w:fldCharType="end"/>
      </w:r>
      <w:r w:rsidRPr="00612B12">
        <w:rPr>
          <w:b/>
          <w:color w:val="A65588"/>
        </w:rPr>
        <w:t xml:space="preserve">: </w:t>
      </w:r>
      <w:r w:rsidR="00564FD7" w:rsidRPr="00612B12">
        <w:rPr>
          <w:b/>
          <w:color w:val="A65588"/>
        </w:rPr>
        <w:t>Percentage of pupils receiving SEN Support</w:t>
      </w:r>
      <w:r w:rsidR="000C022B" w:rsidRPr="00612B12">
        <w:rPr>
          <w:b/>
          <w:color w:val="A65588"/>
        </w:rPr>
        <w:t>,</w:t>
      </w:r>
      <w:r w:rsidR="00564FD7" w:rsidRPr="00612B12">
        <w:rPr>
          <w:b/>
          <w:color w:val="A65588"/>
        </w:rPr>
        <w:t xml:space="preserve"> by primary SEN need</w:t>
      </w:r>
      <w:r w:rsidR="000C022B" w:rsidRPr="00612B12">
        <w:rPr>
          <w:b/>
          <w:color w:val="A65588"/>
        </w:rPr>
        <w:t>,</w:t>
      </w:r>
      <w:r w:rsidR="00564FD7" w:rsidRPr="00612B12">
        <w:rPr>
          <w:b/>
          <w:color w:val="A65588"/>
        </w:rPr>
        <w:t xml:space="preserve"> in Brighton &amp; Hove (January 2025) and England (2024)</w:t>
      </w:r>
    </w:p>
    <w:p w14:paraId="6105E627" w14:textId="165192E3" w:rsidR="005412E3" w:rsidRDefault="00650E07" w:rsidP="00D9246A">
      <w:pPr>
        <w:spacing w:line="240" w:lineRule="auto"/>
      </w:pPr>
      <w:r w:rsidRPr="00650E07">
        <w:rPr>
          <w:rFonts w:cs="Arial"/>
          <w:b/>
          <w:noProof/>
          <w:color w:val="000000" w:themeColor="text1"/>
          <w:szCs w:val="24"/>
        </w:rPr>
        <w:drawing>
          <wp:inline distT="0" distB="0" distL="0" distR="0" wp14:anchorId="67015657" wp14:editId="35B65BCA">
            <wp:extent cx="5939790" cy="2980055"/>
            <wp:effectExtent l="0" t="0" r="3810" b="0"/>
            <wp:docPr id="16984272" name="Picture 1" descr="A column chart showing the percentage of pupils receiving SEN Support by primary SEN need in BHCC (2025) and England (2024).&#10;&#10;Among Brighton and Hove pupils receiving SEN Support, the most common primary need is a social, emotional and mental health need (26% compared to 22% for England), followed by specific learning difficulty (22%, England 14%) and speech language and communication (21%, England 26%), which was the most common need across England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272" name="Picture 1" descr="A column chart showing the percentage of pupils receiving SEN Support by primary SEN need in BHCC (2025) and England (2024).&#10;&#10;Among Brighton and Hove pupils receiving SEN Support, the most common primary need is a social, emotional and mental health need (26% compared to 22% for England), followed by specific learning difficulty (22%, England 14%) and speech language and communication (21%, England 26%), which was the most common need across England in 2024."/>
                    <pic:cNvPicPr/>
                  </pic:nvPicPr>
                  <pic:blipFill>
                    <a:blip r:embed="rId61"/>
                    <a:stretch>
                      <a:fillRect/>
                    </a:stretch>
                  </pic:blipFill>
                  <pic:spPr>
                    <a:xfrm>
                      <a:off x="0" y="0"/>
                      <a:ext cx="5939790" cy="2980055"/>
                    </a:xfrm>
                    <a:prstGeom prst="rect">
                      <a:avLst/>
                    </a:prstGeom>
                  </pic:spPr>
                </pic:pic>
              </a:graphicData>
            </a:graphic>
          </wp:inline>
        </w:drawing>
      </w:r>
      <w:r w:rsidR="003F51E4">
        <w:t xml:space="preserve"> </w:t>
      </w:r>
      <w:r w:rsidR="005C2D39" w:rsidRPr="00612B12">
        <w:rPr>
          <w:b/>
        </w:rPr>
        <w:t>Source:</w:t>
      </w:r>
      <w:r w:rsidR="000627BB" w:rsidRPr="00E8061D">
        <w:t xml:space="preserve"> Department for Education. Schools, pupils and their characteristics: January 2024, </w:t>
      </w:r>
      <w:r w:rsidR="00504C08" w:rsidRPr="00E8061D">
        <w:t xml:space="preserve">Special Educational Needs in England, 2023/24, </w:t>
      </w:r>
      <w:r w:rsidR="00504C08" w:rsidRPr="00612B12">
        <w:rPr>
          <w:rFonts w:cs="Arial"/>
          <w:color w:val="000000" w:themeColor="text1"/>
          <w:szCs w:val="24"/>
        </w:rPr>
        <w:t xml:space="preserve">Brighton </w:t>
      </w:r>
      <w:r w:rsidR="00FF71E8" w:rsidRPr="00612B12">
        <w:rPr>
          <w:rFonts w:cs="Arial"/>
          <w:iCs/>
          <w:color w:val="000000" w:themeColor="text1"/>
          <w:szCs w:val="24"/>
        </w:rPr>
        <w:t>and</w:t>
      </w:r>
      <w:r w:rsidR="00504C08" w:rsidRPr="00612B12">
        <w:rPr>
          <w:rFonts w:cs="Arial"/>
          <w:color w:val="000000" w:themeColor="text1"/>
          <w:szCs w:val="24"/>
        </w:rPr>
        <w:t xml:space="preserve"> Hove</w:t>
      </w:r>
      <w:r w:rsidR="009A3842" w:rsidRPr="00612B12">
        <w:rPr>
          <w:rFonts w:cs="Arial"/>
          <w:color w:val="000000" w:themeColor="text1"/>
          <w:szCs w:val="24"/>
        </w:rPr>
        <w:t xml:space="preserve"> School</w:t>
      </w:r>
      <w:r w:rsidR="00A94D45" w:rsidRPr="00612B12">
        <w:rPr>
          <w:rFonts w:cs="Arial"/>
          <w:color w:val="000000" w:themeColor="text1"/>
          <w:szCs w:val="24"/>
        </w:rPr>
        <w:t>s</w:t>
      </w:r>
      <w:r w:rsidR="00FF71E8">
        <w:rPr>
          <w:rFonts w:cs="Arial"/>
          <w:iCs/>
          <w:color w:val="000000" w:themeColor="text1"/>
          <w:szCs w:val="24"/>
        </w:rPr>
        <w:t xml:space="preserve"> Census</w:t>
      </w:r>
      <w:r w:rsidR="005A2033" w:rsidRPr="00612B12">
        <w:rPr>
          <w:rFonts w:cs="Arial"/>
          <w:color w:val="000000" w:themeColor="text1"/>
          <w:szCs w:val="24"/>
        </w:rPr>
        <w:t>,</w:t>
      </w:r>
      <w:r w:rsidR="007B403B" w:rsidRPr="00612B12">
        <w:rPr>
          <w:rFonts w:cs="Arial"/>
          <w:color w:val="000000" w:themeColor="text1"/>
          <w:szCs w:val="24"/>
        </w:rPr>
        <w:t xml:space="preserve"> </w:t>
      </w:r>
      <w:r w:rsidR="002834C2" w:rsidRPr="00612B12">
        <w:rPr>
          <w:rFonts w:cs="Arial"/>
          <w:color w:val="000000" w:themeColor="text1"/>
          <w:szCs w:val="24"/>
        </w:rPr>
        <w:t>January 2025</w:t>
      </w:r>
    </w:p>
    <w:p w14:paraId="5070D44D" w14:textId="4213138C" w:rsidR="003C141E" w:rsidRPr="00612B12" w:rsidRDefault="009E1CF3" w:rsidP="00D9246A">
      <w:pPr>
        <w:spacing w:line="240" w:lineRule="auto"/>
        <w:rPr>
          <w:b/>
          <w:color w:val="A65588"/>
        </w:rPr>
      </w:pPr>
      <w:r w:rsidRPr="00612B12">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13</w:t>
      </w:r>
      <w:r w:rsidR="00CA2D43">
        <w:rPr>
          <w:b/>
          <w:color w:val="A65588"/>
        </w:rPr>
        <w:fldChar w:fldCharType="end"/>
      </w:r>
      <w:r w:rsidRPr="00612B12">
        <w:rPr>
          <w:b/>
          <w:color w:val="A65588"/>
        </w:rPr>
        <w:t xml:space="preserve">: </w:t>
      </w:r>
      <w:r w:rsidR="003C141E" w:rsidRPr="00612B12">
        <w:rPr>
          <w:b/>
          <w:color w:val="A65588"/>
        </w:rPr>
        <w:t xml:space="preserve">Percentage of pupils with an </w:t>
      </w:r>
      <w:r w:rsidR="001572D3" w:rsidRPr="00612B12">
        <w:rPr>
          <w:b/>
          <w:color w:val="A65588"/>
        </w:rPr>
        <w:t>EHC Plan</w:t>
      </w:r>
      <w:r w:rsidR="003C141E" w:rsidRPr="00612B12">
        <w:rPr>
          <w:b/>
          <w:color w:val="A65588"/>
        </w:rPr>
        <w:t xml:space="preserve"> by primary SEN need in Brighton &amp; Hove (January 2025) and England (2024)</w:t>
      </w:r>
    </w:p>
    <w:p w14:paraId="3FAA4DB9" w14:textId="5287489C" w:rsidR="002C1385" w:rsidRDefault="007B2BF1" w:rsidP="00B646D9">
      <w:pPr>
        <w:spacing w:line="240" w:lineRule="auto"/>
        <w:rPr>
          <w:rFonts w:cs="Arial"/>
          <w:b/>
          <w:color w:val="086A76"/>
          <w:szCs w:val="24"/>
        </w:rPr>
        <w:sectPr w:rsidR="002C1385" w:rsidSect="00292E8B">
          <w:headerReference w:type="default" r:id="rId62"/>
          <w:footnotePr>
            <w:numFmt w:val="lowerLetter"/>
          </w:footnotePr>
          <w:endnotePr>
            <w:numFmt w:val="decimal"/>
          </w:endnotePr>
          <w:pgSz w:w="11906" w:h="16838"/>
          <w:pgMar w:top="1134" w:right="1134" w:bottom="1134" w:left="1418" w:header="709" w:footer="709" w:gutter="0"/>
          <w:cols w:space="708"/>
          <w:docGrid w:linePitch="360"/>
        </w:sectPr>
      </w:pPr>
      <w:r w:rsidRPr="007B2BF1">
        <w:rPr>
          <w:rFonts w:cs="Arial"/>
          <w:b/>
          <w:noProof/>
          <w:color w:val="000000" w:themeColor="text1"/>
          <w:szCs w:val="24"/>
        </w:rPr>
        <w:drawing>
          <wp:inline distT="0" distB="0" distL="0" distR="0" wp14:anchorId="71F128F7" wp14:editId="5DD8DF98">
            <wp:extent cx="5939790" cy="3049270"/>
            <wp:effectExtent l="0" t="0" r="3810" b="0"/>
            <wp:docPr id="615718237" name="Picture 1" descr="A column chart showing the percentage of pupils with an EHCP by primary SEN need in BHCC (2025) and England (2024).&#10;&#10;The most common primary SEN need of Brighton and Hove pupils with an EHCP, is Autistic Spectrum Condition (48%), much higher than England (33%), though it is also the most common primary need across England. Followed by Speech, Language and Communication needs (16%, England 20%), and social, emotional and mental health (16% in Brighton and Hove and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18237" name="Picture 1" descr="A column chart showing the percentage of pupils with an EHCP by primary SEN need in BHCC (2025) and England (2024).&#10;&#10;The most common primary SEN need of Brighton and Hove pupils with an EHCP, is Autistic Spectrum Condition (48%), much higher than England (33%), though it is also the most common primary need across England. Followed by Speech, Language and Communication needs (16%, England 20%), and social, emotional and mental health (16% in Brighton and Hove and England)."/>
                    <pic:cNvPicPr/>
                  </pic:nvPicPr>
                  <pic:blipFill>
                    <a:blip r:embed="rId63"/>
                    <a:stretch>
                      <a:fillRect/>
                    </a:stretch>
                  </pic:blipFill>
                  <pic:spPr>
                    <a:xfrm>
                      <a:off x="0" y="0"/>
                      <a:ext cx="5939790" cy="3049270"/>
                    </a:xfrm>
                    <a:prstGeom prst="rect">
                      <a:avLst/>
                    </a:prstGeom>
                  </pic:spPr>
                </pic:pic>
              </a:graphicData>
            </a:graphic>
          </wp:inline>
        </w:drawing>
      </w:r>
      <w:r w:rsidR="00542AF9" w:rsidRPr="00806BB0">
        <w:t xml:space="preserve"> </w:t>
      </w:r>
      <w:r w:rsidR="00542AF9" w:rsidRPr="00612B12">
        <w:rPr>
          <w:b/>
        </w:rPr>
        <w:t>Source:</w:t>
      </w:r>
      <w:r w:rsidR="00542AF9" w:rsidRPr="009E1CF3">
        <w:t xml:space="preserve"> Department for Education. Schools, pupils and their characteristics: January 2024, Special Educational Needs in England, 2023/2</w:t>
      </w:r>
      <w:r w:rsidR="00542AF9" w:rsidRPr="009E1CF3">
        <w:rPr>
          <w:noProof/>
        </w:rPr>
        <w:t>4</w:t>
      </w:r>
      <w:r w:rsidR="00806BB0" w:rsidRPr="009E1CF3">
        <w:rPr>
          <w:noProof/>
        </w:rPr>
        <w:t xml:space="preserve"> </w:t>
      </w:r>
      <w:r w:rsidR="00FF71E8">
        <w:rPr>
          <w:noProof/>
        </w:rPr>
        <w:t xml:space="preserve">and </w:t>
      </w:r>
      <w:r w:rsidR="00806BB0" w:rsidRPr="00612B12">
        <w:rPr>
          <w:rFonts w:cs="Arial"/>
          <w:color w:val="000000" w:themeColor="text1"/>
          <w:szCs w:val="24"/>
        </w:rPr>
        <w:t xml:space="preserve">Brighton </w:t>
      </w:r>
      <w:r w:rsidR="00FF71E8" w:rsidRPr="00612B12">
        <w:rPr>
          <w:rFonts w:cs="Arial"/>
          <w:iCs/>
          <w:color w:val="000000" w:themeColor="text1"/>
          <w:szCs w:val="24"/>
        </w:rPr>
        <w:t>and</w:t>
      </w:r>
      <w:r w:rsidR="00806BB0" w:rsidRPr="00612B12">
        <w:rPr>
          <w:rFonts w:cs="Arial"/>
          <w:color w:val="000000" w:themeColor="text1"/>
          <w:szCs w:val="24"/>
        </w:rPr>
        <w:t xml:space="preserve"> Hove </w:t>
      </w:r>
      <w:r w:rsidR="00FF71E8" w:rsidRPr="00612B12">
        <w:rPr>
          <w:rFonts w:cs="Arial"/>
          <w:iCs/>
          <w:color w:val="000000" w:themeColor="text1"/>
          <w:szCs w:val="24"/>
        </w:rPr>
        <w:t>Schools</w:t>
      </w:r>
      <w:r w:rsidR="00FF71E8">
        <w:rPr>
          <w:rFonts w:cs="Arial"/>
          <w:iCs/>
          <w:color w:val="000000" w:themeColor="text1"/>
          <w:szCs w:val="24"/>
        </w:rPr>
        <w:t xml:space="preserve"> Census</w:t>
      </w:r>
      <w:r w:rsidR="00FF71E8" w:rsidRPr="00612B12">
        <w:rPr>
          <w:rFonts w:cs="Arial"/>
          <w:iCs/>
          <w:color w:val="000000" w:themeColor="text1"/>
          <w:szCs w:val="24"/>
        </w:rPr>
        <w:t>,</w:t>
      </w:r>
      <w:r w:rsidR="007B403B" w:rsidRPr="00612B12">
        <w:rPr>
          <w:rFonts w:cs="Arial"/>
          <w:color w:val="000000" w:themeColor="text1"/>
          <w:szCs w:val="24"/>
        </w:rPr>
        <w:t xml:space="preserve"> </w:t>
      </w:r>
      <w:r w:rsidR="00806BB0" w:rsidRPr="00612B12">
        <w:rPr>
          <w:rFonts w:cs="Arial"/>
          <w:color w:val="000000" w:themeColor="text1"/>
          <w:szCs w:val="24"/>
        </w:rPr>
        <w:t>January 2025</w:t>
      </w:r>
    </w:p>
    <w:p w14:paraId="62EAB065" w14:textId="56AD14B4" w:rsidR="00A36A8D" w:rsidRPr="00612B12" w:rsidRDefault="00937DD4" w:rsidP="00D9246A">
      <w:pPr>
        <w:spacing w:line="240" w:lineRule="auto"/>
        <w:rPr>
          <w:b/>
          <w:color w:val="A65588"/>
        </w:rPr>
      </w:pPr>
      <w:r w:rsidRPr="00612B12">
        <w:rPr>
          <w:b/>
          <w:color w:val="A65588"/>
        </w:rPr>
        <w:lastRenderedPageBreak/>
        <w:t xml:space="preserve">Table </w:t>
      </w:r>
      <w:r w:rsidR="001F7135" w:rsidRPr="00612B12">
        <w:rPr>
          <w:b/>
          <w:color w:val="A65588"/>
        </w:rPr>
        <w:fldChar w:fldCharType="begin"/>
      </w:r>
      <w:r w:rsidR="001F7135" w:rsidRPr="00612B12">
        <w:rPr>
          <w:b/>
          <w:color w:val="A65588"/>
        </w:rPr>
        <w:instrText xml:space="preserve"> SEQ Table \* ARABIC </w:instrText>
      </w:r>
      <w:r w:rsidR="001F7135" w:rsidRPr="00612B12">
        <w:rPr>
          <w:b/>
          <w:color w:val="A65588"/>
        </w:rPr>
        <w:fldChar w:fldCharType="separate"/>
      </w:r>
      <w:r w:rsidR="009A41AE">
        <w:rPr>
          <w:b/>
          <w:noProof/>
          <w:color w:val="A65588"/>
        </w:rPr>
        <w:t>5</w:t>
      </w:r>
      <w:r w:rsidR="001F7135" w:rsidRPr="00612B12">
        <w:rPr>
          <w:b/>
          <w:color w:val="A65588"/>
        </w:rPr>
        <w:fldChar w:fldCharType="end"/>
      </w:r>
      <w:r w:rsidRPr="00612B12">
        <w:rPr>
          <w:b/>
          <w:color w:val="A65588"/>
        </w:rPr>
        <w:t xml:space="preserve">: All SEN primary need, </w:t>
      </w:r>
      <w:r w:rsidR="00A964C5" w:rsidRPr="00612B12">
        <w:rPr>
          <w:b/>
          <w:color w:val="A65588"/>
        </w:rPr>
        <w:t xml:space="preserve">Brighton &amp; </w:t>
      </w:r>
      <w:r w:rsidR="005739C6" w:rsidRPr="00612B12">
        <w:rPr>
          <w:b/>
          <w:color w:val="A65588"/>
        </w:rPr>
        <w:t>Hove,</w:t>
      </w:r>
      <w:r w:rsidR="00F84B5F" w:rsidRPr="00612B12">
        <w:rPr>
          <w:b/>
          <w:color w:val="A65588"/>
        </w:rPr>
        <w:t xml:space="preserve"> </w:t>
      </w:r>
      <w:r w:rsidRPr="00612B12">
        <w:rPr>
          <w:b/>
          <w:color w:val="A65588"/>
        </w:rPr>
        <w:t>January 2015 to January 2025</w:t>
      </w:r>
    </w:p>
    <w:p w14:paraId="0EAAD1E3" w14:textId="3DE2FAA4" w:rsidR="001E30BC" w:rsidRDefault="00DB7FC3" w:rsidP="00D9246A">
      <w:pPr>
        <w:spacing w:line="240" w:lineRule="auto"/>
        <w:rPr>
          <w:lang w:eastAsia="en-GB"/>
        </w:rPr>
      </w:pPr>
      <w:r w:rsidRPr="00FA2F8F">
        <w:rPr>
          <w:b/>
          <w:lang w:eastAsia="en-GB"/>
        </w:rPr>
        <w:t>S</w:t>
      </w:r>
      <w:r w:rsidR="00874CC3" w:rsidRPr="00FA2F8F">
        <w:rPr>
          <w:b/>
          <w:lang w:eastAsia="en-GB"/>
        </w:rPr>
        <w:t>ource:</w:t>
      </w:r>
      <w:r w:rsidR="00874CC3">
        <w:rPr>
          <w:lang w:eastAsia="en-GB"/>
        </w:rPr>
        <w:t xml:space="preserve"> </w:t>
      </w:r>
      <w:r w:rsidR="00874CC3" w:rsidRPr="00612B12">
        <w:rPr>
          <w:rFonts w:cs="Arial"/>
          <w:color w:val="000000" w:themeColor="text1"/>
          <w:szCs w:val="24"/>
        </w:rPr>
        <w:t>Brighton and Hove Schools</w:t>
      </w:r>
      <w:r w:rsidR="00FF71E8">
        <w:rPr>
          <w:rFonts w:cs="Arial"/>
          <w:iCs/>
          <w:color w:val="000000" w:themeColor="text1"/>
          <w:szCs w:val="24"/>
        </w:rPr>
        <w:t xml:space="preserve"> Census</w:t>
      </w:r>
      <w:r w:rsidR="00FF71E8" w:rsidRPr="00612B12">
        <w:rPr>
          <w:rFonts w:cs="Arial"/>
          <w:iCs/>
          <w:color w:val="000000" w:themeColor="text1"/>
          <w:szCs w:val="24"/>
        </w:rPr>
        <w:t>,</w:t>
      </w:r>
      <w:r w:rsidR="00874CC3" w:rsidRPr="00612B12">
        <w:rPr>
          <w:rFonts w:cs="Arial"/>
          <w:color w:val="000000" w:themeColor="text1"/>
          <w:szCs w:val="24"/>
        </w:rPr>
        <w:t xml:space="preserve"> January 2025</w:t>
      </w:r>
    </w:p>
    <w:tbl>
      <w:tblPr>
        <w:tblStyle w:val="TableGrid"/>
        <w:tblpPr w:leftFromText="180" w:rightFromText="180" w:horzAnchor="margin" w:tblpY="357"/>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9"/>
        <w:gridCol w:w="990"/>
        <w:gridCol w:w="990"/>
        <w:gridCol w:w="990"/>
        <w:gridCol w:w="992"/>
        <w:gridCol w:w="991"/>
        <w:gridCol w:w="991"/>
        <w:gridCol w:w="991"/>
        <w:gridCol w:w="989"/>
        <w:gridCol w:w="989"/>
        <w:gridCol w:w="989"/>
        <w:gridCol w:w="989"/>
      </w:tblGrid>
      <w:tr w:rsidR="006C1F15" w:rsidRPr="00911FB1" w14:paraId="69178A58" w14:textId="77777777">
        <w:tc>
          <w:tcPr>
            <w:tcW w:w="3669" w:type="dxa"/>
            <w:shd w:val="clear" w:color="auto" w:fill="086A76"/>
          </w:tcPr>
          <w:p w14:paraId="2ADB6AE3" w14:textId="77777777" w:rsidR="003A392D" w:rsidRPr="009D2AF1" w:rsidRDefault="003A392D">
            <w:pPr>
              <w:rPr>
                <w:rFonts w:cs="Arial"/>
                <w:b/>
                <w:color w:val="FFFFFF" w:themeColor="background1"/>
                <w:szCs w:val="24"/>
              </w:rPr>
            </w:pPr>
            <w:r w:rsidRPr="0076493A">
              <w:rPr>
                <w:rFonts w:cs="Arial"/>
                <w:b/>
                <w:color w:val="086A76"/>
                <w:szCs w:val="24"/>
              </w:rPr>
              <w:t xml:space="preserve">Figure X: Percentage of pupils in Brighton &amp; Hove with SEN by primary SEN </w:t>
            </w:r>
            <w:proofErr w:type="spellStart"/>
            <w:r w:rsidRPr="009D2AF1">
              <w:rPr>
                <w:rFonts w:cs="Arial"/>
                <w:b/>
                <w:color w:val="FFFFFF" w:themeColor="background1"/>
                <w:szCs w:val="24"/>
              </w:rPr>
              <w:t>SEN</w:t>
            </w:r>
            <w:proofErr w:type="spellEnd"/>
            <w:r w:rsidRPr="009D2AF1">
              <w:rPr>
                <w:rFonts w:cs="Arial"/>
                <w:b/>
                <w:color w:val="FFFFFF" w:themeColor="background1"/>
                <w:szCs w:val="24"/>
              </w:rPr>
              <w:t xml:space="preserve"> Primary Need – All SEN pupils</w:t>
            </w:r>
          </w:p>
        </w:tc>
        <w:tc>
          <w:tcPr>
            <w:tcW w:w="990" w:type="dxa"/>
            <w:shd w:val="clear" w:color="auto" w:fill="086A76"/>
          </w:tcPr>
          <w:p w14:paraId="3EA04973" w14:textId="77777777" w:rsidR="003A392D" w:rsidRDefault="003A392D">
            <w:pPr>
              <w:rPr>
                <w:rFonts w:cs="Arial"/>
                <w:b/>
                <w:color w:val="FFFFFF" w:themeColor="background1"/>
                <w:szCs w:val="24"/>
              </w:rPr>
            </w:pPr>
          </w:p>
          <w:p w14:paraId="262EA974" w14:textId="77777777" w:rsidR="003A392D" w:rsidRDefault="003A392D">
            <w:pPr>
              <w:rPr>
                <w:rFonts w:cs="Arial"/>
                <w:b/>
                <w:color w:val="FFFFFF" w:themeColor="background1"/>
                <w:szCs w:val="24"/>
              </w:rPr>
            </w:pPr>
          </w:p>
          <w:p w14:paraId="67279776" w14:textId="77777777" w:rsidR="003A392D" w:rsidRDefault="003A392D">
            <w:pPr>
              <w:rPr>
                <w:rFonts w:cs="Arial"/>
                <w:b/>
                <w:color w:val="FFFFFF" w:themeColor="background1"/>
                <w:szCs w:val="24"/>
              </w:rPr>
            </w:pPr>
          </w:p>
          <w:p w14:paraId="74EA7F47" w14:textId="77777777" w:rsidR="003A392D" w:rsidRPr="009D2AF1" w:rsidRDefault="003A392D">
            <w:pPr>
              <w:rPr>
                <w:rFonts w:cs="Arial"/>
                <w:b/>
                <w:color w:val="FFFFFF" w:themeColor="background1"/>
                <w:szCs w:val="24"/>
              </w:rPr>
            </w:pPr>
            <w:r w:rsidRPr="009D2AF1">
              <w:rPr>
                <w:rFonts w:cs="Arial"/>
                <w:b/>
                <w:color w:val="FFFFFF" w:themeColor="background1"/>
                <w:szCs w:val="24"/>
              </w:rPr>
              <w:t>Jan-15</w:t>
            </w:r>
          </w:p>
        </w:tc>
        <w:tc>
          <w:tcPr>
            <w:tcW w:w="990" w:type="dxa"/>
            <w:shd w:val="clear" w:color="auto" w:fill="086A76"/>
          </w:tcPr>
          <w:p w14:paraId="6321B8D5" w14:textId="77777777" w:rsidR="003A392D" w:rsidRDefault="003A392D">
            <w:pPr>
              <w:rPr>
                <w:rFonts w:cs="Arial"/>
                <w:b/>
                <w:color w:val="FFFFFF" w:themeColor="background1"/>
                <w:szCs w:val="24"/>
              </w:rPr>
            </w:pPr>
          </w:p>
          <w:p w14:paraId="1FBCAEE7" w14:textId="77777777" w:rsidR="003A392D" w:rsidRDefault="003A392D">
            <w:pPr>
              <w:rPr>
                <w:rFonts w:cs="Arial"/>
                <w:b/>
                <w:color w:val="FFFFFF" w:themeColor="background1"/>
                <w:szCs w:val="24"/>
              </w:rPr>
            </w:pPr>
          </w:p>
          <w:p w14:paraId="248EA07F" w14:textId="77777777" w:rsidR="003A392D" w:rsidRDefault="003A392D">
            <w:pPr>
              <w:rPr>
                <w:rFonts w:cs="Arial"/>
                <w:b/>
                <w:color w:val="FFFFFF" w:themeColor="background1"/>
                <w:szCs w:val="24"/>
              </w:rPr>
            </w:pPr>
          </w:p>
          <w:p w14:paraId="0EAFF40B" w14:textId="77777777" w:rsidR="003A392D" w:rsidRPr="009D2AF1" w:rsidRDefault="003A392D">
            <w:pPr>
              <w:rPr>
                <w:rFonts w:cs="Arial"/>
                <w:b/>
                <w:color w:val="FFFFFF" w:themeColor="background1"/>
                <w:szCs w:val="24"/>
              </w:rPr>
            </w:pPr>
            <w:r w:rsidRPr="009D2AF1">
              <w:rPr>
                <w:rFonts w:cs="Arial"/>
                <w:b/>
                <w:color w:val="FFFFFF" w:themeColor="background1"/>
                <w:szCs w:val="24"/>
              </w:rPr>
              <w:t>Jan-16</w:t>
            </w:r>
          </w:p>
        </w:tc>
        <w:tc>
          <w:tcPr>
            <w:tcW w:w="990" w:type="dxa"/>
            <w:shd w:val="clear" w:color="auto" w:fill="086A76"/>
          </w:tcPr>
          <w:p w14:paraId="0F31FD8D" w14:textId="77777777" w:rsidR="003A392D" w:rsidRDefault="003A392D">
            <w:pPr>
              <w:rPr>
                <w:rFonts w:cs="Arial"/>
                <w:b/>
                <w:color w:val="FFFFFF" w:themeColor="background1"/>
                <w:szCs w:val="24"/>
              </w:rPr>
            </w:pPr>
          </w:p>
          <w:p w14:paraId="0BD8BC81" w14:textId="77777777" w:rsidR="003A392D" w:rsidRDefault="003A392D">
            <w:pPr>
              <w:rPr>
                <w:rFonts w:cs="Arial"/>
                <w:b/>
                <w:color w:val="FFFFFF" w:themeColor="background1"/>
                <w:szCs w:val="24"/>
              </w:rPr>
            </w:pPr>
          </w:p>
          <w:p w14:paraId="14C44FC5" w14:textId="77777777" w:rsidR="003A392D" w:rsidRDefault="003A392D">
            <w:pPr>
              <w:rPr>
                <w:rFonts w:cs="Arial"/>
                <w:b/>
                <w:color w:val="FFFFFF" w:themeColor="background1"/>
                <w:szCs w:val="24"/>
              </w:rPr>
            </w:pPr>
          </w:p>
          <w:p w14:paraId="4A35072A" w14:textId="77777777" w:rsidR="003A392D" w:rsidRPr="009D2AF1" w:rsidRDefault="003A392D">
            <w:pPr>
              <w:rPr>
                <w:rFonts w:cs="Arial"/>
                <w:b/>
                <w:color w:val="FFFFFF" w:themeColor="background1"/>
                <w:szCs w:val="24"/>
              </w:rPr>
            </w:pPr>
            <w:r w:rsidRPr="009D2AF1">
              <w:rPr>
                <w:rFonts w:cs="Arial"/>
                <w:b/>
                <w:color w:val="FFFFFF" w:themeColor="background1"/>
                <w:szCs w:val="24"/>
              </w:rPr>
              <w:t>Jan-17</w:t>
            </w:r>
          </w:p>
        </w:tc>
        <w:tc>
          <w:tcPr>
            <w:tcW w:w="992" w:type="dxa"/>
            <w:shd w:val="clear" w:color="auto" w:fill="086A76"/>
          </w:tcPr>
          <w:p w14:paraId="6F60C4D9" w14:textId="77777777" w:rsidR="003A392D" w:rsidRDefault="003A392D">
            <w:pPr>
              <w:rPr>
                <w:rFonts w:cs="Arial"/>
                <w:b/>
                <w:color w:val="FFFFFF" w:themeColor="background1"/>
                <w:szCs w:val="24"/>
              </w:rPr>
            </w:pPr>
          </w:p>
          <w:p w14:paraId="6E6CBCEE" w14:textId="77777777" w:rsidR="003A392D" w:rsidRDefault="003A392D">
            <w:pPr>
              <w:rPr>
                <w:rFonts w:cs="Arial"/>
                <w:b/>
                <w:color w:val="FFFFFF" w:themeColor="background1"/>
                <w:szCs w:val="24"/>
              </w:rPr>
            </w:pPr>
          </w:p>
          <w:p w14:paraId="5C98D94A" w14:textId="77777777" w:rsidR="003A392D" w:rsidRDefault="003A392D">
            <w:pPr>
              <w:rPr>
                <w:rFonts w:cs="Arial"/>
                <w:b/>
                <w:color w:val="FFFFFF" w:themeColor="background1"/>
                <w:szCs w:val="24"/>
              </w:rPr>
            </w:pPr>
          </w:p>
          <w:p w14:paraId="6ED4DC33" w14:textId="77777777" w:rsidR="003A392D" w:rsidRPr="009D2AF1" w:rsidRDefault="003A392D">
            <w:pPr>
              <w:rPr>
                <w:rFonts w:cs="Arial"/>
                <w:b/>
                <w:color w:val="FFFFFF" w:themeColor="background1"/>
                <w:szCs w:val="24"/>
              </w:rPr>
            </w:pPr>
            <w:r w:rsidRPr="009D2AF1">
              <w:rPr>
                <w:rFonts w:cs="Arial"/>
                <w:b/>
                <w:color w:val="FFFFFF" w:themeColor="background1"/>
                <w:szCs w:val="24"/>
              </w:rPr>
              <w:t>Jan-18</w:t>
            </w:r>
          </w:p>
        </w:tc>
        <w:tc>
          <w:tcPr>
            <w:tcW w:w="991" w:type="dxa"/>
            <w:shd w:val="clear" w:color="auto" w:fill="086A76"/>
          </w:tcPr>
          <w:p w14:paraId="77107514" w14:textId="77777777" w:rsidR="003A392D" w:rsidRDefault="003A392D">
            <w:pPr>
              <w:rPr>
                <w:rFonts w:cs="Arial"/>
                <w:b/>
                <w:color w:val="FFFFFF" w:themeColor="background1"/>
                <w:szCs w:val="24"/>
              </w:rPr>
            </w:pPr>
          </w:p>
          <w:p w14:paraId="4D68777A" w14:textId="77777777" w:rsidR="003A392D" w:rsidRDefault="003A392D">
            <w:pPr>
              <w:rPr>
                <w:rFonts w:cs="Arial"/>
                <w:b/>
                <w:color w:val="FFFFFF" w:themeColor="background1"/>
                <w:szCs w:val="24"/>
              </w:rPr>
            </w:pPr>
          </w:p>
          <w:p w14:paraId="3BBC5CDC" w14:textId="77777777" w:rsidR="003A392D" w:rsidRDefault="003A392D">
            <w:pPr>
              <w:rPr>
                <w:rFonts w:cs="Arial"/>
                <w:b/>
                <w:color w:val="FFFFFF" w:themeColor="background1"/>
                <w:szCs w:val="24"/>
              </w:rPr>
            </w:pPr>
          </w:p>
          <w:p w14:paraId="44434015" w14:textId="77777777" w:rsidR="003A392D" w:rsidRPr="009D2AF1" w:rsidRDefault="003A392D">
            <w:pPr>
              <w:rPr>
                <w:rFonts w:cs="Arial"/>
                <w:b/>
                <w:color w:val="FFFFFF" w:themeColor="background1"/>
                <w:szCs w:val="24"/>
              </w:rPr>
            </w:pPr>
            <w:r w:rsidRPr="009D2AF1">
              <w:rPr>
                <w:rFonts w:cs="Arial"/>
                <w:b/>
                <w:color w:val="FFFFFF" w:themeColor="background1"/>
                <w:szCs w:val="24"/>
              </w:rPr>
              <w:t>Jan-19</w:t>
            </w:r>
          </w:p>
        </w:tc>
        <w:tc>
          <w:tcPr>
            <w:tcW w:w="991" w:type="dxa"/>
            <w:shd w:val="clear" w:color="auto" w:fill="086A76"/>
          </w:tcPr>
          <w:p w14:paraId="62FE4F80" w14:textId="77777777" w:rsidR="003A392D" w:rsidRDefault="003A392D">
            <w:pPr>
              <w:rPr>
                <w:rFonts w:cs="Arial"/>
                <w:b/>
                <w:color w:val="FFFFFF" w:themeColor="background1"/>
                <w:szCs w:val="24"/>
              </w:rPr>
            </w:pPr>
          </w:p>
          <w:p w14:paraId="513CD497" w14:textId="77777777" w:rsidR="003A392D" w:rsidRDefault="003A392D">
            <w:pPr>
              <w:rPr>
                <w:rFonts w:cs="Arial"/>
                <w:b/>
                <w:color w:val="FFFFFF" w:themeColor="background1"/>
                <w:szCs w:val="24"/>
              </w:rPr>
            </w:pPr>
          </w:p>
          <w:p w14:paraId="25B47EB2" w14:textId="77777777" w:rsidR="003A392D" w:rsidRDefault="003A392D">
            <w:pPr>
              <w:rPr>
                <w:rFonts w:cs="Arial"/>
                <w:b/>
                <w:color w:val="FFFFFF" w:themeColor="background1"/>
                <w:szCs w:val="24"/>
              </w:rPr>
            </w:pPr>
          </w:p>
          <w:p w14:paraId="186D4457" w14:textId="77777777" w:rsidR="003A392D" w:rsidRPr="009D2AF1" w:rsidRDefault="003A392D">
            <w:pPr>
              <w:rPr>
                <w:rFonts w:cs="Arial"/>
                <w:b/>
                <w:color w:val="FFFFFF" w:themeColor="background1"/>
                <w:szCs w:val="24"/>
              </w:rPr>
            </w:pPr>
            <w:r w:rsidRPr="009D2AF1">
              <w:rPr>
                <w:rFonts w:cs="Arial"/>
                <w:b/>
                <w:color w:val="FFFFFF" w:themeColor="background1"/>
                <w:szCs w:val="24"/>
              </w:rPr>
              <w:t>Jan-20</w:t>
            </w:r>
          </w:p>
        </w:tc>
        <w:tc>
          <w:tcPr>
            <w:tcW w:w="991" w:type="dxa"/>
            <w:shd w:val="clear" w:color="auto" w:fill="086A76"/>
          </w:tcPr>
          <w:p w14:paraId="32E370A2" w14:textId="77777777" w:rsidR="003A392D" w:rsidRDefault="003A392D">
            <w:pPr>
              <w:rPr>
                <w:rFonts w:cs="Arial"/>
                <w:b/>
                <w:color w:val="FFFFFF" w:themeColor="background1"/>
                <w:szCs w:val="24"/>
              </w:rPr>
            </w:pPr>
          </w:p>
          <w:p w14:paraId="5A64C513" w14:textId="77777777" w:rsidR="003A392D" w:rsidRDefault="003A392D">
            <w:pPr>
              <w:rPr>
                <w:rFonts w:cs="Arial"/>
                <w:b/>
                <w:color w:val="FFFFFF" w:themeColor="background1"/>
                <w:szCs w:val="24"/>
              </w:rPr>
            </w:pPr>
          </w:p>
          <w:p w14:paraId="66E95C04" w14:textId="77777777" w:rsidR="003A392D" w:rsidRDefault="003A392D">
            <w:pPr>
              <w:rPr>
                <w:rFonts w:cs="Arial"/>
                <w:b/>
                <w:color w:val="FFFFFF" w:themeColor="background1"/>
                <w:szCs w:val="24"/>
              </w:rPr>
            </w:pPr>
          </w:p>
          <w:p w14:paraId="217BF7CC" w14:textId="77777777" w:rsidR="003A392D" w:rsidRPr="009D2AF1" w:rsidRDefault="003A392D">
            <w:pPr>
              <w:rPr>
                <w:rFonts w:cs="Arial"/>
                <w:b/>
                <w:color w:val="FFFFFF" w:themeColor="background1"/>
                <w:szCs w:val="24"/>
              </w:rPr>
            </w:pPr>
            <w:r w:rsidRPr="009D2AF1">
              <w:rPr>
                <w:rFonts w:cs="Arial"/>
                <w:b/>
                <w:color w:val="FFFFFF" w:themeColor="background1"/>
                <w:szCs w:val="24"/>
              </w:rPr>
              <w:t>Jan-21</w:t>
            </w:r>
          </w:p>
        </w:tc>
        <w:tc>
          <w:tcPr>
            <w:tcW w:w="989" w:type="dxa"/>
            <w:shd w:val="clear" w:color="auto" w:fill="086A76"/>
          </w:tcPr>
          <w:p w14:paraId="2BDE07A1" w14:textId="77777777" w:rsidR="003A392D" w:rsidRDefault="003A392D">
            <w:pPr>
              <w:rPr>
                <w:rFonts w:cs="Arial"/>
                <w:b/>
                <w:color w:val="FFFFFF" w:themeColor="background1"/>
                <w:szCs w:val="24"/>
              </w:rPr>
            </w:pPr>
          </w:p>
          <w:p w14:paraId="7FD78001" w14:textId="77777777" w:rsidR="003A392D" w:rsidRDefault="003A392D">
            <w:pPr>
              <w:rPr>
                <w:rFonts w:cs="Arial"/>
                <w:b/>
                <w:color w:val="FFFFFF" w:themeColor="background1"/>
                <w:szCs w:val="24"/>
              </w:rPr>
            </w:pPr>
          </w:p>
          <w:p w14:paraId="0956A260" w14:textId="77777777" w:rsidR="003A392D" w:rsidRDefault="003A392D">
            <w:pPr>
              <w:rPr>
                <w:rFonts w:cs="Arial"/>
                <w:b/>
                <w:color w:val="FFFFFF" w:themeColor="background1"/>
                <w:szCs w:val="24"/>
              </w:rPr>
            </w:pPr>
          </w:p>
          <w:p w14:paraId="5B9FE1AA" w14:textId="77777777" w:rsidR="003A392D" w:rsidRPr="009D2AF1" w:rsidRDefault="003A392D">
            <w:pPr>
              <w:rPr>
                <w:rFonts w:cs="Arial"/>
                <w:b/>
                <w:color w:val="FFFFFF" w:themeColor="background1"/>
                <w:szCs w:val="24"/>
              </w:rPr>
            </w:pPr>
            <w:r w:rsidRPr="009D2AF1">
              <w:rPr>
                <w:rFonts w:cs="Arial"/>
                <w:b/>
                <w:color w:val="FFFFFF" w:themeColor="background1"/>
                <w:szCs w:val="24"/>
              </w:rPr>
              <w:t>Jan-22</w:t>
            </w:r>
          </w:p>
        </w:tc>
        <w:tc>
          <w:tcPr>
            <w:tcW w:w="989" w:type="dxa"/>
            <w:shd w:val="clear" w:color="auto" w:fill="086A76"/>
          </w:tcPr>
          <w:p w14:paraId="1FA117B8" w14:textId="77777777" w:rsidR="003A392D" w:rsidRDefault="003A392D">
            <w:pPr>
              <w:rPr>
                <w:rFonts w:cs="Arial"/>
                <w:b/>
                <w:color w:val="FFFFFF" w:themeColor="background1"/>
                <w:szCs w:val="24"/>
              </w:rPr>
            </w:pPr>
          </w:p>
          <w:p w14:paraId="0217A2F9" w14:textId="77777777" w:rsidR="003A392D" w:rsidRDefault="003A392D">
            <w:pPr>
              <w:rPr>
                <w:rFonts w:cs="Arial"/>
                <w:b/>
                <w:color w:val="FFFFFF" w:themeColor="background1"/>
                <w:szCs w:val="24"/>
              </w:rPr>
            </w:pPr>
          </w:p>
          <w:p w14:paraId="5FD3D59D" w14:textId="77777777" w:rsidR="003A392D" w:rsidRDefault="003A392D">
            <w:pPr>
              <w:rPr>
                <w:rFonts w:cs="Arial"/>
                <w:b/>
                <w:color w:val="FFFFFF" w:themeColor="background1"/>
                <w:szCs w:val="24"/>
              </w:rPr>
            </w:pPr>
          </w:p>
          <w:p w14:paraId="5CB6D9DA" w14:textId="77777777" w:rsidR="003A392D" w:rsidRPr="009D2AF1" w:rsidRDefault="003A392D">
            <w:pPr>
              <w:rPr>
                <w:rFonts w:cs="Arial"/>
                <w:b/>
                <w:color w:val="FFFFFF" w:themeColor="background1"/>
                <w:szCs w:val="24"/>
              </w:rPr>
            </w:pPr>
            <w:r w:rsidRPr="009D2AF1">
              <w:rPr>
                <w:rFonts w:cs="Arial"/>
                <w:b/>
                <w:color w:val="FFFFFF" w:themeColor="background1"/>
                <w:szCs w:val="24"/>
              </w:rPr>
              <w:t>Jan-23</w:t>
            </w:r>
          </w:p>
        </w:tc>
        <w:tc>
          <w:tcPr>
            <w:tcW w:w="989" w:type="dxa"/>
            <w:shd w:val="clear" w:color="auto" w:fill="086A76"/>
          </w:tcPr>
          <w:p w14:paraId="6DD06DAA" w14:textId="77777777" w:rsidR="003A392D" w:rsidRDefault="003A392D">
            <w:pPr>
              <w:rPr>
                <w:rFonts w:cs="Arial"/>
                <w:b/>
                <w:color w:val="FFFFFF" w:themeColor="background1"/>
                <w:szCs w:val="24"/>
              </w:rPr>
            </w:pPr>
          </w:p>
          <w:p w14:paraId="700BFB0E" w14:textId="77777777" w:rsidR="003A392D" w:rsidRDefault="003A392D">
            <w:pPr>
              <w:rPr>
                <w:rFonts w:cs="Arial"/>
                <w:b/>
                <w:color w:val="FFFFFF" w:themeColor="background1"/>
                <w:szCs w:val="24"/>
              </w:rPr>
            </w:pPr>
          </w:p>
          <w:p w14:paraId="16AB424C" w14:textId="77777777" w:rsidR="003A392D" w:rsidRDefault="003A392D">
            <w:pPr>
              <w:rPr>
                <w:rFonts w:cs="Arial"/>
                <w:b/>
                <w:color w:val="FFFFFF" w:themeColor="background1"/>
                <w:szCs w:val="24"/>
              </w:rPr>
            </w:pPr>
          </w:p>
          <w:p w14:paraId="431B1AFA" w14:textId="77777777" w:rsidR="003A392D" w:rsidRPr="009D2AF1" w:rsidRDefault="003A392D">
            <w:pPr>
              <w:rPr>
                <w:rFonts w:cs="Arial"/>
                <w:b/>
                <w:color w:val="FFFFFF" w:themeColor="background1"/>
                <w:szCs w:val="24"/>
              </w:rPr>
            </w:pPr>
            <w:r w:rsidRPr="009D2AF1">
              <w:rPr>
                <w:rFonts w:cs="Arial"/>
                <w:b/>
                <w:color w:val="FFFFFF" w:themeColor="background1"/>
                <w:szCs w:val="24"/>
              </w:rPr>
              <w:t>Jan-24</w:t>
            </w:r>
          </w:p>
        </w:tc>
        <w:tc>
          <w:tcPr>
            <w:tcW w:w="989" w:type="dxa"/>
            <w:shd w:val="clear" w:color="auto" w:fill="086A76"/>
          </w:tcPr>
          <w:p w14:paraId="01E6B999" w14:textId="77777777" w:rsidR="003A392D" w:rsidRDefault="003A392D">
            <w:pPr>
              <w:rPr>
                <w:rFonts w:cs="Arial"/>
                <w:b/>
                <w:color w:val="FFFFFF" w:themeColor="background1"/>
                <w:szCs w:val="24"/>
              </w:rPr>
            </w:pPr>
          </w:p>
          <w:p w14:paraId="0B6ACEB8" w14:textId="77777777" w:rsidR="003A392D" w:rsidRDefault="003A392D">
            <w:pPr>
              <w:rPr>
                <w:rFonts w:cs="Arial"/>
                <w:b/>
                <w:color w:val="FFFFFF" w:themeColor="background1"/>
                <w:szCs w:val="24"/>
              </w:rPr>
            </w:pPr>
          </w:p>
          <w:p w14:paraId="1B891BCD" w14:textId="77777777" w:rsidR="003A392D" w:rsidRDefault="003A392D">
            <w:pPr>
              <w:rPr>
                <w:rFonts w:cs="Arial"/>
                <w:b/>
                <w:color w:val="FFFFFF" w:themeColor="background1"/>
                <w:szCs w:val="24"/>
              </w:rPr>
            </w:pPr>
          </w:p>
          <w:p w14:paraId="75FC3F5B" w14:textId="77777777" w:rsidR="003A392D" w:rsidRPr="009D2AF1" w:rsidRDefault="003A392D">
            <w:pPr>
              <w:rPr>
                <w:rFonts w:cs="Arial"/>
                <w:b/>
                <w:color w:val="FFFFFF" w:themeColor="background1"/>
                <w:szCs w:val="24"/>
              </w:rPr>
            </w:pPr>
            <w:r w:rsidRPr="009D2AF1">
              <w:rPr>
                <w:rFonts w:cs="Arial"/>
                <w:b/>
                <w:color w:val="FFFFFF" w:themeColor="background1"/>
                <w:szCs w:val="24"/>
              </w:rPr>
              <w:t>Jan-25</w:t>
            </w:r>
          </w:p>
        </w:tc>
      </w:tr>
      <w:tr w:rsidR="006C1F15" w:rsidRPr="00911FB1" w14:paraId="5AB99EE9" w14:textId="77777777">
        <w:tc>
          <w:tcPr>
            <w:tcW w:w="3669" w:type="dxa"/>
          </w:tcPr>
          <w:p w14:paraId="47233300" w14:textId="77777777" w:rsidR="003A392D" w:rsidRPr="009D2AF1" w:rsidRDefault="003A392D">
            <w:pPr>
              <w:rPr>
                <w:rFonts w:cs="Arial"/>
                <w:bCs/>
                <w:szCs w:val="24"/>
              </w:rPr>
            </w:pPr>
            <w:r w:rsidRPr="00DB7C12">
              <w:rPr>
                <w:rFonts w:cs="Arial"/>
                <w:bCs/>
                <w:szCs w:val="24"/>
              </w:rPr>
              <w:t>Autistic Spectrum Condition</w:t>
            </w:r>
          </w:p>
        </w:tc>
        <w:tc>
          <w:tcPr>
            <w:tcW w:w="990" w:type="dxa"/>
            <w:vAlign w:val="bottom"/>
          </w:tcPr>
          <w:p w14:paraId="2C686975" w14:textId="77777777" w:rsidR="003A392D" w:rsidRPr="00CA5D6D" w:rsidRDefault="003A392D">
            <w:pPr>
              <w:jc w:val="right"/>
              <w:rPr>
                <w:rFonts w:cs="Arial"/>
                <w:bCs/>
                <w:szCs w:val="24"/>
              </w:rPr>
            </w:pPr>
            <w:r w:rsidRPr="003D0881">
              <w:rPr>
                <w:rFonts w:cs="Arial"/>
                <w:szCs w:val="24"/>
              </w:rPr>
              <w:t>289</w:t>
            </w:r>
          </w:p>
        </w:tc>
        <w:tc>
          <w:tcPr>
            <w:tcW w:w="990" w:type="dxa"/>
            <w:vAlign w:val="bottom"/>
          </w:tcPr>
          <w:p w14:paraId="3CA27AE8" w14:textId="77777777" w:rsidR="003A392D" w:rsidRPr="00CA5D6D" w:rsidRDefault="003A392D">
            <w:pPr>
              <w:jc w:val="right"/>
              <w:rPr>
                <w:rFonts w:cs="Arial"/>
                <w:bCs/>
                <w:szCs w:val="24"/>
              </w:rPr>
            </w:pPr>
            <w:r w:rsidRPr="00CB77DE">
              <w:rPr>
                <w:rFonts w:cs="Arial"/>
                <w:szCs w:val="24"/>
              </w:rPr>
              <w:t>308</w:t>
            </w:r>
          </w:p>
        </w:tc>
        <w:tc>
          <w:tcPr>
            <w:tcW w:w="990" w:type="dxa"/>
            <w:vAlign w:val="bottom"/>
          </w:tcPr>
          <w:p w14:paraId="4051E21C" w14:textId="77777777" w:rsidR="003A392D" w:rsidRPr="00CA5D6D" w:rsidRDefault="003A392D">
            <w:pPr>
              <w:jc w:val="right"/>
              <w:rPr>
                <w:rFonts w:cs="Arial"/>
                <w:bCs/>
                <w:szCs w:val="24"/>
              </w:rPr>
            </w:pPr>
            <w:r w:rsidRPr="00CB77DE">
              <w:rPr>
                <w:rFonts w:cs="Arial"/>
                <w:szCs w:val="24"/>
              </w:rPr>
              <w:t>333</w:t>
            </w:r>
          </w:p>
        </w:tc>
        <w:tc>
          <w:tcPr>
            <w:tcW w:w="992" w:type="dxa"/>
            <w:vAlign w:val="bottom"/>
          </w:tcPr>
          <w:p w14:paraId="205C1F1F" w14:textId="77777777" w:rsidR="003A392D" w:rsidRPr="00CA5D6D" w:rsidRDefault="003A392D">
            <w:pPr>
              <w:jc w:val="right"/>
              <w:rPr>
                <w:rFonts w:cs="Arial"/>
                <w:bCs/>
                <w:szCs w:val="24"/>
              </w:rPr>
            </w:pPr>
            <w:r w:rsidRPr="00CB77DE">
              <w:rPr>
                <w:rFonts w:cs="Arial"/>
                <w:szCs w:val="24"/>
              </w:rPr>
              <w:t>417</w:t>
            </w:r>
          </w:p>
        </w:tc>
        <w:tc>
          <w:tcPr>
            <w:tcW w:w="991" w:type="dxa"/>
            <w:vAlign w:val="bottom"/>
          </w:tcPr>
          <w:p w14:paraId="09229EAA" w14:textId="77777777" w:rsidR="003A392D" w:rsidRPr="00CA5D6D" w:rsidRDefault="003A392D">
            <w:pPr>
              <w:jc w:val="right"/>
              <w:rPr>
                <w:rFonts w:cs="Arial"/>
                <w:bCs/>
                <w:szCs w:val="24"/>
              </w:rPr>
            </w:pPr>
            <w:r w:rsidRPr="00CB77DE">
              <w:rPr>
                <w:rFonts w:cs="Arial"/>
                <w:szCs w:val="24"/>
              </w:rPr>
              <w:t>529</w:t>
            </w:r>
          </w:p>
        </w:tc>
        <w:tc>
          <w:tcPr>
            <w:tcW w:w="991" w:type="dxa"/>
            <w:vAlign w:val="bottom"/>
          </w:tcPr>
          <w:p w14:paraId="102D8E4B" w14:textId="77777777" w:rsidR="003A392D" w:rsidRPr="00CA5D6D" w:rsidRDefault="003A392D">
            <w:pPr>
              <w:jc w:val="right"/>
              <w:rPr>
                <w:rFonts w:cs="Arial"/>
                <w:bCs/>
                <w:szCs w:val="24"/>
              </w:rPr>
            </w:pPr>
            <w:r w:rsidRPr="00CB77DE">
              <w:rPr>
                <w:rFonts w:cs="Arial"/>
                <w:szCs w:val="24"/>
              </w:rPr>
              <w:t>768</w:t>
            </w:r>
          </w:p>
        </w:tc>
        <w:tc>
          <w:tcPr>
            <w:tcW w:w="991" w:type="dxa"/>
            <w:vAlign w:val="bottom"/>
          </w:tcPr>
          <w:p w14:paraId="3EB87F01" w14:textId="77777777" w:rsidR="003A392D" w:rsidRPr="00CA5D6D" w:rsidRDefault="003A392D">
            <w:pPr>
              <w:jc w:val="right"/>
              <w:rPr>
                <w:rFonts w:cs="Arial"/>
                <w:bCs/>
                <w:szCs w:val="24"/>
              </w:rPr>
            </w:pPr>
            <w:r w:rsidRPr="00CB77DE">
              <w:rPr>
                <w:rFonts w:cs="Arial"/>
                <w:szCs w:val="24"/>
              </w:rPr>
              <w:t>874</w:t>
            </w:r>
          </w:p>
        </w:tc>
        <w:tc>
          <w:tcPr>
            <w:tcW w:w="989" w:type="dxa"/>
            <w:vAlign w:val="bottom"/>
          </w:tcPr>
          <w:p w14:paraId="46ED2633" w14:textId="77777777" w:rsidR="003A392D" w:rsidRPr="00CA5D6D" w:rsidRDefault="003A392D">
            <w:pPr>
              <w:jc w:val="right"/>
              <w:rPr>
                <w:rFonts w:cs="Arial"/>
                <w:bCs/>
                <w:szCs w:val="24"/>
              </w:rPr>
            </w:pPr>
            <w:r w:rsidRPr="00CB77DE">
              <w:rPr>
                <w:rFonts w:cs="Arial"/>
                <w:szCs w:val="24"/>
              </w:rPr>
              <w:t>1,060</w:t>
            </w:r>
          </w:p>
        </w:tc>
        <w:tc>
          <w:tcPr>
            <w:tcW w:w="989" w:type="dxa"/>
            <w:vAlign w:val="bottom"/>
          </w:tcPr>
          <w:p w14:paraId="12DF4E64" w14:textId="77777777" w:rsidR="003A392D" w:rsidRPr="00CA5D6D" w:rsidRDefault="003A392D">
            <w:pPr>
              <w:jc w:val="right"/>
              <w:rPr>
                <w:rFonts w:cs="Arial"/>
                <w:bCs/>
                <w:szCs w:val="24"/>
              </w:rPr>
            </w:pPr>
            <w:r w:rsidRPr="00CB77DE">
              <w:rPr>
                <w:rFonts w:cs="Arial"/>
                <w:szCs w:val="24"/>
              </w:rPr>
              <w:t>1,251</w:t>
            </w:r>
          </w:p>
        </w:tc>
        <w:tc>
          <w:tcPr>
            <w:tcW w:w="989" w:type="dxa"/>
            <w:vAlign w:val="bottom"/>
          </w:tcPr>
          <w:p w14:paraId="1BCF2055" w14:textId="77777777" w:rsidR="003A392D" w:rsidRPr="00CA5D6D" w:rsidRDefault="003A392D">
            <w:pPr>
              <w:jc w:val="right"/>
              <w:rPr>
                <w:rFonts w:cs="Arial"/>
                <w:bCs/>
                <w:szCs w:val="24"/>
              </w:rPr>
            </w:pPr>
            <w:r w:rsidRPr="00CB77DE">
              <w:rPr>
                <w:rFonts w:cs="Arial"/>
                <w:szCs w:val="24"/>
              </w:rPr>
              <w:t>1,629</w:t>
            </w:r>
          </w:p>
        </w:tc>
        <w:tc>
          <w:tcPr>
            <w:tcW w:w="989" w:type="dxa"/>
            <w:vAlign w:val="bottom"/>
          </w:tcPr>
          <w:p w14:paraId="741813B9" w14:textId="77777777" w:rsidR="003A392D" w:rsidRPr="00CA5D6D" w:rsidRDefault="003A392D">
            <w:pPr>
              <w:jc w:val="right"/>
              <w:rPr>
                <w:rFonts w:cs="Arial"/>
                <w:bCs/>
                <w:szCs w:val="24"/>
              </w:rPr>
            </w:pPr>
            <w:r w:rsidRPr="00CB77DE">
              <w:rPr>
                <w:rFonts w:cs="Arial"/>
                <w:szCs w:val="24"/>
              </w:rPr>
              <w:t>1,930</w:t>
            </w:r>
          </w:p>
        </w:tc>
      </w:tr>
      <w:tr w:rsidR="006C1F15" w:rsidRPr="00911FB1" w14:paraId="736DA1E9" w14:textId="77777777">
        <w:tc>
          <w:tcPr>
            <w:tcW w:w="3669" w:type="dxa"/>
          </w:tcPr>
          <w:p w14:paraId="1E12307B" w14:textId="77777777" w:rsidR="003A392D" w:rsidRPr="009D2AF1" w:rsidRDefault="003A392D">
            <w:pPr>
              <w:rPr>
                <w:rFonts w:cs="Arial"/>
                <w:bCs/>
                <w:szCs w:val="24"/>
              </w:rPr>
            </w:pPr>
            <w:r w:rsidRPr="00DB7C12">
              <w:rPr>
                <w:rFonts w:cs="Arial"/>
                <w:bCs/>
                <w:szCs w:val="24"/>
              </w:rPr>
              <w:t>Social, Emotional &amp; Mental Health</w:t>
            </w:r>
          </w:p>
        </w:tc>
        <w:tc>
          <w:tcPr>
            <w:tcW w:w="990" w:type="dxa"/>
            <w:vAlign w:val="bottom"/>
          </w:tcPr>
          <w:p w14:paraId="3ADA9E60" w14:textId="77777777" w:rsidR="003A392D" w:rsidRPr="00CA5D6D" w:rsidRDefault="003A392D">
            <w:pPr>
              <w:jc w:val="right"/>
              <w:rPr>
                <w:rFonts w:cs="Arial"/>
                <w:bCs/>
                <w:szCs w:val="24"/>
              </w:rPr>
            </w:pPr>
            <w:r w:rsidRPr="00CB77DE">
              <w:rPr>
                <w:rFonts w:cs="Arial"/>
                <w:szCs w:val="24"/>
              </w:rPr>
              <w:t>1,177</w:t>
            </w:r>
          </w:p>
        </w:tc>
        <w:tc>
          <w:tcPr>
            <w:tcW w:w="990" w:type="dxa"/>
            <w:vAlign w:val="bottom"/>
          </w:tcPr>
          <w:p w14:paraId="6FFA8B7C" w14:textId="77777777" w:rsidR="003A392D" w:rsidRPr="00CA5D6D" w:rsidRDefault="003A392D">
            <w:pPr>
              <w:jc w:val="right"/>
              <w:rPr>
                <w:rFonts w:cs="Arial"/>
                <w:bCs/>
                <w:szCs w:val="24"/>
              </w:rPr>
            </w:pPr>
            <w:r w:rsidRPr="00CB77DE">
              <w:rPr>
                <w:rFonts w:cs="Arial"/>
                <w:szCs w:val="24"/>
              </w:rPr>
              <w:t>1,129</w:t>
            </w:r>
          </w:p>
        </w:tc>
        <w:tc>
          <w:tcPr>
            <w:tcW w:w="990" w:type="dxa"/>
            <w:vAlign w:val="bottom"/>
          </w:tcPr>
          <w:p w14:paraId="79C6003D" w14:textId="77777777" w:rsidR="003A392D" w:rsidRPr="00CA5D6D" w:rsidRDefault="003A392D">
            <w:pPr>
              <w:jc w:val="right"/>
              <w:rPr>
                <w:rFonts w:cs="Arial"/>
                <w:bCs/>
                <w:szCs w:val="24"/>
              </w:rPr>
            </w:pPr>
            <w:r w:rsidRPr="00CB77DE">
              <w:rPr>
                <w:rFonts w:cs="Arial"/>
                <w:szCs w:val="24"/>
              </w:rPr>
              <w:t>909</w:t>
            </w:r>
          </w:p>
        </w:tc>
        <w:tc>
          <w:tcPr>
            <w:tcW w:w="992" w:type="dxa"/>
            <w:vAlign w:val="bottom"/>
          </w:tcPr>
          <w:p w14:paraId="3C042F74" w14:textId="77777777" w:rsidR="003A392D" w:rsidRPr="00CA5D6D" w:rsidRDefault="003A392D">
            <w:pPr>
              <w:jc w:val="right"/>
              <w:rPr>
                <w:rFonts w:cs="Arial"/>
                <w:bCs/>
                <w:szCs w:val="24"/>
              </w:rPr>
            </w:pPr>
            <w:r w:rsidRPr="00CB77DE">
              <w:rPr>
                <w:rFonts w:cs="Arial"/>
                <w:szCs w:val="24"/>
              </w:rPr>
              <w:t>1,033</w:t>
            </w:r>
          </w:p>
        </w:tc>
        <w:tc>
          <w:tcPr>
            <w:tcW w:w="991" w:type="dxa"/>
            <w:vAlign w:val="bottom"/>
          </w:tcPr>
          <w:p w14:paraId="079D4265" w14:textId="77777777" w:rsidR="003A392D" w:rsidRPr="00CA5D6D" w:rsidRDefault="003A392D">
            <w:pPr>
              <w:jc w:val="right"/>
              <w:rPr>
                <w:rFonts w:cs="Arial"/>
                <w:bCs/>
                <w:szCs w:val="24"/>
              </w:rPr>
            </w:pPr>
            <w:r w:rsidRPr="00CB77DE">
              <w:rPr>
                <w:rFonts w:cs="Arial"/>
                <w:szCs w:val="24"/>
              </w:rPr>
              <w:t>1,067</w:t>
            </w:r>
          </w:p>
        </w:tc>
        <w:tc>
          <w:tcPr>
            <w:tcW w:w="991" w:type="dxa"/>
            <w:vAlign w:val="bottom"/>
          </w:tcPr>
          <w:p w14:paraId="3708DA95" w14:textId="77777777" w:rsidR="003A392D" w:rsidRPr="00CA5D6D" w:rsidRDefault="003A392D">
            <w:pPr>
              <w:jc w:val="right"/>
              <w:rPr>
                <w:rFonts w:cs="Arial"/>
                <w:bCs/>
                <w:szCs w:val="24"/>
              </w:rPr>
            </w:pPr>
            <w:r w:rsidRPr="00CB77DE">
              <w:rPr>
                <w:rFonts w:cs="Arial"/>
                <w:szCs w:val="24"/>
              </w:rPr>
              <w:t>1,126</w:t>
            </w:r>
          </w:p>
        </w:tc>
        <w:tc>
          <w:tcPr>
            <w:tcW w:w="991" w:type="dxa"/>
            <w:vAlign w:val="bottom"/>
          </w:tcPr>
          <w:p w14:paraId="69B66150" w14:textId="77777777" w:rsidR="003A392D" w:rsidRPr="00CA5D6D" w:rsidRDefault="003A392D">
            <w:pPr>
              <w:jc w:val="right"/>
              <w:rPr>
                <w:rFonts w:cs="Arial"/>
                <w:bCs/>
                <w:szCs w:val="24"/>
              </w:rPr>
            </w:pPr>
            <w:r w:rsidRPr="00CB77DE">
              <w:rPr>
                <w:rFonts w:cs="Arial"/>
                <w:szCs w:val="24"/>
              </w:rPr>
              <w:t>1,178</w:t>
            </w:r>
          </w:p>
        </w:tc>
        <w:tc>
          <w:tcPr>
            <w:tcW w:w="989" w:type="dxa"/>
            <w:vAlign w:val="bottom"/>
          </w:tcPr>
          <w:p w14:paraId="14C03C71" w14:textId="77777777" w:rsidR="003A392D" w:rsidRPr="00CA5D6D" w:rsidRDefault="003A392D">
            <w:pPr>
              <w:jc w:val="right"/>
              <w:rPr>
                <w:rFonts w:cs="Arial"/>
                <w:bCs/>
                <w:szCs w:val="24"/>
              </w:rPr>
            </w:pPr>
            <w:r w:rsidRPr="00CB77DE">
              <w:rPr>
                <w:rFonts w:cs="Arial"/>
                <w:szCs w:val="24"/>
              </w:rPr>
              <w:t>1,249</w:t>
            </w:r>
          </w:p>
        </w:tc>
        <w:tc>
          <w:tcPr>
            <w:tcW w:w="989" w:type="dxa"/>
            <w:vAlign w:val="bottom"/>
          </w:tcPr>
          <w:p w14:paraId="2DDB70A0" w14:textId="77777777" w:rsidR="003A392D" w:rsidRPr="00CA5D6D" w:rsidRDefault="003A392D">
            <w:pPr>
              <w:jc w:val="right"/>
              <w:rPr>
                <w:rFonts w:cs="Arial"/>
                <w:bCs/>
                <w:szCs w:val="24"/>
              </w:rPr>
            </w:pPr>
            <w:r w:rsidRPr="00CB77DE">
              <w:rPr>
                <w:rFonts w:cs="Arial"/>
                <w:szCs w:val="24"/>
              </w:rPr>
              <w:t>1,385</w:t>
            </w:r>
          </w:p>
        </w:tc>
        <w:tc>
          <w:tcPr>
            <w:tcW w:w="989" w:type="dxa"/>
            <w:vAlign w:val="bottom"/>
          </w:tcPr>
          <w:p w14:paraId="567C7F18" w14:textId="77777777" w:rsidR="003A392D" w:rsidRPr="00CA5D6D" w:rsidRDefault="003A392D">
            <w:pPr>
              <w:jc w:val="right"/>
              <w:rPr>
                <w:rFonts w:cs="Arial"/>
                <w:bCs/>
                <w:szCs w:val="24"/>
              </w:rPr>
            </w:pPr>
            <w:r w:rsidRPr="00CB77DE">
              <w:rPr>
                <w:rFonts w:cs="Arial"/>
                <w:szCs w:val="24"/>
              </w:rPr>
              <w:t>1,512</w:t>
            </w:r>
          </w:p>
        </w:tc>
        <w:tc>
          <w:tcPr>
            <w:tcW w:w="989" w:type="dxa"/>
            <w:vAlign w:val="bottom"/>
          </w:tcPr>
          <w:p w14:paraId="012494D0" w14:textId="77777777" w:rsidR="003A392D" w:rsidRPr="00CA5D6D" w:rsidRDefault="003A392D">
            <w:pPr>
              <w:jc w:val="right"/>
              <w:rPr>
                <w:rFonts w:cs="Arial"/>
                <w:bCs/>
                <w:szCs w:val="24"/>
              </w:rPr>
            </w:pPr>
            <w:r w:rsidRPr="00CB77DE">
              <w:rPr>
                <w:rFonts w:cs="Arial"/>
                <w:szCs w:val="24"/>
              </w:rPr>
              <w:t>1,681</w:t>
            </w:r>
          </w:p>
        </w:tc>
      </w:tr>
      <w:tr w:rsidR="006C1F15" w:rsidRPr="00911FB1" w14:paraId="1803A043" w14:textId="77777777">
        <w:tc>
          <w:tcPr>
            <w:tcW w:w="3669" w:type="dxa"/>
          </w:tcPr>
          <w:p w14:paraId="4FE96A3F" w14:textId="77777777" w:rsidR="003A392D" w:rsidRPr="009D2AF1" w:rsidRDefault="003A392D">
            <w:pPr>
              <w:rPr>
                <w:rFonts w:cs="Arial"/>
                <w:bCs/>
                <w:szCs w:val="24"/>
              </w:rPr>
            </w:pPr>
            <w:r w:rsidRPr="00DB7C12">
              <w:rPr>
                <w:rFonts w:cs="Arial"/>
                <w:bCs/>
                <w:szCs w:val="24"/>
              </w:rPr>
              <w:t>Speech, Language &amp; Communication Need</w:t>
            </w:r>
          </w:p>
        </w:tc>
        <w:tc>
          <w:tcPr>
            <w:tcW w:w="990" w:type="dxa"/>
            <w:vAlign w:val="bottom"/>
          </w:tcPr>
          <w:p w14:paraId="489DC8FB" w14:textId="77777777" w:rsidR="003A392D" w:rsidRPr="00CA5D6D" w:rsidRDefault="003A392D">
            <w:pPr>
              <w:jc w:val="right"/>
              <w:rPr>
                <w:rFonts w:cs="Arial"/>
                <w:bCs/>
                <w:szCs w:val="24"/>
              </w:rPr>
            </w:pPr>
            <w:r w:rsidRPr="00CB77DE">
              <w:rPr>
                <w:rFonts w:cs="Arial"/>
                <w:szCs w:val="24"/>
              </w:rPr>
              <w:t>1,374</w:t>
            </w:r>
          </w:p>
        </w:tc>
        <w:tc>
          <w:tcPr>
            <w:tcW w:w="990" w:type="dxa"/>
            <w:vAlign w:val="bottom"/>
          </w:tcPr>
          <w:p w14:paraId="683413B5" w14:textId="77777777" w:rsidR="003A392D" w:rsidRPr="00CA5D6D" w:rsidRDefault="003A392D">
            <w:pPr>
              <w:jc w:val="right"/>
              <w:rPr>
                <w:rFonts w:cs="Arial"/>
                <w:bCs/>
                <w:szCs w:val="24"/>
              </w:rPr>
            </w:pPr>
            <w:r w:rsidRPr="00CB77DE">
              <w:rPr>
                <w:rFonts w:cs="Arial"/>
                <w:szCs w:val="24"/>
              </w:rPr>
              <w:t>1,334</w:t>
            </w:r>
          </w:p>
        </w:tc>
        <w:tc>
          <w:tcPr>
            <w:tcW w:w="990" w:type="dxa"/>
            <w:vAlign w:val="bottom"/>
          </w:tcPr>
          <w:p w14:paraId="30E4EE62" w14:textId="77777777" w:rsidR="003A392D" w:rsidRPr="00CA5D6D" w:rsidRDefault="003A392D">
            <w:pPr>
              <w:jc w:val="right"/>
              <w:rPr>
                <w:rFonts w:cs="Arial"/>
                <w:bCs/>
                <w:szCs w:val="24"/>
              </w:rPr>
            </w:pPr>
            <w:r w:rsidRPr="00CB77DE">
              <w:rPr>
                <w:rFonts w:cs="Arial"/>
                <w:szCs w:val="24"/>
              </w:rPr>
              <w:t>1,280</w:t>
            </w:r>
          </w:p>
        </w:tc>
        <w:tc>
          <w:tcPr>
            <w:tcW w:w="992" w:type="dxa"/>
            <w:vAlign w:val="bottom"/>
          </w:tcPr>
          <w:p w14:paraId="5999E118" w14:textId="77777777" w:rsidR="003A392D" w:rsidRPr="00CA5D6D" w:rsidRDefault="003A392D">
            <w:pPr>
              <w:jc w:val="right"/>
              <w:rPr>
                <w:rFonts w:cs="Arial"/>
                <w:bCs/>
                <w:szCs w:val="24"/>
              </w:rPr>
            </w:pPr>
            <w:r w:rsidRPr="00CB77DE">
              <w:rPr>
                <w:rFonts w:cs="Arial"/>
                <w:szCs w:val="24"/>
              </w:rPr>
              <w:t>1,236</w:t>
            </w:r>
          </w:p>
        </w:tc>
        <w:tc>
          <w:tcPr>
            <w:tcW w:w="991" w:type="dxa"/>
            <w:vAlign w:val="bottom"/>
          </w:tcPr>
          <w:p w14:paraId="7F5D3819" w14:textId="77777777" w:rsidR="003A392D" w:rsidRPr="00CA5D6D" w:rsidRDefault="003A392D">
            <w:pPr>
              <w:jc w:val="right"/>
              <w:rPr>
                <w:rFonts w:cs="Arial"/>
                <w:bCs/>
                <w:szCs w:val="24"/>
              </w:rPr>
            </w:pPr>
            <w:r w:rsidRPr="00CB77DE">
              <w:rPr>
                <w:rFonts w:cs="Arial"/>
                <w:szCs w:val="24"/>
              </w:rPr>
              <w:t>1,194</w:t>
            </w:r>
          </w:p>
        </w:tc>
        <w:tc>
          <w:tcPr>
            <w:tcW w:w="991" w:type="dxa"/>
            <w:vAlign w:val="bottom"/>
          </w:tcPr>
          <w:p w14:paraId="363E03E1" w14:textId="77777777" w:rsidR="003A392D" w:rsidRPr="00CA5D6D" w:rsidRDefault="003A392D">
            <w:pPr>
              <w:jc w:val="right"/>
              <w:rPr>
                <w:rFonts w:cs="Arial"/>
                <w:bCs/>
                <w:szCs w:val="24"/>
              </w:rPr>
            </w:pPr>
            <w:r w:rsidRPr="00CB77DE">
              <w:rPr>
                <w:rFonts w:cs="Arial"/>
                <w:szCs w:val="24"/>
              </w:rPr>
              <w:t>1,176</w:t>
            </w:r>
          </w:p>
        </w:tc>
        <w:tc>
          <w:tcPr>
            <w:tcW w:w="991" w:type="dxa"/>
            <w:vAlign w:val="bottom"/>
          </w:tcPr>
          <w:p w14:paraId="04279EB1" w14:textId="77777777" w:rsidR="003A392D" w:rsidRPr="00CA5D6D" w:rsidRDefault="003A392D">
            <w:pPr>
              <w:jc w:val="right"/>
              <w:rPr>
                <w:rFonts w:cs="Arial"/>
                <w:bCs/>
                <w:szCs w:val="24"/>
              </w:rPr>
            </w:pPr>
            <w:r w:rsidRPr="00CB77DE">
              <w:rPr>
                <w:rFonts w:cs="Arial"/>
                <w:szCs w:val="24"/>
              </w:rPr>
              <w:t>1,213</w:t>
            </w:r>
          </w:p>
        </w:tc>
        <w:tc>
          <w:tcPr>
            <w:tcW w:w="989" w:type="dxa"/>
            <w:vAlign w:val="bottom"/>
          </w:tcPr>
          <w:p w14:paraId="7EFF9881" w14:textId="77777777" w:rsidR="003A392D" w:rsidRPr="00CA5D6D" w:rsidRDefault="003A392D">
            <w:pPr>
              <w:jc w:val="right"/>
              <w:rPr>
                <w:rFonts w:cs="Arial"/>
                <w:bCs/>
                <w:szCs w:val="24"/>
              </w:rPr>
            </w:pPr>
            <w:r w:rsidRPr="00CB77DE">
              <w:rPr>
                <w:rFonts w:cs="Arial"/>
                <w:szCs w:val="24"/>
              </w:rPr>
              <w:t>1,339</w:t>
            </w:r>
          </w:p>
        </w:tc>
        <w:tc>
          <w:tcPr>
            <w:tcW w:w="989" w:type="dxa"/>
            <w:vAlign w:val="bottom"/>
          </w:tcPr>
          <w:p w14:paraId="2E8A9383" w14:textId="77777777" w:rsidR="003A392D" w:rsidRPr="00CA5D6D" w:rsidRDefault="003A392D">
            <w:pPr>
              <w:jc w:val="right"/>
              <w:rPr>
                <w:rFonts w:cs="Arial"/>
                <w:bCs/>
                <w:szCs w:val="24"/>
              </w:rPr>
            </w:pPr>
            <w:r w:rsidRPr="00CB77DE">
              <w:rPr>
                <w:rFonts w:cs="Arial"/>
                <w:szCs w:val="24"/>
              </w:rPr>
              <w:t>1,406</w:t>
            </w:r>
          </w:p>
        </w:tc>
        <w:tc>
          <w:tcPr>
            <w:tcW w:w="989" w:type="dxa"/>
            <w:vAlign w:val="bottom"/>
          </w:tcPr>
          <w:p w14:paraId="1549CBCE" w14:textId="77777777" w:rsidR="003A392D" w:rsidRPr="00CA5D6D" w:rsidRDefault="003A392D">
            <w:pPr>
              <w:jc w:val="right"/>
              <w:rPr>
                <w:rFonts w:cs="Arial"/>
                <w:bCs/>
                <w:szCs w:val="24"/>
              </w:rPr>
            </w:pPr>
            <w:r w:rsidRPr="00CB77DE">
              <w:rPr>
                <w:rFonts w:cs="Arial"/>
                <w:szCs w:val="24"/>
              </w:rPr>
              <w:t>1,427</w:t>
            </w:r>
          </w:p>
        </w:tc>
        <w:tc>
          <w:tcPr>
            <w:tcW w:w="989" w:type="dxa"/>
            <w:vAlign w:val="bottom"/>
          </w:tcPr>
          <w:p w14:paraId="4B1C4EB0" w14:textId="77777777" w:rsidR="003A392D" w:rsidRPr="00CA5D6D" w:rsidRDefault="003A392D">
            <w:pPr>
              <w:jc w:val="right"/>
              <w:rPr>
                <w:rFonts w:cs="Arial"/>
                <w:bCs/>
                <w:szCs w:val="24"/>
              </w:rPr>
            </w:pPr>
            <w:r w:rsidRPr="00CB77DE">
              <w:rPr>
                <w:rFonts w:cs="Arial"/>
                <w:szCs w:val="24"/>
              </w:rPr>
              <w:t>1,421</w:t>
            </w:r>
          </w:p>
        </w:tc>
      </w:tr>
      <w:tr w:rsidR="006C1F15" w:rsidRPr="00911FB1" w14:paraId="08799DFF" w14:textId="77777777">
        <w:tc>
          <w:tcPr>
            <w:tcW w:w="3669" w:type="dxa"/>
          </w:tcPr>
          <w:p w14:paraId="5E27FA83" w14:textId="77777777" w:rsidR="003A392D" w:rsidRPr="009D2AF1" w:rsidRDefault="003A392D">
            <w:pPr>
              <w:rPr>
                <w:rFonts w:cs="Arial"/>
                <w:bCs/>
                <w:szCs w:val="24"/>
              </w:rPr>
            </w:pPr>
            <w:r w:rsidRPr="00DB7C12">
              <w:rPr>
                <w:rFonts w:cs="Arial"/>
                <w:bCs/>
                <w:szCs w:val="24"/>
              </w:rPr>
              <w:t>Specific Learning Difficulty</w:t>
            </w:r>
          </w:p>
        </w:tc>
        <w:tc>
          <w:tcPr>
            <w:tcW w:w="990" w:type="dxa"/>
            <w:vAlign w:val="bottom"/>
          </w:tcPr>
          <w:p w14:paraId="3EC25B11" w14:textId="77777777" w:rsidR="003A392D" w:rsidRPr="00CA5D6D" w:rsidRDefault="003A392D">
            <w:pPr>
              <w:jc w:val="right"/>
              <w:rPr>
                <w:rFonts w:cs="Arial"/>
                <w:bCs/>
                <w:szCs w:val="24"/>
              </w:rPr>
            </w:pPr>
            <w:r w:rsidRPr="00CB77DE">
              <w:rPr>
                <w:rFonts w:cs="Arial"/>
                <w:szCs w:val="24"/>
              </w:rPr>
              <w:t>1,774</w:t>
            </w:r>
          </w:p>
        </w:tc>
        <w:tc>
          <w:tcPr>
            <w:tcW w:w="990" w:type="dxa"/>
            <w:vAlign w:val="bottom"/>
          </w:tcPr>
          <w:p w14:paraId="412C6F19" w14:textId="77777777" w:rsidR="003A392D" w:rsidRPr="00CA5D6D" w:rsidRDefault="003A392D">
            <w:pPr>
              <w:jc w:val="right"/>
              <w:rPr>
                <w:rFonts w:cs="Arial"/>
                <w:bCs/>
                <w:szCs w:val="24"/>
              </w:rPr>
            </w:pPr>
            <w:r w:rsidRPr="00CB77DE">
              <w:rPr>
                <w:rFonts w:cs="Arial"/>
                <w:szCs w:val="24"/>
              </w:rPr>
              <w:t>1,542</w:t>
            </w:r>
          </w:p>
        </w:tc>
        <w:tc>
          <w:tcPr>
            <w:tcW w:w="990" w:type="dxa"/>
            <w:vAlign w:val="bottom"/>
          </w:tcPr>
          <w:p w14:paraId="60AED657" w14:textId="77777777" w:rsidR="003A392D" w:rsidRPr="00CA5D6D" w:rsidRDefault="003A392D">
            <w:pPr>
              <w:jc w:val="right"/>
              <w:rPr>
                <w:rFonts w:cs="Arial"/>
                <w:bCs/>
                <w:szCs w:val="24"/>
              </w:rPr>
            </w:pPr>
            <w:r w:rsidRPr="00CB77DE">
              <w:rPr>
                <w:rFonts w:cs="Arial"/>
                <w:szCs w:val="24"/>
              </w:rPr>
              <w:t>1,231</w:t>
            </w:r>
          </w:p>
        </w:tc>
        <w:tc>
          <w:tcPr>
            <w:tcW w:w="992" w:type="dxa"/>
            <w:vAlign w:val="bottom"/>
          </w:tcPr>
          <w:p w14:paraId="2E61B3A7" w14:textId="77777777" w:rsidR="003A392D" w:rsidRPr="00CA5D6D" w:rsidRDefault="003A392D">
            <w:pPr>
              <w:jc w:val="right"/>
              <w:rPr>
                <w:rFonts w:cs="Arial"/>
                <w:bCs/>
                <w:szCs w:val="24"/>
              </w:rPr>
            </w:pPr>
            <w:r w:rsidRPr="00CB77DE">
              <w:rPr>
                <w:rFonts w:cs="Arial"/>
                <w:szCs w:val="24"/>
              </w:rPr>
              <w:t>1,264</w:t>
            </w:r>
          </w:p>
        </w:tc>
        <w:tc>
          <w:tcPr>
            <w:tcW w:w="991" w:type="dxa"/>
            <w:vAlign w:val="bottom"/>
          </w:tcPr>
          <w:p w14:paraId="7535E4A8" w14:textId="77777777" w:rsidR="003A392D" w:rsidRPr="00CA5D6D" w:rsidRDefault="003A392D">
            <w:pPr>
              <w:jc w:val="right"/>
              <w:rPr>
                <w:rFonts w:cs="Arial"/>
                <w:bCs/>
                <w:szCs w:val="24"/>
              </w:rPr>
            </w:pPr>
            <w:r w:rsidRPr="00CB77DE">
              <w:rPr>
                <w:rFonts w:cs="Arial"/>
                <w:szCs w:val="24"/>
              </w:rPr>
              <w:t>1,402</w:t>
            </w:r>
          </w:p>
        </w:tc>
        <w:tc>
          <w:tcPr>
            <w:tcW w:w="991" w:type="dxa"/>
            <w:vAlign w:val="bottom"/>
          </w:tcPr>
          <w:p w14:paraId="2F91FCD0" w14:textId="77777777" w:rsidR="003A392D" w:rsidRPr="00CA5D6D" w:rsidRDefault="003A392D">
            <w:pPr>
              <w:jc w:val="right"/>
              <w:rPr>
                <w:rFonts w:cs="Arial"/>
                <w:bCs/>
                <w:szCs w:val="24"/>
              </w:rPr>
            </w:pPr>
            <w:r w:rsidRPr="00CB77DE">
              <w:rPr>
                <w:rFonts w:cs="Arial"/>
                <w:szCs w:val="24"/>
              </w:rPr>
              <w:t>1,236</w:t>
            </w:r>
          </w:p>
        </w:tc>
        <w:tc>
          <w:tcPr>
            <w:tcW w:w="991" w:type="dxa"/>
            <w:vAlign w:val="bottom"/>
          </w:tcPr>
          <w:p w14:paraId="0E9C941A" w14:textId="77777777" w:rsidR="003A392D" w:rsidRPr="00CA5D6D" w:rsidRDefault="003A392D">
            <w:pPr>
              <w:jc w:val="right"/>
              <w:rPr>
                <w:rFonts w:cs="Arial"/>
                <w:bCs/>
                <w:szCs w:val="24"/>
              </w:rPr>
            </w:pPr>
            <w:r w:rsidRPr="00CB77DE">
              <w:rPr>
                <w:rFonts w:cs="Arial"/>
                <w:szCs w:val="24"/>
              </w:rPr>
              <w:t>1,226</w:t>
            </w:r>
          </w:p>
        </w:tc>
        <w:tc>
          <w:tcPr>
            <w:tcW w:w="989" w:type="dxa"/>
            <w:vAlign w:val="bottom"/>
          </w:tcPr>
          <w:p w14:paraId="27EA6970" w14:textId="77777777" w:rsidR="003A392D" w:rsidRPr="00CA5D6D" w:rsidRDefault="003A392D">
            <w:pPr>
              <w:jc w:val="right"/>
              <w:rPr>
                <w:rFonts w:cs="Arial"/>
                <w:bCs/>
                <w:szCs w:val="24"/>
              </w:rPr>
            </w:pPr>
            <w:r w:rsidRPr="00CB77DE">
              <w:rPr>
                <w:rFonts w:cs="Arial"/>
                <w:szCs w:val="24"/>
              </w:rPr>
              <w:t>1,251</w:t>
            </w:r>
          </w:p>
        </w:tc>
        <w:tc>
          <w:tcPr>
            <w:tcW w:w="989" w:type="dxa"/>
            <w:vAlign w:val="bottom"/>
          </w:tcPr>
          <w:p w14:paraId="66DBA5CF" w14:textId="77777777" w:rsidR="003A392D" w:rsidRPr="00CA5D6D" w:rsidRDefault="003A392D">
            <w:pPr>
              <w:jc w:val="right"/>
              <w:rPr>
                <w:rFonts w:cs="Arial"/>
                <w:bCs/>
                <w:szCs w:val="24"/>
              </w:rPr>
            </w:pPr>
            <w:r w:rsidRPr="00CB77DE">
              <w:rPr>
                <w:rFonts w:cs="Arial"/>
                <w:szCs w:val="24"/>
              </w:rPr>
              <w:t>1,229</w:t>
            </w:r>
          </w:p>
        </w:tc>
        <w:tc>
          <w:tcPr>
            <w:tcW w:w="989" w:type="dxa"/>
            <w:vAlign w:val="bottom"/>
          </w:tcPr>
          <w:p w14:paraId="1374D1EA" w14:textId="77777777" w:rsidR="003A392D" w:rsidRPr="00CA5D6D" w:rsidRDefault="003A392D">
            <w:pPr>
              <w:jc w:val="right"/>
              <w:rPr>
                <w:rFonts w:cs="Arial"/>
                <w:bCs/>
                <w:szCs w:val="24"/>
              </w:rPr>
            </w:pPr>
            <w:r w:rsidRPr="00CB77DE">
              <w:rPr>
                <w:rFonts w:cs="Arial"/>
                <w:szCs w:val="24"/>
              </w:rPr>
              <w:t>1,343</w:t>
            </w:r>
          </w:p>
        </w:tc>
        <w:tc>
          <w:tcPr>
            <w:tcW w:w="989" w:type="dxa"/>
            <w:vAlign w:val="bottom"/>
          </w:tcPr>
          <w:p w14:paraId="03A5BE13" w14:textId="77777777" w:rsidR="003A392D" w:rsidRPr="00CA5D6D" w:rsidRDefault="003A392D">
            <w:pPr>
              <w:jc w:val="right"/>
              <w:rPr>
                <w:rFonts w:cs="Arial"/>
                <w:bCs/>
                <w:szCs w:val="24"/>
              </w:rPr>
            </w:pPr>
            <w:r w:rsidRPr="00CB77DE">
              <w:rPr>
                <w:rFonts w:cs="Arial"/>
                <w:szCs w:val="24"/>
              </w:rPr>
              <w:t>1,347</w:t>
            </w:r>
          </w:p>
        </w:tc>
      </w:tr>
      <w:tr w:rsidR="006C1F15" w:rsidRPr="00911FB1" w14:paraId="5C1B33DD" w14:textId="77777777">
        <w:tc>
          <w:tcPr>
            <w:tcW w:w="3669" w:type="dxa"/>
          </w:tcPr>
          <w:p w14:paraId="3CAEF0DD" w14:textId="77777777" w:rsidR="003A392D" w:rsidRPr="00DB7C12" w:rsidRDefault="003A392D">
            <w:pPr>
              <w:rPr>
                <w:rFonts w:cs="Arial"/>
                <w:bCs/>
                <w:szCs w:val="24"/>
              </w:rPr>
            </w:pPr>
            <w:r w:rsidRPr="00DB7C12">
              <w:rPr>
                <w:rFonts w:cs="Arial"/>
                <w:bCs/>
                <w:szCs w:val="24"/>
              </w:rPr>
              <w:t>Moderate Learning Difficulty</w:t>
            </w:r>
          </w:p>
        </w:tc>
        <w:tc>
          <w:tcPr>
            <w:tcW w:w="990" w:type="dxa"/>
            <w:vAlign w:val="bottom"/>
          </w:tcPr>
          <w:p w14:paraId="1E5B3517" w14:textId="77777777" w:rsidR="003A392D" w:rsidRPr="00CA5D6D" w:rsidRDefault="003A392D">
            <w:pPr>
              <w:jc w:val="right"/>
              <w:rPr>
                <w:rFonts w:cs="Arial"/>
                <w:bCs/>
                <w:szCs w:val="24"/>
              </w:rPr>
            </w:pPr>
            <w:r w:rsidRPr="00CB77DE">
              <w:rPr>
                <w:rFonts w:cs="Arial"/>
                <w:szCs w:val="24"/>
              </w:rPr>
              <w:t>777</w:t>
            </w:r>
          </w:p>
        </w:tc>
        <w:tc>
          <w:tcPr>
            <w:tcW w:w="990" w:type="dxa"/>
            <w:vAlign w:val="bottom"/>
          </w:tcPr>
          <w:p w14:paraId="2C106EED" w14:textId="77777777" w:rsidR="003A392D" w:rsidRPr="00CA5D6D" w:rsidRDefault="003A392D">
            <w:pPr>
              <w:jc w:val="right"/>
              <w:rPr>
                <w:rFonts w:cs="Arial"/>
                <w:bCs/>
                <w:szCs w:val="24"/>
              </w:rPr>
            </w:pPr>
            <w:r w:rsidRPr="00CB77DE">
              <w:rPr>
                <w:rFonts w:cs="Arial"/>
                <w:szCs w:val="24"/>
              </w:rPr>
              <w:t>809</w:t>
            </w:r>
          </w:p>
        </w:tc>
        <w:tc>
          <w:tcPr>
            <w:tcW w:w="990" w:type="dxa"/>
            <w:vAlign w:val="bottom"/>
          </w:tcPr>
          <w:p w14:paraId="0D7C3D16" w14:textId="77777777" w:rsidR="003A392D" w:rsidRPr="00CA5D6D" w:rsidRDefault="003A392D">
            <w:pPr>
              <w:jc w:val="right"/>
              <w:rPr>
                <w:rFonts w:cs="Arial"/>
                <w:bCs/>
                <w:szCs w:val="24"/>
              </w:rPr>
            </w:pPr>
            <w:r w:rsidRPr="00CB77DE">
              <w:rPr>
                <w:rFonts w:cs="Arial"/>
                <w:szCs w:val="24"/>
              </w:rPr>
              <w:t>681</w:t>
            </w:r>
          </w:p>
        </w:tc>
        <w:tc>
          <w:tcPr>
            <w:tcW w:w="992" w:type="dxa"/>
            <w:vAlign w:val="bottom"/>
          </w:tcPr>
          <w:p w14:paraId="7240374D" w14:textId="77777777" w:rsidR="003A392D" w:rsidRPr="00CA5D6D" w:rsidRDefault="003A392D">
            <w:pPr>
              <w:jc w:val="right"/>
              <w:rPr>
                <w:rFonts w:cs="Arial"/>
                <w:bCs/>
                <w:szCs w:val="24"/>
              </w:rPr>
            </w:pPr>
            <w:r w:rsidRPr="00CB77DE">
              <w:rPr>
                <w:rFonts w:cs="Arial"/>
                <w:szCs w:val="24"/>
              </w:rPr>
              <w:t>593</w:t>
            </w:r>
          </w:p>
        </w:tc>
        <w:tc>
          <w:tcPr>
            <w:tcW w:w="991" w:type="dxa"/>
            <w:vAlign w:val="bottom"/>
          </w:tcPr>
          <w:p w14:paraId="24967BA9" w14:textId="77777777" w:rsidR="003A392D" w:rsidRPr="00CA5D6D" w:rsidRDefault="003A392D">
            <w:pPr>
              <w:jc w:val="right"/>
              <w:rPr>
                <w:rFonts w:cs="Arial"/>
                <w:bCs/>
                <w:szCs w:val="24"/>
              </w:rPr>
            </w:pPr>
            <w:r w:rsidRPr="00CB77DE">
              <w:rPr>
                <w:rFonts w:cs="Arial"/>
                <w:szCs w:val="24"/>
              </w:rPr>
              <w:t>583</w:t>
            </w:r>
          </w:p>
        </w:tc>
        <w:tc>
          <w:tcPr>
            <w:tcW w:w="991" w:type="dxa"/>
            <w:vAlign w:val="bottom"/>
          </w:tcPr>
          <w:p w14:paraId="3C12D172" w14:textId="77777777" w:rsidR="003A392D" w:rsidRPr="00CA5D6D" w:rsidRDefault="003A392D">
            <w:pPr>
              <w:jc w:val="right"/>
              <w:rPr>
                <w:rFonts w:cs="Arial"/>
                <w:bCs/>
                <w:szCs w:val="24"/>
              </w:rPr>
            </w:pPr>
            <w:r w:rsidRPr="00CB77DE">
              <w:rPr>
                <w:rFonts w:cs="Arial"/>
                <w:szCs w:val="24"/>
              </w:rPr>
              <w:t>596</w:t>
            </w:r>
          </w:p>
        </w:tc>
        <w:tc>
          <w:tcPr>
            <w:tcW w:w="991" w:type="dxa"/>
            <w:vAlign w:val="bottom"/>
          </w:tcPr>
          <w:p w14:paraId="38F9CE18" w14:textId="77777777" w:rsidR="003A392D" w:rsidRPr="00CA5D6D" w:rsidRDefault="003A392D">
            <w:pPr>
              <w:jc w:val="right"/>
              <w:rPr>
                <w:rFonts w:cs="Arial"/>
                <w:bCs/>
                <w:szCs w:val="24"/>
              </w:rPr>
            </w:pPr>
            <w:r w:rsidRPr="00CB77DE">
              <w:rPr>
                <w:rFonts w:cs="Arial"/>
                <w:szCs w:val="24"/>
              </w:rPr>
              <w:t>579</w:t>
            </w:r>
          </w:p>
        </w:tc>
        <w:tc>
          <w:tcPr>
            <w:tcW w:w="989" w:type="dxa"/>
            <w:vAlign w:val="bottom"/>
          </w:tcPr>
          <w:p w14:paraId="626433BA" w14:textId="77777777" w:rsidR="003A392D" w:rsidRPr="00CA5D6D" w:rsidRDefault="003A392D">
            <w:pPr>
              <w:jc w:val="right"/>
              <w:rPr>
                <w:rFonts w:cs="Arial"/>
                <w:bCs/>
                <w:szCs w:val="24"/>
              </w:rPr>
            </w:pPr>
            <w:r w:rsidRPr="00CB77DE">
              <w:rPr>
                <w:rFonts w:cs="Arial"/>
                <w:szCs w:val="24"/>
              </w:rPr>
              <w:t>553</w:t>
            </w:r>
          </w:p>
        </w:tc>
        <w:tc>
          <w:tcPr>
            <w:tcW w:w="989" w:type="dxa"/>
            <w:vAlign w:val="bottom"/>
          </w:tcPr>
          <w:p w14:paraId="39214B93" w14:textId="77777777" w:rsidR="003A392D" w:rsidRPr="00CA5D6D" w:rsidRDefault="003A392D">
            <w:pPr>
              <w:jc w:val="right"/>
              <w:rPr>
                <w:rFonts w:cs="Arial"/>
                <w:bCs/>
                <w:szCs w:val="24"/>
              </w:rPr>
            </w:pPr>
            <w:r w:rsidRPr="00CB77DE">
              <w:rPr>
                <w:rFonts w:cs="Arial"/>
                <w:szCs w:val="24"/>
              </w:rPr>
              <w:t>538</w:t>
            </w:r>
          </w:p>
        </w:tc>
        <w:tc>
          <w:tcPr>
            <w:tcW w:w="989" w:type="dxa"/>
            <w:vAlign w:val="bottom"/>
          </w:tcPr>
          <w:p w14:paraId="4D5D1A8C" w14:textId="77777777" w:rsidR="003A392D" w:rsidRPr="00CA5D6D" w:rsidRDefault="003A392D">
            <w:pPr>
              <w:jc w:val="right"/>
              <w:rPr>
                <w:rFonts w:cs="Arial"/>
                <w:bCs/>
                <w:szCs w:val="24"/>
              </w:rPr>
            </w:pPr>
            <w:r w:rsidRPr="00CB77DE">
              <w:rPr>
                <w:rFonts w:cs="Arial"/>
                <w:szCs w:val="24"/>
              </w:rPr>
              <w:t>421</w:t>
            </w:r>
          </w:p>
        </w:tc>
        <w:tc>
          <w:tcPr>
            <w:tcW w:w="989" w:type="dxa"/>
            <w:vAlign w:val="bottom"/>
          </w:tcPr>
          <w:p w14:paraId="07D04607" w14:textId="77777777" w:rsidR="003A392D" w:rsidRPr="00CA5D6D" w:rsidRDefault="003A392D">
            <w:pPr>
              <w:jc w:val="right"/>
              <w:rPr>
                <w:rFonts w:cs="Arial"/>
                <w:bCs/>
                <w:szCs w:val="24"/>
              </w:rPr>
            </w:pPr>
            <w:r w:rsidRPr="00CB77DE">
              <w:rPr>
                <w:rFonts w:cs="Arial"/>
                <w:szCs w:val="24"/>
              </w:rPr>
              <w:t>382</w:t>
            </w:r>
          </w:p>
        </w:tc>
      </w:tr>
      <w:tr w:rsidR="006C1F15" w:rsidRPr="00911FB1" w14:paraId="147C44DB" w14:textId="77777777">
        <w:tc>
          <w:tcPr>
            <w:tcW w:w="3669" w:type="dxa"/>
          </w:tcPr>
          <w:p w14:paraId="1AA17D67" w14:textId="77777777" w:rsidR="003A392D" w:rsidRPr="00DB7C12" w:rsidRDefault="003A392D">
            <w:pPr>
              <w:rPr>
                <w:rFonts w:cs="Arial"/>
                <w:bCs/>
                <w:szCs w:val="24"/>
              </w:rPr>
            </w:pPr>
            <w:r w:rsidRPr="00DB7C12">
              <w:rPr>
                <w:rFonts w:cs="Arial"/>
                <w:bCs/>
                <w:szCs w:val="24"/>
              </w:rPr>
              <w:t>Physical Disability</w:t>
            </w:r>
          </w:p>
        </w:tc>
        <w:tc>
          <w:tcPr>
            <w:tcW w:w="990" w:type="dxa"/>
            <w:vAlign w:val="bottom"/>
          </w:tcPr>
          <w:p w14:paraId="4054A346" w14:textId="77777777" w:rsidR="003A392D" w:rsidRPr="00CA5D6D" w:rsidRDefault="003A392D">
            <w:pPr>
              <w:jc w:val="right"/>
              <w:rPr>
                <w:rFonts w:cs="Arial"/>
                <w:bCs/>
                <w:szCs w:val="24"/>
              </w:rPr>
            </w:pPr>
            <w:r w:rsidRPr="00CB77DE">
              <w:rPr>
                <w:rFonts w:cs="Arial"/>
                <w:szCs w:val="24"/>
              </w:rPr>
              <w:t>152</w:t>
            </w:r>
          </w:p>
        </w:tc>
        <w:tc>
          <w:tcPr>
            <w:tcW w:w="990" w:type="dxa"/>
            <w:vAlign w:val="bottom"/>
          </w:tcPr>
          <w:p w14:paraId="0A087984" w14:textId="77777777" w:rsidR="003A392D" w:rsidRPr="00CA5D6D" w:rsidRDefault="003A392D">
            <w:pPr>
              <w:jc w:val="right"/>
              <w:rPr>
                <w:rFonts w:cs="Arial"/>
                <w:bCs/>
                <w:szCs w:val="24"/>
              </w:rPr>
            </w:pPr>
            <w:r w:rsidRPr="00CB77DE">
              <w:rPr>
                <w:rFonts w:cs="Arial"/>
                <w:szCs w:val="24"/>
              </w:rPr>
              <w:t>161</w:t>
            </w:r>
          </w:p>
        </w:tc>
        <w:tc>
          <w:tcPr>
            <w:tcW w:w="990" w:type="dxa"/>
            <w:vAlign w:val="bottom"/>
          </w:tcPr>
          <w:p w14:paraId="022A8291" w14:textId="77777777" w:rsidR="003A392D" w:rsidRPr="00CA5D6D" w:rsidRDefault="003A392D">
            <w:pPr>
              <w:jc w:val="right"/>
              <w:rPr>
                <w:rFonts w:cs="Arial"/>
                <w:bCs/>
                <w:szCs w:val="24"/>
              </w:rPr>
            </w:pPr>
            <w:r w:rsidRPr="00CB77DE">
              <w:rPr>
                <w:rFonts w:cs="Arial"/>
                <w:szCs w:val="24"/>
              </w:rPr>
              <w:t>147</w:t>
            </w:r>
          </w:p>
        </w:tc>
        <w:tc>
          <w:tcPr>
            <w:tcW w:w="992" w:type="dxa"/>
            <w:vAlign w:val="bottom"/>
          </w:tcPr>
          <w:p w14:paraId="33DF9E56" w14:textId="77777777" w:rsidR="003A392D" w:rsidRPr="00CA5D6D" w:rsidRDefault="003A392D">
            <w:pPr>
              <w:jc w:val="right"/>
              <w:rPr>
                <w:rFonts w:cs="Arial"/>
                <w:bCs/>
                <w:szCs w:val="24"/>
              </w:rPr>
            </w:pPr>
            <w:r w:rsidRPr="00CB77DE">
              <w:rPr>
                <w:rFonts w:cs="Arial"/>
                <w:szCs w:val="24"/>
              </w:rPr>
              <w:t>151</w:t>
            </w:r>
          </w:p>
        </w:tc>
        <w:tc>
          <w:tcPr>
            <w:tcW w:w="991" w:type="dxa"/>
            <w:vAlign w:val="bottom"/>
          </w:tcPr>
          <w:p w14:paraId="24CA22C9" w14:textId="77777777" w:rsidR="003A392D" w:rsidRPr="00CA5D6D" w:rsidRDefault="003A392D">
            <w:pPr>
              <w:jc w:val="right"/>
              <w:rPr>
                <w:rFonts w:cs="Arial"/>
                <w:bCs/>
                <w:szCs w:val="24"/>
              </w:rPr>
            </w:pPr>
            <w:r w:rsidRPr="00CB77DE">
              <w:rPr>
                <w:rFonts w:cs="Arial"/>
                <w:szCs w:val="24"/>
              </w:rPr>
              <w:t>224</w:t>
            </w:r>
          </w:p>
        </w:tc>
        <w:tc>
          <w:tcPr>
            <w:tcW w:w="991" w:type="dxa"/>
            <w:vAlign w:val="bottom"/>
          </w:tcPr>
          <w:p w14:paraId="79A545D1" w14:textId="77777777" w:rsidR="003A392D" w:rsidRPr="00CA5D6D" w:rsidRDefault="003A392D">
            <w:pPr>
              <w:jc w:val="right"/>
              <w:rPr>
                <w:rFonts w:cs="Arial"/>
                <w:bCs/>
                <w:szCs w:val="24"/>
              </w:rPr>
            </w:pPr>
            <w:r w:rsidRPr="00CB77DE">
              <w:rPr>
                <w:rFonts w:cs="Arial"/>
                <w:szCs w:val="24"/>
              </w:rPr>
              <w:t>222</w:t>
            </w:r>
          </w:p>
        </w:tc>
        <w:tc>
          <w:tcPr>
            <w:tcW w:w="991" w:type="dxa"/>
            <w:vAlign w:val="bottom"/>
          </w:tcPr>
          <w:p w14:paraId="54746A18" w14:textId="77777777" w:rsidR="003A392D" w:rsidRPr="00CA5D6D" w:rsidRDefault="003A392D">
            <w:pPr>
              <w:jc w:val="right"/>
              <w:rPr>
                <w:rFonts w:cs="Arial"/>
                <w:bCs/>
                <w:szCs w:val="24"/>
              </w:rPr>
            </w:pPr>
            <w:r w:rsidRPr="00CB77DE">
              <w:rPr>
                <w:rFonts w:cs="Arial"/>
                <w:szCs w:val="24"/>
              </w:rPr>
              <w:t>210</w:t>
            </w:r>
          </w:p>
        </w:tc>
        <w:tc>
          <w:tcPr>
            <w:tcW w:w="989" w:type="dxa"/>
            <w:vAlign w:val="bottom"/>
          </w:tcPr>
          <w:p w14:paraId="11170EA3" w14:textId="77777777" w:rsidR="003A392D" w:rsidRPr="00CA5D6D" w:rsidRDefault="003A392D">
            <w:pPr>
              <w:jc w:val="right"/>
              <w:rPr>
                <w:rFonts w:cs="Arial"/>
                <w:bCs/>
                <w:szCs w:val="24"/>
              </w:rPr>
            </w:pPr>
            <w:r w:rsidRPr="00CB77DE">
              <w:rPr>
                <w:rFonts w:cs="Arial"/>
                <w:szCs w:val="24"/>
              </w:rPr>
              <w:t>213</w:t>
            </w:r>
          </w:p>
        </w:tc>
        <w:tc>
          <w:tcPr>
            <w:tcW w:w="989" w:type="dxa"/>
            <w:vAlign w:val="bottom"/>
          </w:tcPr>
          <w:p w14:paraId="3C99369E" w14:textId="77777777" w:rsidR="003A392D" w:rsidRPr="00CA5D6D" w:rsidRDefault="003A392D">
            <w:pPr>
              <w:jc w:val="right"/>
              <w:rPr>
                <w:rFonts w:cs="Arial"/>
                <w:bCs/>
                <w:szCs w:val="24"/>
              </w:rPr>
            </w:pPr>
            <w:r w:rsidRPr="00CB77DE">
              <w:rPr>
                <w:rFonts w:cs="Arial"/>
                <w:szCs w:val="24"/>
              </w:rPr>
              <w:t>188</w:t>
            </w:r>
          </w:p>
        </w:tc>
        <w:tc>
          <w:tcPr>
            <w:tcW w:w="989" w:type="dxa"/>
            <w:vAlign w:val="bottom"/>
          </w:tcPr>
          <w:p w14:paraId="5CD1161A" w14:textId="77777777" w:rsidR="003A392D" w:rsidRPr="00CA5D6D" w:rsidRDefault="003A392D">
            <w:pPr>
              <w:jc w:val="right"/>
              <w:rPr>
                <w:rFonts w:cs="Arial"/>
                <w:bCs/>
                <w:szCs w:val="24"/>
              </w:rPr>
            </w:pPr>
            <w:r w:rsidRPr="00CB77DE">
              <w:rPr>
                <w:rFonts w:cs="Arial"/>
                <w:szCs w:val="24"/>
              </w:rPr>
              <w:t>172</w:t>
            </w:r>
          </w:p>
        </w:tc>
        <w:tc>
          <w:tcPr>
            <w:tcW w:w="989" w:type="dxa"/>
            <w:vAlign w:val="bottom"/>
          </w:tcPr>
          <w:p w14:paraId="5C49C0F4" w14:textId="77777777" w:rsidR="003A392D" w:rsidRPr="00CA5D6D" w:rsidRDefault="003A392D">
            <w:pPr>
              <w:jc w:val="right"/>
              <w:rPr>
                <w:rFonts w:cs="Arial"/>
                <w:bCs/>
                <w:szCs w:val="24"/>
              </w:rPr>
            </w:pPr>
            <w:r w:rsidRPr="00CB77DE">
              <w:rPr>
                <w:rFonts w:cs="Arial"/>
                <w:szCs w:val="24"/>
              </w:rPr>
              <w:t>166</w:t>
            </w:r>
          </w:p>
        </w:tc>
      </w:tr>
      <w:tr w:rsidR="006C1F15" w:rsidRPr="00911FB1" w14:paraId="6086D92A" w14:textId="77777777">
        <w:tc>
          <w:tcPr>
            <w:tcW w:w="3669" w:type="dxa"/>
          </w:tcPr>
          <w:p w14:paraId="7E6A54D4" w14:textId="77777777" w:rsidR="003A392D" w:rsidRPr="00DB7C12" w:rsidRDefault="003A392D">
            <w:pPr>
              <w:rPr>
                <w:rFonts w:cs="Arial"/>
                <w:bCs/>
                <w:szCs w:val="24"/>
              </w:rPr>
            </w:pPr>
            <w:r w:rsidRPr="00DB7C12">
              <w:rPr>
                <w:rFonts w:cs="Arial"/>
                <w:bCs/>
                <w:szCs w:val="24"/>
              </w:rPr>
              <w:t>Hearing Impairment</w:t>
            </w:r>
          </w:p>
        </w:tc>
        <w:tc>
          <w:tcPr>
            <w:tcW w:w="990" w:type="dxa"/>
            <w:vAlign w:val="bottom"/>
          </w:tcPr>
          <w:p w14:paraId="50454FF6" w14:textId="77777777" w:rsidR="003A392D" w:rsidRPr="00CA5D6D" w:rsidRDefault="003A392D">
            <w:pPr>
              <w:jc w:val="right"/>
              <w:rPr>
                <w:rFonts w:cs="Arial"/>
                <w:bCs/>
                <w:szCs w:val="24"/>
              </w:rPr>
            </w:pPr>
            <w:r w:rsidRPr="00CB77DE">
              <w:rPr>
                <w:rFonts w:cs="Arial"/>
                <w:szCs w:val="24"/>
              </w:rPr>
              <w:t>128</w:t>
            </w:r>
          </w:p>
        </w:tc>
        <w:tc>
          <w:tcPr>
            <w:tcW w:w="990" w:type="dxa"/>
            <w:vAlign w:val="bottom"/>
          </w:tcPr>
          <w:p w14:paraId="0E196F74" w14:textId="77777777" w:rsidR="003A392D" w:rsidRPr="00CA5D6D" w:rsidRDefault="003A392D">
            <w:pPr>
              <w:jc w:val="right"/>
              <w:rPr>
                <w:rFonts w:cs="Arial"/>
                <w:bCs/>
                <w:szCs w:val="24"/>
              </w:rPr>
            </w:pPr>
            <w:r w:rsidRPr="00CB77DE">
              <w:rPr>
                <w:rFonts w:cs="Arial"/>
                <w:szCs w:val="24"/>
              </w:rPr>
              <w:t>117</w:t>
            </w:r>
          </w:p>
        </w:tc>
        <w:tc>
          <w:tcPr>
            <w:tcW w:w="990" w:type="dxa"/>
            <w:vAlign w:val="bottom"/>
          </w:tcPr>
          <w:p w14:paraId="00D57BE1" w14:textId="77777777" w:rsidR="003A392D" w:rsidRPr="00CA5D6D" w:rsidRDefault="003A392D">
            <w:pPr>
              <w:jc w:val="right"/>
              <w:rPr>
                <w:rFonts w:cs="Arial"/>
                <w:bCs/>
                <w:szCs w:val="24"/>
              </w:rPr>
            </w:pPr>
            <w:r w:rsidRPr="00CB77DE">
              <w:rPr>
                <w:rFonts w:cs="Arial"/>
                <w:szCs w:val="24"/>
              </w:rPr>
              <w:t>115</w:t>
            </w:r>
          </w:p>
        </w:tc>
        <w:tc>
          <w:tcPr>
            <w:tcW w:w="992" w:type="dxa"/>
            <w:vAlign w:val="bottom"/>
          </w:tcPr>
          <w:p w14:paraId="18FE05D6" w14:textId="77777777" w:rsidR="003A392D" w:rsidRPr="00CA5D6D" w:rsidRDefault="003A392D">
            <w:pPr>
              <w:jc w:val="right"/>
              <w:rPr>
                <w:rFonts w:cs="Arial"/>
                <w:bCs/>
                <w:szCs w:val="24"/>
              </w:rPr>
            </w:pPr>
            <w:r w:rsidRPr="00CB77DE">
              <w:rPr>
                <w:rFonts w:cs="Arial"/>
                <w:szCs w:val="24"/>
              </w:rPr>
              <w:t>114</w:t>
            </w:r>
          </w:p>
        </w:tc>
        <w:tc>
          <w:tcPr>
            <w:tcW w:w="991" w:type="dxa"/>
            <w:vAlign w:val="bottom"/>
          </w:tcPr>
          <w:p w14:paraId="6432A4D4" w14:textId="77777777" w:rsidR="003A392D" w:rsidRPr="00CA5D6D" w:rsidRDefault="003A392D">
            <w:pPr>
              <w:jc w:val="right"/>
              <w:rPr>
                <w:rFonts w:cs="Arial"/>
                <w:bCs/>
                <w:szCs w:val="24"/>
              </w:rPr>
            </w:pPr>
            <w:r w:rsidRPr="00CB77DE">
              <w:rPr>
                <w:rFonts w:cs="Arial"/>
                <w:szCs w:val="24"/>
              </w:rPr>
              <w:t>97</w:t>
            </w:r>
          </w:p>
        </w:tc>
        <w:tc>
          <w:tcPr>
            <w:tcW w:w="991" w:type="dxa"/>
            <w:vAlign w:val="bottom"/>
          </w:tcPr>
          <w:p w14:paraId="05EA464D" w14:textId="77777777" w:rsidR="003A392D" w:rsidRPr="00CA5D6D" w:rsidRDefault="003A392D">
            <w:pPr>
              <w:jc w:val="right"/>
              <w:rPr>
                <w:rFonts w:cs="Arial"/>
                <w:bCs/>
                <w:szCs w:val="24"/>
              </w:rPr>
            </w:pPr>
            <w:r w:rsidRPr="00CB77DE">
              <w:rPr>
                <w:rFonts w:cs="Arial"/>
                <w:szCs w:val="24"/>
              </w:rPr>
              <w:t>104</w:t>
            </w:r>
          </w:p>
        </w:tc>
        <w:tc>
          <w:tcPr>
            <w:tcW w:w="991" w:type="dxa"/>
            <w:vAlign w:val="bottom"/>
          </w:tcPr>
          <w:p w14:paraId="0797BBB6" w14:textId="77777777" w:rsidR="003A392D" w:rsidRPr="00CA5D6D" w:rsidRDefault="003A392D">
            <w:pPr>
              <w:jc w:val="right"/>
              <w:rPr>
                <w:rFonts w:cs="Arial"/>
                <w:bCs/>
                <w:szCs w:val="24"/>
              </w:rPr>
            </w:pPr>
            <w:r w:rsidRPr="00CB77DE">
              <w:rPr>
                <w:rFonts w:cs="Arial"/>
                <w:szCs w:val="24"/>
              </w:rPr>
              <w:t>96</w:t>
            </w:r>
          </w:p>
        </w:tc>
        <w:tc>
          <w:tcPr>
            <w:tcW w:w="989" w:type="dxa"/>
            <w:vAlign w:val="bottom"/>
          </w:tcPr>
          <w:p w14:paraId="6308F062" w14:textId="77777777" w:rsidR="003A392D" w:rsidRPr="00CA5D6D" w:rsidRDefault="003A392D">
            <w:pPr>
              <w:jc w:val="right"/>
              <w:rPr>
                <w:rFonts w:cs="Arial"/>
                <w:bCs/>
                <w:szCs w:val="24"/>
              </w:rPr>
            </w:pPr>
            <w:r w:rsidRPr="00CB77DE">
              <w:rPr>
                <w:rFonts w:cs="Arial"/>
                <w:szCs w:val="24"/>
              </w:rPr>
              <w:t>97</w:t>
            </w:r>
          </w:p>
        </w:tc>
        <w:tc>
          <w:tcPr>
            <w:tcW w:w="989" w:type="dxa"/>
            <w:vAlign w:val="bottom"/>
          </w:tcPr>
          <w:p w14:paraId="68FAD370" w14:textId="77777777" w:rsidR="003A392D" w:rsidRPr="00CA5D6D" w:rsidRDefault="003A392D">
            <w:pPr>
              <w:jc w:val="right"/>
              <w:rPr>
                <w:rFonts w:cs="Arial"/>
                <w:bCs/>
                <w:szCs w:val="24"/>
              </w:rPr>
            </w:pPr>
            <w:r w:rsidRPr="00CB77DE">
              <w:rPr>
                <w:rFonts w:cs="Arial"/>
                <w:szCs w:val="24"/>
              </w:rPr>
              <w:t>109</w:t>
            </w:r>
          </w:p>
        </w:tc>
        <w:tc>
          <w:tcPr>
            <w:tcW w:w="989" w:type="dxa"/>
            <w:vAlign w:val="bottom"/>
          </w:tcPr>
          <w:p w14:paraId="798E68D8" w14:textId="77777777" w:rsidR="003A392D" w:rsidRPr="00CA5D6D" w:rsidRDefault="003A392D">
            <w:pPr>
              <w:jc w:val="right"/>
              <w:rPr>
                <w:rFonts w:cs="Arial"/>
                <w:bCs/>
                <w:szCs w:val="24"/>
              </w:rPr>
            </w:pPr>
            <w:r w:rsidRPr="00CB77DE">
              <w:rPr>
                <w:rFonts w:cs="Arial"/>
                <w:szCs w:val="24"/>
              </w:rPr>
              <w:t>105</w:t>
            </w:r>
          </w:p>
        </w:tc>
        <w:tc>
          <w:tcPr>
            <w:tcW w:w="989" w:type="dxa"/>
            <w:vAlign w:val="bottom"/>
          </w:tcPr>
          <w:p w14:paraId="67591BA8" w14:textId="77777777" w:rsidR="003A392D" w:rsidRPr="00CA5D6D" w:rsidRDefault="003A392D">
            <w:pPr>
              <w:jc w:val="right"/>
              <w:rPr>
                <w:rFonts w:cs="Arial"/>
                <w:bCs/>
                <w:szCs w:val="24"/>
              </w:rPr>
            </w:pPr>
            <w:r w:rsidRPr="00CB77DE">
              <w:rPr>
                <w:rFonts w:cs="Arial"/>
                <w:szCs w:val="24"/>
              </w:rPr>
              <w:t>106</w:t>
            </w:r>
          </w:p>
        </w:tc>
      </w:tr>
      <w:tr w:rsidR="006C1F15" w:rsidRPr="00911FB1" w14:paraId="3A245FB4" w14:textId="77777777">
        <w:tc>
          <w:tcPr>
            <w:tcW w:w="3669" w:type="dxa"/>
          </w:tcPr>
          <w:p w14:paraId="304617FF" w14:textId="77777777" w:rsidR="003A392D" w:rsidRPr="00DB7C12" w:rsidRDefault="003A392D">
            <w:pPr>
              <w:rPr>
                <w:rFonts w:cs="Arial"/>
                <w:bCs/>
                <w:szCs w:val="24"/>
              </w:rPr>
            </w:pPr>
            <w:r w:rsidRPr="00DB7C12">
              <w:rPr>
                <w:rFonts w:cs="Arial"/>
                <w:bCs/>
                <w:szCs w:val="24"/>
              </w:rPr>
              <w:t>Severe Learning Difficulty</w:t>
            </w:r>
          </w:p>
        </w:tc>
        <w:tc>
          <w:tcPr>
            <w:tcW w:w="990" w:type="dxa"/>
            <w:vAlign w:val="bottom"/>
          </w:tcPr>
          <w:p w14:paraId="0C134F28" w14:textId="77777777" w:rsidR="003A392D" w:rsidRPr="00CA5D6D" w:rsidRDefault="003A392D">
            <w:pPr>
              <w:jc w:val="right"/>
              <w:rPr>
                <w:rFonts w:cs="Arial"/>
                <w:bCs/>
                <w:szCs w:val="24"/>
              </w:rPr>
            </w:pPr>
            <w:r w:rsidRPr="00CB77DE">
              <w:rPr>
                <w:rFonts w:cs="Arial"/>
                <w:szCs w:val="24"/>
              </w:rPr>
              <w:t>171</w:t>
            </w:r>
          </w:p>
        </w:tc>
        <w:tc>
          <w:tcPr>
            <w:tcW w:w="990" w:type="dxa"/>
            <w:vAlign w:val="bottom"/>
          </w:tcPr>
          <w:p w14:paraId="5BD069E0" w14:textId="77777777" w:rsidR="003A392D" w:rsidRPr="00CA5D6D" w:rsidRDefault="003A392D">
            <w:pPr>
              <w:jc w:val="right"/>
              <w:rPr>
                <w:rFonts w:cs="Arial"/>
                <w:bCs/>
                <w:szCs w:val="24"/>
              </w:rPr>
            </w:pPr>
            <w:r w:rsidRPr="00CB77DE">
              <w:rPr>
                <w:rFonts w:cs="Arial"/>
                <w:szCs w:val="24"/>
              </w:rPr>
              <w:t>164</w:t>
            </w:r>
          </w:p>
        </w:tc>
        <w:tc>
          <w:tcPr>
            <w:tcW w:w="990" w:type="dxa"/>
            <w:vAlign w:val="bottom"/>
          </w:tcPr>
          <w:p w14:paraId="657AA6FE" w14:textId="77777777" w:rsidR="003A392D" w:rsidRPr="00CA5D6D" w:rsidRDefault="003A392D">
            <w:pPr>
              <w:jc w:val="right"/>
              <w:rPr>
                <w:rFonts w:cs="Arial"/>
                <w:bCs/>
                <w:szCs w:val="24"/>
              </w:rPr>
            </w:pPr>
            <w:r w:rsidRPr="00CB77DE">
              <w:rPr>
                <w:rFonts w:cs="Arial"/>
                <w:szCs w:val="24"/>
              </w:rPr>
              <w:t>172</w:t>
            </w:r>
          </w:p>
        </w:tc>
        <w:tc>
          <w:tcPr>
            <w:tcW w:w="992" w:type="dxa"/>
            <w:vAlign w:val="bottom"/>
          </w:tcPr>
          <w:p w14:paraId="2D653857" w14:textId="77777777" w:rsidR="003A392D" w:rsidRPr="00CA5D6D" w:rsidRDefault="003A392D">
            <w:pPr>
              <w:jc w:val="right"/>
              <w:rPr>
                <w:rFonts w:cs="Arial"/>
                <w:bCs/>
                <w:szCs w:val="24"/>
              </w:rPr>
            </w:pPr>
            <w:r w:rsidRPr="00CB77DE">
              <w:rPr>
                <w:rFonts w:cs="Arial"/>
                <w:szCs w:val="24"/>
              </w:rPr>
              <w:t>167</w:t>
            </w:r>
          </w:p>
        </w:tc>
        <w:tc>
          <w:tcPr>
            <w:tcW w:w="991" w:type="dxa"/>
            <w:vAlign w:val="bottom"/>
          </w:tcPr>
          <w:p w14:paraId="1F2F21D2" w14:textId="77777777" w:rsidR="003A392D" w:rsidRPr="00CA5D6D" w:rsidRDefault="003A392D">
            <w:pPr>
              <w:jc w:val="right"/>
              <w:rPr>
                <w:rFonts w:cs="Arial"/>
                <w:bCs/>
                <w:szCs w:val="24"/>
              </w:rPr>
            </w:pPr>
            <w:r w:rsidRPr="00CB77DE">
              <w:rPr>
                <w:rFonts w:cs="Arial"/>
                <w:szCs w:val="24"/>
              </w:rPr>
              <w:t>180</w:t>
            </w:r>
          </w:p>
        </w:tc>
        <w:tc>
          <w:tcPr>
            <w:tcW w:w="991" w:type="dxa"/>
            <w:vAlign w:val="bottom"/>
          </w:tcPr>
          <w:p w14:paraId="6E314250" w14:textId="77777777" w:rsidR="003A392D" w:rsidRPr="00CA5D6D" w:rsidRDefault="003A392D">
            <w:pPr>
              <w:jc w:val="right"/>
              <w:rPr>
                <w:rFonts w:cs="Arial"/>
                <w:bCs/>
                <w:szCs w:val="24"/>
              </w:rPr>
            </w:pPr>
            <w:r w:rsidRPr="00CB77DE">
              <w:rPr>
                <w:rFonts w:cs="Arial"/>
                <w:szCs w:val="24"/>
              </w:rPr>
              <w:t>145</w:t>
            </w:r>
          </w:p>
        </w:tc>
        <w:tc>
          <w:tcPr>
            <w:tcW w:w="991" w:type="dxa"/>
            <w:vAlign w:val="bottom"/>
          </w:tcPr>
          <w:p w14:paraId="72C9ECC6" w14:textId="77777777" w:rsidR="003A392D" w:rsidRPr="00CA5D6D" w:rsidRDefault="003A392D">
            <w:pPr>
              <w:jc w:val="right"/>
              <w:rPr>
                <w:rFonts w:cs="Arial"/>
                <w:bCs/>
                <w:szCs w:val="24"/>
              </w:rPr>
            </w:pPr>
            <w:r w:rsidRPr="00CB77DE">
              <w:rPr>
                <w:rFonts w:cs="Arial"/>
                <w:szCs w:val="24"/>
              </w:rPr>
              <w:t>156</w:t>
            </w:r>
          </w:p>
        </w:tc>
        <w:tc>
          <w:tcPr>
            <w:tcW w:w="989" w:type="dxa"/>
            <w:vAlign w:val="bottom"/>
          </w:tcPr>
          <w:p w14:paraId="478D4F8E" w14:textId="77777777" w:rsidR="003A392D" w:rsidRPr="00CA5D6D" w:rsidRDefault="003A392D">
            <w:pPr>
              <w:jc w:val="right"/>
              <w:rPr>
                <w:rFonts w:cs="Arial"/>
                <w:bCs/>
                <w:szCs w:val="24"/>
              </w:rPr>
            </w:pPr>
            <w:r w:rsidRPr="00CB77DE">
              <w:rPr>
                <w:rFonts w:cs="Arial"/>
                <w:szCs w:val="24"/>
              </w:rPr>
              <w:t>142</w:t>
            </w:r>
          </w:p>
        </w:tc>
        <w:tc>
          <w:tcPr>
            <w:tcW w:w="989" w:type="dxa"/>
            <w:vAlign w:val="bottom"/>
          </w:tcPr>
          <w:p w14:paraId="1331DC85" w14:textId="77777777" w:rsidR="003A392D" w:rsidRPr="00CA5D6D" w:rsidRDefault="003A392D">
            <w:pPr>
              <w:jc w:val="right"/>
              <w:rPr>
                <w:rFonts w:cs="Arial"/>
                <w:bCs/>
                <w:szCs w:val="24"/>
              </w:rPr>
            </w:pPr>
            <w:r w:rsidRPr="00CB77DE">
              <w:rPr>
                <w:rFonts w:cs="Arial"/>
                <w:szCs w:val="24"/>
              </w:rPr>
              <w:t>133</w:t>
            </w:r>
          </w:p>
        </w:tc>
        <w:tc>
          <w:tcPr>
            <w:tcW w:w="989" w:type="dxa"/>
            <w:vAlign w:val="bottom"/>
          </w:tcPr>
          <w:p w14:paraId="7AE59D4D" w14:textId="77777777" w:rsidR="003A392D" w:rsidRPr="00CA5D6D" w:rsidRDefault="003A392D">
            <w:pPr>
              <w:jc w:val="right"/>
              <w:rPr>
                <w:rFonts w:cs="Arial"/>
                <w:bCs/>
                <w:szCs w:val="24"/>
              </w:rPr>
            </w:pPr>
            <w:r w:rsidRPr="00CB77DE">
              <w:rPr>
                <w:rFonts w:cs="Arial"/>
                <w:szCs w:val="24"/>
              </w:rPr>
              <w:t>109</w:t>
            </w:r>
          </w:p>
        </w:tc>
        <w:tc>
          <w:tcPr>
            <w:tcW w:w="989" w:type="dxa"/>
            <w:vAlign w:val="bottom"/>
          </w:tcPr>
          <w:p w14:paraId="55D07BA5" w14:textId="77777777" w:rsidR="003A392D" w:rsidRPr="00CA5D6D" w:rsidRDefault="003A392D">
            <w:pPr>
              <w:jc w:val="right"/>
              <w:rPr>
                <w:rFonts w:cs="Arial"/>
                <w:bCs/>
                <w:szCs w:val="24"/>
              </w:rPr>
            </w:pPr>
            <w:r w:rsidRPr="00CB77DE">
              <w:rPr>
                <w:rFonts w:cs="Arial"/>
                <w:szCs w:val="24"/>
              </w:rPr>
              <w:t>99</w:t>
            </w:r>
          </w:p>
        </w:tc>
      </w:tr>
      <w:tr w:rsidR="006C1F15" w:rsidRPr="00911FB1" w14:paraId="5C34AB3F" w14:textId="77777777">
        <w:tc>
          <w:tcPr>
            <w:tcW w:w="3669" w:type="dxa"/>
          </w:tcPr>
          <w:p w14:paraId="20785269" w14:textId="77777777" w:rsidR="003A392D" w:rsidRPr="009D2AF1" w:rsidRDefault="003A392D">
            <w:pPr>
              <w:rPr>
                <w:rFonts w:cs="Arial"/>
                <w:bCs/>
                <w:szCs w:val="24"/>
              </w:rPr>
            </w:pPr>
            <w:r w:rsidRPr="00DB7C12">
              <w:rPr>
                <w:rFonts w:cs="Arial"/>
                <w:bCs/>
                <w:szCs w:val="24"/>
              </w:rPr>
              <w:t>Visual Impairment</w:t>
            </w:r>
          </w:p>
        </w:tc>
        <w:tc>
          <w:tcPr>
            <w:tcW w:w="990" w:type="dxa"/>
            <w:vAlign w:val="bottom"/>
          </w:tcPr>
          <w:p w14:paraId="42FE4DB4" w14:textId="77777777" w:rsidR="003A392D" w:rsidRPr="00CA5D6D" w:rsidRDefault="003A392D">
            <w:pPr>
              <w:jc w:val="right"/>
              <w:rPr>
                <w:rFonts w:cs="Arial"/>
                <w:bCs/>
                <w:szCs w:val="24"/>
              </w:rPr>
            </w:pPr>
            <w:r w:rsidRPr="00CB77DE">
              <w:rPr>
                <w:rFonts w:cs="Arial"/>
                <w:szCs w:val="24"/>
              </w:rPr>
              <w:t>62</w:t>
            </w:r>
          </w:p>
        </w:tc>
        <w:tc>
          <w:tcPr>
            <w:tcW w:w="990" w:type="dxa"/>
            <w:vAlign w:val="bottom"/>
          </w:tcPr>
          <w:p w14:paraId="30F7B7C7" w14:textId="77777777" w:rsidR="003A392D" w:rsidRPr="00CA5D6D" w:rsidRDefault="003A392D">
            <w:pPr>
              <w:jc w:val="right"/>
              <w:rPr>
                <w:rFonts w:cs="Arial"/>
                <w:bCs/>
                <w:szCs w:val="24"/>
              </w:rPr>
            </w:pPr>
            <w:r w:rsidRPr="00CB77DE">
              <w:rPr>
                <w:rFonts w:cs="Arial"/>
                <w:szCs w:val="24"/>
              </w:rPr>
              <w:t>54</w:t>
            </w:r>
          </w:p>
        </w:tc>
        <w:tc>
          <w:tcPr>
            <w:tcW w:w="990" w:type="dxa"/>
            <w:vAlign w:val="bottom"/>
          </w:tcPr>
          <w:p w14:paraId="2A52086A" w14:textId="77777777" w:rsidR="003A392D" w:rsidRPr="00CA5D6D" w:rsidRDefault="003A392D">
            <w:pPr>
              <w:jc w:val="right"/>
              <w:rPr>
                <w:rFonts w:cs="Arial"/>
                <w:bCs/>
                <w:szCs w:val="24"/>
              </w:rPr>
            </w:pPr>
            <w:r w:rsidRPr="00CB77DE">
              <w:rPr>
                <w:rFonts w:cs="Arial"/>
                <w:szCs w:val="24"/>
              </w:rPr>
              <w:t>47</w:t>
            </w:r>
          </w:p>
        </w:tc>
        <w:tc>
          <w:tcPr>
            <w:tcW w:w="992" w:type="dxa"/>
            <w:vAlign w:val="bottom"/>
          </w:tcPr>
          <w:p w14:paraId="28198A0C" w14:textId="77777777" w:rsidR="003A392D" w:rsidRPr="00CA5D6D" w:rsidRDefault="003A392D">
            <w:pPr>
              <w:jc w:val="right"/>
              <w:rPr>
                <w:rFonts w:cs="Arial"/>
                <w:bCs/>
                <w:szCs w:val="24"/>
              </w:rPr>
            </w:pPr>
            <w:r w:rsidRPr="00CB77DE">
              <w:rPr>
                <w:rFonts w:cs="Arial"/>
                <w:szCs w:val="24"/>
              </w:rPr>
              <w:t>50</w:t>
            </w:r>
          </w:p>
        </w:tc>
        <w:tc>
          <w:tcPr>
            <w:tcW w:w="991" w:type="dxa"/>
            <w:vAlign w:val="bottom"/>
          </w:tcPr>
          <w:p w14:paraId="76D1C965" w14:textId="77777777" w:rsidR="003A392D" w:rsidRPr="00CA5D6D" w:rsidRDefault="003A392D">
            <w:pPr>
              <w:jc w:val="right"/>
              <w:rPr>
                <w:rFonts w:cs="Arial"/>
                <w:bCs/>
                <w:szCs w:val="24"/>
              </w:rPr>
            </w:pPr>
            <w:r w:rsidRPr="00CB77DE">
              <w:rPr>
                <w:rFonts w:cs="Arial"/>
                <w:szCs w:val="24"/>
              </w:rPr>
              <w:t>52</w:t>
            </w:r>
          </w:p>
        </w:tc>
        <w:tc>
          <w:tcPr>
            <w:tcW w:w="991" w:type="dxa"/>
            <w:vAlign w:val="bottom"/>
          </w:tcPr>
          <w:p w14:paraId="69281C21" w14:textId="77777777" w:rsidR="003A392D" w:rsidRPr="00CA5D6D" w:rsidRDefault="003A392D">
            <w:pPr>
              <w:jc w:val="right"/>
              <w:rPr>
                <w:rFonts w:cs="Arial"/>
                <w:bCs/>
                <w:szCs w:val="24"/>
              </w:rPr>
            </w:pPr>
            <w:r w:rsidRPr="00CB77DE">
              <w:rPr>
                <w:rFonts w:cs="Arial"/>
                <w:szCs w:val="24"/>
              </w:rPr>
              <w:t>55</w:t>
            </w:r>
          </w:p>
        </w:tc>
        <w:tc>
          <w:tcPr>
            <w:tcW w:w="991" w:type="dxa"/>
            <w:vAlign w:val="bottom"/>
          </w:tcPr>
          <w:p w14:paraId="42CC0251" w14:textId="77777777" w:rsidR="003A392D" w:rsidRPr="00CA5D6D" w:rsidRDefault="003A392D">
            <w:pPr>
              <w:jc w:val="right"/>
              <w:rPr>
                <w:rFonts w:cs="Arial"/>
                <w:bCs/>
                <w:szCs w:val="24"/>
              </w:rPr>
            </w:pPr>
            <w:r w:rsidRPr="00CB77DE">
              <w:rPr>
                <w:rFonts w:cs="Arial"/>
                <w:szCs w:val="24"/>
              </w:rPr>
              <w:t>58</w:t>
            </w:r>
          </w:p>
        </w:tc>
        <w:tc>
          <w:tcPr>
            <w:tcW w:w="989" w:type="dxa"/>
            <w:vAlign w:val="bottom"/>
          </w:tcPr>
          <w:p w14:paraId="2781BF95" w14:textId="77777777" w:rsidR="003A392D" w:rsidRPr="00CA5D6D" w:rsidRDefault="003A392D">
            <w:pPr>
              <w:jc w:val="right"/>
              <w:rPr>
                <w:rFonts w:cs="Arial"/>
                <w:bCs/>
                <w:szCs w:val="24"/>
              </w:rPr>
            </w:pPr>
            <w:r w:rsidRPr="00CB77DE">
              <w:rPr>
                <w:rFonts w:cs="Arial"/>
                <w:szCs w:val="24"/>
              </w:rPr>
              <w:t>66</w:t>
            </w:r>
          </w:p>
        </w:tc>
        <w:tc>
          <w:tcPr>
            <w:tcW w:w="989" w:type="dxa"/>
            <w:vAlign w:val="bottom"/>
          </w:tcPr>
          <w:p w14:paraId="379F8F05" w14:textId="77777777" w:rsidR="003A392D" w:rsidRPr="00CA5D6D" w:rsidRDefault="003A392D">
            <w:pPr>
              <w:jc w:val="right"/>
              <w:rPr>
                <w:rFonts w:cs="Arial"/>
                <w:bCs/>
                <w:szCs w:val="24"/>
              </w:rPr>
            </w:pPr>
            <w:r w:rsidRPr="00CB77DE">
              <w:rPr>
                <w:rFonts w:cs="Arial"/>
                <w:szCs w:val="24"/>
              </w:rPr>
              <w:t>65</w:t>
            </w:r>
          </w:p>
        </w:tc>
        <w:tc>
          <w:tcPr>
            <w:tcW w:w="989" w:type="dxa"/>
            <w:vAlign w:val="bottom"/>
          </w:tcPr>
          <w:p w14:paraId="7F3E8F20" w14:textId="77777777" w:rsidR="003A392D" w:rsidRPr="00CA5D6D" w:rsidRDefault="003A392D">
            <w:pPr>
              <w:jc w:val="right"/>
              <w:rPr>
                <w:rFonts w:cs="Arial"/>
                <w:bCs/>
                <w:szCs w:val="24"/>
              </w:rPr>
            </w:pPr>
            <w:r w:rsidRPr="00CB77DE">
              <w:rPr>
                <w:rFonts w:cs="Arial"/>
                <w:szCs w:val="24"/>
              </w:rPr>
              <w:t>59</w:t>
            </w:r>
          </w:p>
        </w:tc>
        <w:tc>
          <w:tcPr>
            <w:tcW w:w="989" w:type="dxa"/>
            <w:vAlign w:val="bottom"/>
          </w:tcPr>
          <w:p w14:paraId="1E05B670" w14:textId="77777777" w:rsidR="003A392D" w:rsidRPr="00CA5D6D" w:rsidRDefault="003A392D">
            <w:pPr>
              <w:jc w:val="right"/>
              <w:rPr>
                <w:rFonts w:cs="Arial"/>
                <w:bCs/>
                <w:szCs w:val="24"/>
              </w:rPr>
            </w:pPr>
            <w:r w:rsidRPr="00CB77DE">
              <w:rPr>
                <w:rFonts w:cs="Arial"/>
                <w:szCs w:val="24"/>
              </w:rPr>
              <w:t>61</w:t>
            </w:r>
          </w:p>
        </w:tc>
      </w:tr>
      <w:tr w:rsidR="006C1F15" w:rsidRPr="00911FB1" w14:paraId="43F5AAFD" w14:textId="77777777">
        <w:tc>
          <w:tcPr>
            <w:tcW w:w="3669" w:type="dxa"/>
          </w:tcPr>
          <w:p w14:paraId="6B9A7171" w14:textId="77777777" w:rsidR="003A392D" w:rsidRPr="00DB7C12" w:rsidRDefault="003A392D">
            <w:pPr>
              <w:rPr>
                <w:rFonts w:cs="Arial"/>
                <w:bCs/>
                <w:szCs w:val="24"/>
              </w:rPr>
            </w:pPr>
            <w:r w:rsidRPr="00DB7C12">
              <w:rPr>
                <w:rFonts w:cs="Arial"/>
                <w:bCs/>
                <w:szCs w:val="24"/>
              </w:rPr>
              <w:t>Profound &amp; Multiple Learning Difficulty</w:t>
            </w:r>
          </w:p>
        </w:tc>
        <w:tc>
          <w:tcPr>
            <w:tcW w:w="990" w:type="dxa"/>
            <w:vAlign w:val="bottom"/>
          </w:tcPr>
          <w:p w14:paraId="1EFEE8ED" w14:textId="77777777" w:rsidR="003A392D" w:rsidRPr="00CA5D6D" w:rsidRDefault="003A392D">
            <w:pPr>
              <w:jc w:val="right"/>
              <w:rPr>
                <w:rFonts w:cs="Arial"/>
                <w:bCs/>
                <w:szCs w:val="24"/>
              </w:rPr>
            </w:pPr>
            <w:r w:rsidRPr="00CB77DE">
              <w:rPr>
                <w:rFonts w:cs="Arial"/>
                <w:szCs w:val="24"/>
              </w:rPr>
              <w:t>43</w:t>
            </w:r>
          </w:p>
        </w:tc>
        <w:tc>
          <w:tcPr>
            <w:tcW w:w="990" w:type="dxa"/>
            <w:vAlign w:val="bottom"/>
          </w:tcPr>
          <w:p w14:paraId="343A7CBA" w14:textId="77777777" w:rsidR="003A392D" w:rsidRPr="00CA5D6D" w:rsidRDefault="003A392D">
            <w:pPr>
              <w:jc w:val="right"/>
              <w:rPr>
                <w:rFonts w:cs="Arial"/>
                <w:bCs/>
                <w:szCs w:val="24"/>
              </w:rPr>
            </w:pPr>
            <w:r w:rsidRPr="00CB77DE">
              <w:rPr>
                <w:rFonts w:cs="Arial"/>
                <w:szCs w:val="24"/>
              </w:rPr>
              <w:t>45</w:t>
            </w:r>
          </w:p>
        </w:tc>
        <w:tc>
          <w:tcPr>
            <w:tcW w:w="990" w:type="dxa"/>
            <w:vAlign w:val="bottom"/>
          </w:tcPr>
          <w:p w14:paraId="42CFC0FD" w14:textId="77777777" w:rsidR="003A392D" w:rsidRPr="00CA5D6D" w:rsidRDefault="003A392D">
            <w:pPr>
              <w:jc w:val="right"/>
              <w:rPr>
                <w:rFonts w:cs="Arial"/>
                <w:bCs/>
                <w:szCs w:val="24"/>
              </w:rPr>
            </w:pPr>
            <w:r w:rsidRPr="00CB77DE">
              <w:rPr>
                <w:rFonts w:cs="Arial"/>
                <w:szCs w:val="24"/>
              </w:rPr>
              <w:t>44</w:t>
            </w:r>
          </w:p>
        </w:tc>
        <w:tc>
          <w:tcPr>
            <w:tcW w:w="992" w:type="dxa"/>
            <w:vAlign w:val="bottom"/>
          </w:tcPr>
          <w:p w14:paraId="372B8673" w14:textId="77777777" w:rsidR="003A392D" w:rsidRPr="00CA5D6D" w:rsidRDefault="003A392D">
            <w:pPr>
              <w:jc w:val="right"/>
              <w:rPr>
                <w:rFonts w:cs="Arial"/>
                <w:bCs/>
                <w:szCs w:val="24"/>
              </w:rPr>
            </w:pPr>
            <w:r w:rsidRPr="00CB77DE">
              <w:rPr>
                <w:rFonts w:cs="Arial"/>
                <w:szCs w:val="24"/>
              </w:rPr>
              <w:t>44</w:t>
            </w:r>
          </w:p>
        </w:tc>
        <w:tc>
          <w:tcPr>
            <w:tcW w:w="991" w:type="dxa"/>
            <w:vAlign w:val="bottom"/>
          </w:tcPr>
          <w:p w14:paraId="1BD1A9C5" w14:textId="77777777" w:rsidR="003A392D" w:rsidRPr="00CA5D6D" w:rsidRDefault="003A392D">
            <w:pPr>
              <w:jc w:val="right"/>
              <w:rPr>
                <w:rFonts w:cs="Arial"/>
                <w:bCs/>
                <w:szCs w:val="24"/>
              </w:rPr>
            </w:pPr>
            <w:r w:rsidRPr="00CB77DE">
              <w:rPr>
                <w:rFonts w:cs="Arial"/>
                <w:szCs w:val="24"/>
              </w:rPr>
              <w:t>36</w:t>
            </w:r>
          </w:p>
        </w:tc>
        <w:tc>
          <w:tcPr>
            <w:tcW w:w="991" w:type="dxa"/>
            <w:vAlign w:val="bottom"/>
          </w:tcPr>
          <w:p w14:paraId="556AA2B0" w14:textId="77777777" w:rsidR="003A392D" w:rsidRPr="00CA5D6D" w:rsidRDefault="003A392D">
            <w:pPr>
              <w:jc w:val="right"/>
              <w:rPr>
                <w:rFonts w:cs="Arial"/>
                <w:bCs/>
                <w:szCs w:val="24"/>
              </w:rPr>
            </w:pPr>
            <w:r w:rsidRPr="00CB77DE">
              <w:rPr>
                <w:rFonts w:cs="Arial"/>
                <w:szCs w:val="24"/>
              </w:rPr>
              <w:t>39</w:t>
            </w:r>
          </w:p>
        </w:tc>
        <w:tc>
          <w:tcPr>
            <w:tcW w:w="991" w:type="dxa"/>
            <w:vAlign w:val="bottom"/>
          </w:tcPr>
          <w:p w14:paraId="76F015A6" w14:textId="77777777" w:rsidR="003A392D" w:rsidRPr="00CA5D6D" w:rsidRDefault="003A392D">
            <w:pPr>
              <w:jc w:val="right"/>
              <w:rPr>
                <w:rFonts w:cs="Arial"/>
                <w:bCs/>
                <w:szCs w:val="24"/>
              </w:rPr>
            </w:pPr>
            <w:r w:rsidRPr="00CB77DE">
              <w:rPr>
                <w:rFonts w:cs="Arial"/>
                <w:szCs w:val="24"/>
              </w:rPr>
              <w:t>35</w:t>
            </w:r>
          </w:p>
        </w:tc>
        <w:tc>
          <w:tcPr>
            <w:tcW w:w="989" w:type="dxa"/>
            <w:vAlign w:val="bottom"/>
          </w:tcPr>
          <w:p w14:paraId="737B67BB" w14:textId="77777777" w:rsidR="003A392D" w:rsidRPr="00CA5D6D" w:rsidRDefault="003A392D">
            <w:pPr>
              <w:jc w:val="right"/>
              <w:rPr>
                <w:rFonts w:cs="Arial"/>
                <w:bCs/>
                <w:szCs w:val="24"/>
              </w:rPr>
            </w:pPr>
            <w:r w:rsidRPr="00CB77DE">
              <w:rPr>
                <w:rFonts w:cs="Arial"/>
                <w:szCs w:val="24"/>
              </w:rPr>
              <w:t>35</w:t>
            </w:r>
          </w:p>
        </w:tc>
        <w:tc>
          <w:tcPr>
            <w:tcW w:w="989" w:type="dxa"/>
            <w:vAlign w:val="bottom"/>
          </w:tcPr>
          <w:p w14:paraId="60475676" w14:textId="77777777" w:rsidR="003A392D" w:rsidRPr="00CA5D6D" w:rsidRDefault="003A392D">
            <w:pPr>
              <w:jc w:val="right"/>
              <w:rPr>
                <w:rFonts w:cs="Arial"/>
                <w:bCs/>
                <w:szCs w:val="24"/>
              </w:rPr>
            </w:pPr>
            <w:r w:rsidRPr="00CB77DE">
              <w:rPr>
                <w:rFonts w:cs="Arial"/>
                <w:szCs w:val="24"/>
              </w:rPr>
              <w:t>30</w:t>
            </w:r>
          </w:p>
        </w:tc>
        <w:tc>
          <w:tcPr>
            <w:tcW w:w="989" w:type="dxa"/>
            <w:vAlign w:val="bottom"/>
          </w:tcPr>
          <w:p w14:paraId="2BCCCB81" w14:textId="77777777" w:rsidR="003A392D" w:rsidRPr="00CA5D6D" w:rsidRDefault="003A392D">
            <w:pPr>
              <w:jc w:val="right"/>
              <w:rPr>
                <w:rFonts w:cs="Arial"/>
                <w:bCs/>
                <w:szCs w:val="24"/>
              </w:rPr>
            </w:pPr>
            <w:r w:rsidRPr="00CB77DE">
              <w:rPr>
                <w:rFonts w:cs="Arial"/>
                <w:szCs w:val="24"/>
              </w:rPr>
              <w:t>28</w:t>
            </w:r>
          </w:p>
        </w:tc>
        <w:tc>
          <w:tcPr>
            <w:tcW w:w="989" w:type="dxa"/>
            <w:vAlign w:val="bottom"/>
          </w:tcPr>
          <w:p w14:paraId="6AA7D726" w14:textId="77777777" w:rsidR="003A392D" w:rsidRPr="00CA5D6D" w:rsidRDefault="003A392D">
            <w:pPr>
              <w:jc w:val="right"/>
              <w:rPr>
                <w:rFonts w:cs="Arial"/>
                <w:bCs/>
                <w:szCs w:val="24"/>
              </w:rPr>
            </w:pPr>
            <w:r w:rsidRPr="00CB77DE">
              <w:rPr>
                <w:rFonts w:cs="Arial"/>
                <w:szCs w:val="24"/>
              </w:rPr>
              <w:t>22</w:t>
            </w:r>
          </w:p>
        </w:tc>
      </w:tr>
      <w:tr w:rsidR="006C1F15" w:rsidRPr="00911FB1" w14:paraId="179E2142" w14:textId="77777777">
        <w:tc>
          <w:tcPr>
            <w:tcW w:w="3669" w:type="dxa"/>
          </w:tcPr>
          <w:p w14:paraId="42AD921D" w14:textId="77777777" w:rsidR="003A392D" w:rsidRPr="00DB7C12" w:rsidRDefault="003A392D">
            <w:pPr>
              <w:rPr>
                <w:rFonts w:cs="Arial"/>
                <w:bCs/>
                <w:szCs w:val="24"/>
              </w:rPr>
            </w:pPr>
            <w:r w:rsidRPr="00DB7C12">
              <w:rPr>
                <w:rFonts w:cs="Arial"/>
                <w:bCs/>
                <w:szCs w:val="24"/>
              </w:rPr>
              <w:t>Other Difficulty/Disability</w:t>
            </w:r>
          </w:p>
        </w:tc>
        <w:tc>
          <w:tcPr>
            <w:tcW w:w="990" w:type="dxa"/>
            <w:vAlign w:val="bottom"/>
          </w:tcPr>
          <w:p w14:paraId="17CB3316" w14:textId="77777777" w:rsidR="003A392D" w:rsidRPr="00CA5D6D" w:rsidRDefault="003A392D">
            <w:pPr>
              <w:jc w:val="right"/>
              <w:rPr>
                <w:rFonts w:cs="Arial"/>
                <w:bCs/>
                <w:szCs w:val="24"/>
              </w:rPr>
            </w:pPr>
            <w:r w:rsidRPr="00CB77DE">
              <w:rPr>
                <w:rFonts w:cs="Arial"/>
                <w:szCs w:val="24"/>
              </w:rPr>
              <w:t>352</w:t>
            </w:r>
          </w:p>
        </w:tc>
        <w:tc>
          <w:tcPr>
            <w:tcW w:w="990" w:type="dxa"/>
            <w:vAlign w:val="bottom"/>
          </w:tcPr>
          <w:p w14:paraId="69739095" w14:textId="77777777" w:rsidR="003A392D" w:rsidRPr="00CA5D6D" w:rsidRDefault="003A392D">
            <w:pPr>
              <w:jc w:val="right"/>
              <w:rPr>
                <w:rFonts w:cs="Arial"/>
                <w:bCs/>
                <w:szCs w:val="24"/>
              </w:rPr>
            </w:pPr>
            <w:r w:rsidRPr="00CB77DE">
              <w:rPr>
                <w:rFonts w:cs="Arial"/>
                <w:szCs w:val="24"/>
              </w:rPr>
              <w:t>220</w:t>
            </w:r>
          </w:p>
        </w:tc>
        <w:tc>
          <w:tcPr>
            <w:tcW w:w="990" w:type="dxa"/>
            <w:vAlign w:val="bottom"/>
          </w:tcPr>
          <w:p w14:paraId="117E89CF" w14:textId="77777777" w:rsidR="003A392D" w:rsidRPr="00CA5D6D" w:rsidRDefault="003A392D">
            <w:pPr>
              <w:jc w:val="right"/>
              <w:rPr>
                <w:rFonts w:cs="Arial"/>
                <w:bCs/>
                <w:szCs w:val="24"/>
              </w:rPr>
            </w:pPr>
            <w:r w:rsidRPr="00CB77DE">
              <w:rPr>
                <w:rFonts w:cs="Arial"/>
                <w:szCs w:val="24"/>
              </w:rPr>
              <w:t>311</w:t>
            </w:r>
          </w:p>
        </w:tc>
        <w:tc>
          <w:tcPr>
            <w:tcW w:w="992" w:type="dxa"/>
            <w:shd w:val="clear" w:color="000000" w:fill="FFFFFF"/>
            <w:vAlign w:val="bottom"/>
          </w:tcPr>
          <w:p w14:paraId="3E799055" w14:textId="77777777" w:rsidR="003A392D" w:rsidRPr="00CA5D6D" w:rsidRDefault="003A392D">
            <w:pPr>
              <w:jc w:val="right"/>
              <w:rPr>
                <w:rFonts w:cs="Arial"/>
                <w:bCs/>
                <w:szCs w:val="24"/>
              </w:rPr>
            </w:pPr>
            <w:r w:rsidRPr="00CB77DE">
              <w:rPr>
                <w:rFonts w:cs="Arial"/>
                <w:szCs w:val="24"/>
              </w:rPr>
              <w:t>254</w:t>
            </w:r>
          </w:p>
        </w:tc>
        <w:tc>
          <w:tcPr>
            <w:tcW w:w="991" w:type="dxa"/>
            <w:shd w:val="clear" w:color="000000" w:fill="FFFFFF"/>
            <w:vAlign w:val="bottom"/>
          </w:tcPr>
          <w:p w14:paraId="58A2E751" w14:textId="77777777" w:rsidR="003A392D" w:rsidRPr="00CA5D6D" w:rsidRDefault="003A392D">
            <w:pPr>
              <w:jc w:val="right"/>
              <w:rPr>
                <w:rFonts w:cs="Arial"/>
                <w:bCs/>
                <w:szCs w:val="24"/>
              </w:rPr>
            </w:pPr>
            <w:r w:rsidRPr="00CB77DE">
              <w:rPr>
                <w:rFonts w:cs="Arial"/>
                <w:szCs w:val="24"/>
              </w:rPr>
              <w:t>82</w:t>
            </w:r>
          </w:p>
        </w:tc>
        <w:tc>
          <w:tcPr>
            <w:tcW w:w="991" w:type="dxa"/>
            <w:shd w:val="clear" w:color="000000" w:fill="FFFFFF"/>
            <w:vAlign w:val="bottom"/>
          </w:tcPr>
          <w:p w14:paraId="7C90F17A" w14:textId="77777777" w:rsidR="003A392D" w:rsidRPr="00CA5D6D" w:rsidRDefault="003A392D">
            <w:pPr>
              <w:jc w:val="right"/>
              <w:rPr>
                <w:rFonts w:cs="Arial"/>
                <w:bCs/>
                <w:szCs w:val="24"/>
              </w:rPr>
            </w:pPr>
            <w:r w:rsidRPr="00CB77DE">
              <w:rPr>
                <w:rFonts w:cs="Arial"/>
                <w:szCs w:val="24"/>
              </w:rPr>
              <w:t>47</w:t>
            </w:r>
          </w:p>
        </w:tc>
        <w:tc>
          <w:tcPr>
            <w:tcW w:w="991" w:type="dxa"/>
            <w:shd w:val="clear" w:color="000000" w:fill="FFFFFF"/>
            <w:vAlign w:val="bottom"/>
          </w:tcPr>
          <w:p w14:paraId="5F8CDA77" w14:textId="77777777" w:rsidR="003A392D" w:rsidRPr="00CA5D6D" w:rsidRDefault="003A392D">
            <w:pPr>
              <w:jc w:val="right"/>
              <w:rPr>
                <w:rFonts w:cs="Arial"/>
                <w:bCs/>
                <w:szCs w:val="24"/>
              </w:rPr>
            </w:pPr>
            <w:r w:rsidRPr="00CB77DE">
              <w:rPr>
                <w:rFonts w:cs="Arial"/>
                <w:szCs w:val="24"/>
              </w:rPr>
              <w:t>35</w:t>
            </w:r>
          </w:p>
        </w:tc>
        <w:tc>
          <w:tcPr>
            <w:tcW w:w="989" w:type="dxa"/>
            <w:shd w:val="clear" w:color="000000" w:fill="FFFFFF"/>
            <w:vAlign w:val="bottom"/>
          </w:tcPr>
          <w:p w14:paraId="39A5FEE4" w14:textId="77777777" w:rsidR="003A392D" w:rsidRPr="00CA5D6D" w:rsidRDefault="003A392D">
            <w:pPr>
              <w:jc w:val="right"/>
              <w:rPr>
                <w:rFonts w:cs="Arial"/>
                <w:bCs/>
                <w:szCs w:val="24"/>
              </w:rPr>
            </w:pPr>
            <w:r w:rsidRPr="00CB77DE">
              <w:rPr>
                <w:rFonts w:cs="Arial"/>
                <w:szCs w:val="24"/>
              </w:rPr>
              <w:t>22</w:t>
            </w:r>
          </w:p>
        </w:tc>
        <w:tc>
          <w:tcPr>
            <w:tcW w:w="989" w:type="dxa"/>
            <w:shd w:val="clear" w:color="000000" w:fill="FFFFFF"/>
            <w:vAlign w:val="bottom"/>
          </w:tcPr>
          <w:p w14:paraId="30304DBE" w14:textId="77777777" w:rsidR="003A392D" w:rsidRPr="00CA5D6D" w:rsidRDefault="003A392D">
            <w:pPr>
              <w:jc w:val="right"/>
              <w:rPr>
                <w:rFonts w:cs="Arial"/>
                <w:bCs/>
                <w:szCs w:val="24"/>
              </w:rPr>
            </w:pPr>
            <w:r w:rsidRPr="00CB77DE">
              <w:rPr>
                <w:rFonts w:cs="Arial"/>
                <w:szCs w:val="24"/>
              </w:rPr>
              <w:t>19</w:t>
            </w:r>
          </w:p>
        </w:tc>
        <w:tc>
          <w:tcPr>
            <w:tcW w:w="989" w:type="dxa"/>
            <w:shd w:val="clear" w:color="000000" w:fill="FFFFFF"/>
            <w:vAlign w:val="bottom"/>
          </w:tcPr>
          <w:p w14:paraId="48232E7E" w14:textId="77777777" w:rsidR="003A392D" w:rsidRPr="00CA5D6D" w:rsidRDefault="003A392D">
            <w:pPr>
              <w:jc w:val="right"/>
              <w:rPr>
                <w:rFonts w:cs="Arial"/>
                <w:bCs/>
                <w:szCs w:val="24"/>
              </w:rPr>
            </w:pPr>
            <w:r w:rsidRPr="00CB77DE">
              <w:rPr>
                <w:rFonts w:cs="Arial"/>
                <w:szCs w:val="24"/>
              </w:rPr>
              <w:t>16</w:t>
            </w:r>
          </w:p>
        </w:tc>
        <w:tc>
          <w:tcPr>
            <w:tcW w:w="989" w:type="dxa"/>
            <w:shd w:val="clear" w:color="000000" w:fill="FFFFFF"/>
            <w:vAlign w:val="bottom"/>
          </w:tcPr>
          <w:p w14:paraId="08BB61A8" w14:textId="77777777" w:rsidR="003A392D" w:rsidRPr="00CA5D6D" w:rsidRDefault="003A392D">
            <w:pPr>
              <w:jc w:val="right"/>
              <w:rPr>
                <w:rFonts w:cs="Arial"/>
                <w:bCs/>
                <w:szCs w:val="24"/>
              </w:rPr>
            </w:pPr>
            <w:r w:rsidRPr="00CB77DE">
              <w:rPr>
                <w:rFonts w:cs="Arial"/>
                <w:szCs w:val="24"/>
              </w:rPr>
              <w:t>21</w:t>
            </w:r>
          </w:p>
        </w:tc>
      </w:tr>
      <w:tr w:rsidR="006C1F15" w:rsidRPr="00911FB1" w14:paraId="76548A20" w14:textId="77777777">
        <w:tc>
          <w:tcPr>
            <w:tcW w:w="3669" w:type="dxa"/>
          </w:tcPr>
          <w:p w14:paraId="286E8F6F" w14:textId="77777777" w:rsidR="003A392D" w:rsidRPr="00DB7C12" w:rsidRDefault="003A392D">
            <w:pPr>
              <w:rPr>
                <w:rFonts w:cs="Arial"/>
                <w:bCs/>
                <w:szCs w:val="24"/>
              </w:rPr>
            </w:pPr>
            <w:r w:rsidRPr="00DB7C12">
              <w:rPr>
                <w:rFonts w:cs="Arial"/>
                <w:bCs/>
                <w:szCs w:val="24"/>
              </w:rPr>
              <w:t>Multi-Sensory Impairment</w:t>
            </w:r>
          </w:p>
        </w:tc>
        <w:tc>
          <w:tcPr>
            <w:tcW w:w="990" w:type="dxa"/>
            <w:vAlign w:val="bottom"/>
          </w:tcPr>
          <w:p w14:paraId="3481607A" w14:textId="77777777" w:rsidR="003A392D" w:rsidRPr="00CA5D6D" w:rsidRDefault="003A392D">
            <w:pPr>
              <w:jc w:val="right"/>
              <w:rPr>
                <w:rFonts w:cs="Arial"/>
                <w:bCs/>
                <w:szCs w:val="24"/>
              </w:rPr>
            </w:pPr>
            <w:r w:rsidRPr="00620D66">
              <w:rPr>
                <w:rFonts w:cs="Arial"/>
                <w:bCs/>
                <w:szCs w:val="24"/>
              </w:rPr>
              <w:t>*</w:t>
            </w:r>
          </w:p>
        </w:tc>
        <w:tc>
          <w:tcPr>
            <w:tcW w:w="990" w:type="dxa"/>
            <w:vAlign w:val="bottom"/>
          </w:tcPr>
          <w:p w14:paraId="625F0947" w14:textId="77777777" w:rsidR="003A392D" w:rsidRPr="00CA5D6D" w:rsidRDefault="003A392D">
            <w:pPr>
              <w:jc w:val="right"/>
              <w:rPr>
                <w:rFonts w:cs="Arial"/>
                <w:bCs/>
                <w:szCs w:val="24"/>
              </w:rPr>
            </w:pPr>
            <w:r w:rsidRPr="00CB77DE">
              <w:rPr>
                <w:rFonts w:cs="Arial"/>
                <w:szCs w:val="24"/>
              </w:rPr>
              <w:t>7</w:t>
            </w:r>
          </w:p>
        </w:tc>
        <w:tc>
          <w:tcPr>
            <w:tcW w:w="990" w:type="dxa"/>
            <w:vAlign w:val="bottom"/>
          </w:tcPr>
          <w:p w14:paraId="72F3C447" w14:textId="77777777" w:rsidR="003A392D" w:rsidRPr="00CA5D6D" w:rsidRDefault="003A392D">
            <w:pPr>
              <w:jc w:val="right"/>
              <w:rPr>
                <w:rFonts w:cs="Arial"/>
                <w:bCs/>
                <w:szCs w:val="24"/>
              </w:rPr>
            </w:pPr>
            <w:r w:rsidRPr="00CB77DE">
              <w:rPr>
                <w:rFonts w:cs="Arial"/>
                <w:szCs w:val="24"/>
              </w:rPr>
              <w:t>10</w:t>
            </w:r>
          </w:p>
        </w:tc>
        <w:tc>
          <w:tcPr>
            <w:tcW w:w="992" w:type="dxa"/>
            <w:shd w:val="clear" w:color="000000" w:fill="FFFFFF"/>
            <w:vAlign w:val="bottom"/>
          </w:tcPr>
          <w:p w14:paraId="0CBDCFAF" w14:textId="77777777" w:rsidR="003A392D" w:rsidRPr="00CA5D6D" w:rsidRDefault="003A392D">
            <w:pPr>
              <w:jc w:val="right"/>
              <w:rPr>
                <w:rFonts w:cs="Arial"/>
                <w:bCs/>
                <w:szCs w:val="24"/>
              </w:rPr>
            </w:pPr>
            <w:r w:rsidRPr="00CB77DE">
              <w:rPr>
                <w:rFonts w:cs="Arial"/>
                <w:szCs w:val="24"/>
              </w:rPr>
              <w:t>15</w:t>
            </w:r>
          </w:p>
        </w:tc>
        <w:tc>
          <w:tcPr>
            <w:tcW w:w="991" w:type="dxa"/>
            <w:shd w:val="clear" w:color="000000" w:fill="FFFFFF"/>
            <w:vAlign w:val="bottom"/>
          </w:tcPr>
          <w:p w14:paraId="68D511A9" w14:textId="77777777" w:rsidR="003A392D" w:rsidRPr="00CA5D6D" w:rsidRDefault="003A392D">
            <w:pPr>
              <w:jc w:val="right"/>
              <w:rPr>
                <w:rFonts w:cs="Arial"/>
                <w:bCs/>
                <w:szCs w:val="24"/>
              </w:rPr>
            </w:pPr>
            <w:r w:rsidRPr="00CB77DE">
              <w:rPr>
                <w:rFonts w:cs="Arial"/>
                <w:szCs w:val="24"/>
              </w:rPr>
              <w:t>17</w:t>
            </w:r>
          </w:p>
        </w:tc>
        <w:tc>
          <w:tcPr>
            <w:tcW w:w="991" w:type="dxa"/>
            <w:shd w:val="clear" w:color="000000" w:fill="FFFFFF"/>
            <w:vAlign w:val="bottom"/>
          </w:tcPr>
          <w:p w14:paraId="51137D39" w14:textId="77777777" w:rsidR="003A392D" w:rsidRPr="00CA5D6D" w:rsidRDefault="003A392D">
            <w:pPr>
              <w:jc w:val="right"/>
              <w:rPr>
                <w:rFonts w:cs="Arial"/>
                <w:bCs/>
                <w:szCs w:val="24"/>
              </w:rPr>
            </w:pPr>
            <w:r w:rsidRPr="00CB77DE">
              <w:rPr>
                <w:rFonts w:cs="Arial"/>
                <w:szCs w:val="24"/>
              </w:rPr>
              <w:t>23</w:t>
            </w:r>
          </w:p>
        </w:tc>
        <w:tc>
          <w:tcPr>
            <w:tcW w:w="991" w:type="dxa"/>
            <w:shd w:val="clear" w:color="000000" w:fill="FFFFFF"/>
            <w:vAlign w:val="bottom"/>
          </w:tcPr>
          <w:p w14:paraId="73B7E512" w14:textId="77777777" w:rsidR="003A392D" w:rsidRPr="00CA5D6D" w:rsidRDefault="003A392D">
            <w:pPr>
              <w:jc w:val="right"/>
              <w:rPr>
                <w:rFonts w:cs="Arial"/>
                <w:bCs/>
                <w:szCs w:val="24"/>
              </w:rPr>
            </w:pPr>
            <w:r w:rsidRPr="00CB77DE">
              <w:rPr>
                <w:rFonts w:cs="Arial"/>
                <w:szCs w:val="24"/>
              </w:rPr>
              <w:t>21</w:t>
            </w:r>
          </w:p>
        </w:tc>
        <w:tc>
          <w:tcPr>
            <w:tcW w:w="989" w:type="dxa"/>
            <w:shd w:val="clear" w:color="000000" w:fill="FFFFFF"/>
            <w:vAlign w:val="bottom"/>
          </w:tcPr>
          <w:p w14:paraId="70DBDCEC" w14:textId="77777777" w:rsidR="003A392D" w:rsidRPr="00CA5D6D" w:rsidRDefault="003A392D">
            <w:pPr>
              <w:jc w:val="right"/>
              <w:rPr>
                <w:rFonts w:cs="Arial"/>
                <w:bCs/>
                <w:szCs w:val="24"/>
              </w:rPr>
            </w:pPr>
            <w:r w:rsidRPr="00CB77DE">
              <w:rPr>
                <w:rFonts w:cs="Arial"/>
                <w:szCs w:val="24"/>
              </w:rPr>
              <w:t>30</w:t>
            </w:r>
          </w:p>
        </w:tc>
        <w:tc>
          <w:tcPr>
            <w:tcW w:w="989" w:type="dxa"/>
            <w:shd w:val="clear" w:color="000000" w:fill="FFFFFF"/>
            <w:vAlign w:val="bottom"/>
          </w:tcPr>
          <w:p w14:paraId="3DB72D77" w14:textId="77777777" w:rsidR="003A392D" w:rsidRPr="00CA5D6D" w:rsidRDefault="003A392D">
            <w:pPr>
              <w:jc w:val="right"/>
              <w:rPr>
                <w:rFonts w:cs="Arial"/>
                <w:bCs/>
                <w:szCs w:val="24"/>
              </w:rPr>
            </w:pPr>
            <w:r w:rsidRPr="00CB77DE">
              <w:rPr>
                <w:rFonts w:cs="Arial"/>
                <w:szCs w:val="24"/>
              </w:rPr>
              <w:t>27</w:t>
            </w:r>
          </w:p>
        </w:tc>
        <w:tc>
          <w:tcPr>
            <w:tcW w:w="989" w:type="dxa"/>
            <w:shd w:val="clear" w:color="000000" w:fill="FFFFFF"/>
            <w:vAlign w:val="bottom"/>
          </w:tcPr>
          <w:p w14:paraId="3757FF14" w14:textId="77777777" w:rsidR="003A392D" w:rsidRPr="00CA5D6D" w:rsidRDefault="003A392D">
            <w:pPr>
              <w:jc w:val="right"/>
              <w:rPr>
                <w:rFonts w:cs="Arial"/>
                <w:bCs/>
                <w:szCs w:val="24"/>
              </w:rPr>
            </w:pPr>
            <w:r w:rsidRPr="00CB77DE">
              <w:rPr>
                <w:rFonts w:cs="Arial"/>
                <w:szCs w:val="24"/>
              </w:rPr>
              <w:t>24</w:t>
            </w:r>
          </w:p>
        </w:tc>
        <w:tc>
          <w:tcPr>
            <w:tcW w:w="989" w:type="dxa"/>
            <w:shd w:val="clear" w:color="000000" w:fill="FFFFFF"/>
            <w:vAlign w:val="bottom"/>
          </w:tcPr>
          <w:p w14:paraId="45E17BBB" w14:textId="77777777" w:rsidR="003A392D" w:rsidRPr="00CA5D6D" w:rsidRDefault="003A392D">
            <w:pPr>
              <w:jc w:val="right"/>
              <w:rPr>
                <w:rFonts w:cs="Arial"/>
                <w:bCs/>
                <w:szCs w:val="24"/>
              </w:rPr>
            </w:pPr>
            <w:r w:rsidRPr="00CB77DE">
              <w:rPr>
                <w:rFonts w:cs="Arial"/>
                <w:szCs w:val="24"/>
              </w:rPr>
              <w:t>17</w:t>
            </w:r>
          </w:p>
        </w:tc>
      </w:tr>
      <w:tr w:rsidR="006C1F15" w:rsidRPr="00911FB1" w14:paraId="27A9F63E" w14:textId="77777777">
        <w:tc>
          <w:tcPr>
            <w:tcW w:w="3669" w:type="dxa"/>
          </w:tcPr>
          <w:p w14:paraId="2443DB9F" w14:textId="77777777" w:rsidR="003A392D" w:rsidRPr="00DB7C12" w:rsidRDefault="003A392D">
            <w:pPr>
              <w:rPr>
                <w:rFonts w:cs="Arial"/>
                <w:bCs/>
                <w:szCs w:val="24"/>
              </w:rPr>
            </w:pPr>
            <w:r w:rsidRPr="00DB7C12">
              <w:rPr>
                <w:rFonts w:cs="Arial"/>
                <w:bCs/>
                <w:szCs w:val="24"/>
              </w:rPr>
              <w:t>Down Syndrome (New 2025)</w:t>
            </w:r>
          </w:p>
        </w:tc>
        <w:tc>
          <w:tcPr>
            <w:tcW w:w="990" w:type="dxa"/>
            <w:shd w:val="clear" w:color="000000" w:fill="D9D9D9"/>
            <w:vAlign w:val="bottom"/>
          </w:tcPr>
          <w:p w14:paraId="5A4D2F1D" w14:textId="77777777" w:rsidR="003A392D" w:rsidRPr="00576F79" w:rsidRDefault="003A392D">
            <w:pPr>
              <w:jc w:val="right"/>
              <w:rPr>
                <w:rFonts w:cs="Arial"/>
                <w:bCs/>
                <w:szCs w:val="24"/>
              </w:rPr>
            </w:pPr>
            <w:r w:rsidRPr="00CB77DE">
              <w:rPr>
                <w:rFonts w:cs="Arial"/>
                <w:szCs w:val="24"/>
              </w:rPr>
              <w:t> </w:t>
            </w:r>
          </w:p>
        </w:tc>
        <w:tc>
          <w:tcPr>
            <w:tcW w:w="990" w:type="dxa"/>
            <w:shd w:val="clear" w:color="000000" w:fill="D9D9D9"/>
            <w:vAlign w:val="bottom"/>
          </w:tcPr>
          <w:p w14:paraId="5E1548E5" w14:textId="77777777" w:rsidR="003A392D" w:rsidRPr="00576F79" w:rsidRDefault="003A392D">
            <w:pPr>
              <w:jc w:val="right"/>
              <w:rPr>
                <w:rFonts w:cs="Arial"/>
                <w:bCs/>
                <w:szCs w:val="24"/>
              </w:rPr>
            </w:pPr>
            <w:r w:rsidRPr="00CB77DE">
              <w:rPr>
                <w:rFonts w:cs="Arial"/>
                <w:szCs w:val="24"/>
              </w:rPr>
              <w:t> </w:t>
            </w:r>
          </w:p>
        </w:tc>
        <w:tc>
          <w:tcPr>
            <w:tcW w:w="990" w:type="dxa"/>
            <w:shd w:val="clear" w:color="000000" w:fill="D9D9D9"/>
            <w:vAlign w:val="bottom"/>
          </w:tcPr>
          <w:p w14:paraId="719A5F77" w14:textId="77777777" w:rsidR="003A392D" w:rsidRPr="00576F79" w:rsidRDefault="003A392D">
            <w:pPr>
              <w:jc w:val="right"/>
              <w:rPr>
                <w:rFonts w:cs="Arial"/>
                <w:bCs/>
                <w:szCs w:val="24"/>
              </w:rPr>
            </w:pPr>
            <w:r w:rsidRPr="00CB77DE">
              <w:rPr>
                <w:rFonts w:cs="Arial"/>
                <w:szCs w:val="24"/>
              </w:rPr>
              <w:t> </w:t>
            </w:r>
          </w:p>
        </w:tc>
        <w:tc>
          <w:tcPr>
            <w:tcW w:w="992" w:type="dxa"/>
            <w:shd w:val="clear" w:color="000000" w:fill="D9D9D9"/>
            <w:vAlign w:val="bottom"/>
          </w:tcPr>
          <w:p w14:paraId="4A4D561C" w14:textId="77777777" w:rsidR="003A392D" w:rsidRPr="00576F79" w:rsidRDefault="003A392D">
            <w:pPr>
              <w:jc w:val="right"/>
              <w:rPr>
                <w:rFonts w:cs="Arial"/>
                <w:bCs/>
                <w:szCs w:val="24"/>
              </w:rPr>
            </w:pPr>
            <w:r w:rsidRPr="00CB77DE">
              <w:rPr>
                <w:rFonts w:cs="Arial"/>
                <w:szCs w:val="24"/>
              </w:rPr>
              <w:t> </w:t>
            </w:r>
          </w:p>
        </w:tc>
        <w:tc>
          <w:tcPr>
            <w:tcW w:w="991" w:type="dxa"/>
            <w:shd w:val="clear" w:color="000000" w:fill="D9D9D9"/>
            <w:vAlign w:val="bottom"/>
          </w:tcPr>
          <w:p w14:paraId="13ED5002" w14:textId="77777777" w:rsidR="003A392D" w:rsidRPr="00576F79" w:rsidRDefault="003A392D">
            <w:pPr>
              <w:jc w:val="right"/>
              <w:rPr>
                <w:rFonts w:cs="Arial"/>
                <w:bCs/>
                <w:szCs w:val="24"/>
              </w:rPr>
            </w:pPr>
            <w:r w:rsidRPr="00CB77DE">
              <w:rPr>
                <w:rFonts w:cs="Arial"/>
                <w:szCs w:val="24"/>
              </w:rPr>
              <w:t> </w:t>
            </w:r>
          </w:p>
        </w:tc>
        <w:tc>
          <w:tcPr>
            <w:tcW w:w="991" w:type="dxa"/>
            <w:shd w:val="clear" w:color="000000" w:fill="D9D9D9"/>
            <w:vAlign w:val="bottom"/>
          </w:tcPr>
          <w:p w14:paraId="12231C6B" w14:textId="77777777" w:rsidR="003A392D" w:rsidRPr="00576F79" w:rsidRDefault="003A392D">
            <w:pPr>
              <w:jc w:val="right"/>
              <w:rPr>
                <w:rFonts w:cs="Arial"/>
                <w:bCs/>
                <w:szCs w:val="24"/>
              </w:rPr>
            </w:pPr>
            <w:r w:rsidRPr="00CB77DE">
              <w:rPr>
                <w:rFonts w:cs="Arial"/>
                <w:szCs w:val="24"/>
              </w:rPr>
              <w:t> </w:t>
            </w:r>
          </w:p>
        </w:tc>
        <w:tc>
          <w:tcPr>
            <w:tcW w:w="991" w:type="dxa"/>
            <w:shd w:val="clear" w:color="000000" w:fill="D9D9D9"/>
            <w:vAlign w:val="bottom"/>
          </w:tcPr>
          <w:p w14:paraId="6805F77B" w14:textId="77777777" w:rsidR="003A392D" w:rsidRPr="00576F79" w:rsidRDefault="003A392D">
            <w:pPr>
              <w:jc w:val="right"/>
              <w:rPr>
                <w:rFonts w:cs="Arial"/>
                <w:bCs/>
                <w:szCs w:val="24"/>
              </w:rPr>
            </w:pPr>
            <w:r w:rsidRPr="00CB77DE">
              <w:rPr>
                <w:rFonts w:cs="Arial"/>
                <w:szCs w:val="24"/>
              </w:rPr>
              <w:t> </w:t>
            </w:r>
          </w:p>
        </w:tc>
        <w:tc>
          <w:tcPr>
            <w:tcW w:w="989" w:type="dxa"/>
            <w:shd w:val="clear" w:color="000000" w:fill="D9D9D9"/>
            <w:vAlign w:val="bottom"/>
          </w:tcPr>
          <w:p w14:paraId="47F415E1" w14:textId="77777777" w:rsidR="003A392D" w:rsidRPr="00576F79" w:rsidRDefault="003A392D">
            <w:pPr>
              <w:jc w:val="right"/>
              <w:rPr>
                <w:rFonts w:cs="Arial"/>
                <w:bCs/>
                <w:szCs w:val="24"/>
              </w:rPr>
            </w:pPr>
            <w:r w:rsidRPr="00CB77DE">
              <w:rPr>
                <w:rFonts w:cs="Arial"/>
                <w:szCs w:val="24"/>
              </w:rPr>
              <w:t> </w:t>
            </w:r>
          </w:p>
        </w:tc>
        <w:tc>
          <w:tcPr>
            <w:tcW w:w="989" w:type="dxa"/>
            <w:shd w:val="clear" w:color="000000" w:fill="D9D9D9"/>
            <w:vAlign w:val="bottom"/>
          </w:tcPr>
          <w:p w14:paraId="79F83DAA" w14:textId="77777777" w:rsidR="003A392D" w:rsidRPr="00576F79" w:rsidRDefault="003A392D">
            <w:pPr>
              <w:jc w:val="right"/>
              <w:rPr>
                <w:rFonts w:cs="Arial"/>
                <w:bCs/>
                <w:szCs w:val="24"/>
              </w:rPr>
            </w:pPr>
            <w:r w:rsidRPr="00CB77DE">
              <w:rPr>
                <w:rFonts w:cs="Arial"/>
                <w:szCs w:val="24"/>
              </w:rPr>
              <w:t> </w:t>
            </w:r>
          </w:p>
        </w:tc>
        <w:tc>
          <w:tcPr>
            <w:tcW w:w="989" w:type="dxa"/>
            <w:shd w:val="clear" w:color="000000" w:fill="D9D9D9"/>
            <w:vAlign w:val="bottom"/>
          </w:tcPr>
          <w:p w14:paraId="4362964C" w14:textId="77777777" w:rsidR="003A392D" w:rsidRPr="00576F79" w:rsidRDefault="003A392D">
            <w:pPr>
              <w:jc w:val="right"/>
              <w:rPr>
                <w:rFonts w:cs="Arial"/>
                <w:bCs/>
                <w:szCs w:val="24"/>
              </w:rPr>
            </w:pPr>
            <w:r w:rsidRPr="00CB77DE">
              <w:rPr>
                <w:rFonts w:cs="Arial"/>
                <w:szCs w:val="24"/>
              </w:rPr>
              <w:t> </w:t>
            </w:r>
          </w:p>
        </w:tc>
        <w:tc>
          <w:tcPr>
            <w:tcW w:w="989" w:type="dxa"/>
            <w:vAlign w:val="bottom"/>
          </w:tcPr>
          <w:p w14:paraId="382CBF0C" w14:textId="77777777" w:rsidR="003A392D" w:rsidRPr="00CA5D6D" w:rsidRDefault="003A392D">
            <w:pPr>
              <w:jc w:val="right"/>
              <w:rPr>
                <w:rFonts w:cs="Arial"/>
                <w:bCs/>
                <w:szCs w:val="24"/>
              </w:rPr>
            </w:pPr>
            <w:r w:rsidRPr="00CB77DE">
              <w:rPr>
                <w:rFonts w:cs="Arial"/>
                <w:szCs w:val="24"/>
              </w:rPr>
              <w:t>10</w:t>
            </w:r>
          </w:p>
        </w:tc>
      </w:tr>
      <w:tr w:rsidR="006C1F15" w:rsidRPr="00911FB1" w14:paraId="7008C007" w14:textId="77777777">
        <w:tc>
          <w:tcPr>
            <w:tcW w:w="3669" w:type="dxa"/>
          </w:tcPr>
          <w:p w14:paraId="3E587BEB" w14:textId="77777777" w:rsidR="003A392D" w:rsidRPr="00DB7C12" w:rsidRDefault="003A392D">
            <w:pPr>
              <w:rPr>
                <w:rFonts w:cs="Arial"/>
                <w:bCs/>
                <w:szCs w:val="24"/>
              </w:rPr>
            </w:pPr>
            <w:r w:rsidRPr="00DB7C12">
              <w:rPr>
                <w:rFonts w:cs="Arial"/>
                <w:bCs/>
                <w:szCs w:val="24"/>
              </w:rPr>
              <w:t>No special assessment of need</w:t>
            </w:r>
          </w:p>
        </w:tc>
        <w:tc>
          <w:tcPr>
            <w:tcW w:w="990" w:type="dxa"/>
            <w:vAlign w:val="bottom"/>
          </w:tcPr>
          <w:p w14:paraId="6396C694" w14:textId="77777777" w:rsidR="003A392D" w:rsidRPr="00CA5D6D" w:rsidRDefault="003A392D">
            <w:pPr>
              <w:jc w:val="right"/>
              <w:rPr>
                <w:rFonts w:cs="Arial"/>
                <w:bCs/>
                <w:szCs w:val="24"/>
              </w:rPr>
            </w:pPr>
            <w:r w:rsidRPr="00CB77DE">
              <w:rPr>
                <w:rFonts w:cs="Arial"/>
                <w:szCs w:val="24"/>
              </w:rPr>
              <w:t>365</w:t>
            </w:r>
          </w:p>
        </w:tc>
        <w:tc>
          <w:tcPr>
            <w:tcW w:w="990" w:type="dxa"/>
            <w:vAlign w:val="bottom"/>
          </w:tcPr>
          <w:p w14:paraId="2A4CFE4C" w14:textId="77777777" w:rsidR="003A392D" w:rsidRPr="00CA5D6D" w:rsidRDefault="003A392D">
            <w:pPr>
              <w:jc w:val="right"/>
              <w:rPr>
                <w:rFonts w:cs="Arial"/>
                <w:bCs/>
                <w:szCs w:val="24"/>
              </w:rPr>
            </w:pPr>
            <w:r w:rsidRPr="00CB77DE">
              <w:rPr>
                <w:rFonts w:cs="Arial"/>
                <w:szCs w:val="24"/>
              </w:rPr>
              <w:t>266</w:t>
            </w:r>
          </w:p>
        </w:tc>
        <w:tc>
          <w:tcPr>
            <w:tcW w:w="990" w:type="dxa"/>
            <w:vAlign w:val="bottom"/>
          </w:tcPr>
          <w:p w14:paraId="66C47DFA" w14:textId="77777777" w:rsidR="003A392D" w:rsidRPr="00CA5D6D" w:rsidRDefault="003A392D">
            <w:pPr>
              <w:jc w:val="right"/>
              <w:rPr>
                <w:rFonts w:cs="Arial"/>
                <w:bCs/>
                <w:szCs w:val="24"/>
              </w:rPr>
            </w:pPr>
            <w:r w:rsidRPr="00CB77DE">
              <w:rPr>
                <w:rFonts w:cs="Arial"/>
                <w:szCs w:val="24"/>
              </w:rPr>
              <w:t>161</w:t>
            </w:r>
          </w:p>
        </w:tc>
        <w:tc>
          <w:tcPr>
            <w:tcW w:w="992" w:type="dxa"/>
            <w:shd w:val="clear" w:color="000000" w:fill="FFFFFF"/>
            <w:vAlign w:val="bottom"/>
          </w:tcPr>
          <w:p w14:paraId="1B21CDE4" w14:textId="77777777" w:rsidR="003A392D" w:rsidRPr="00CA5D6D" w:rsidRDefault="003A392D">
            <w:pPr>
              <w:jc w:val="right"/>
              <w:rPr>
                <w:rFonts w:cs="Arial"/>
                <w:bCs/>
                <w:szCs w:val="24"/>
              </w:rPr>
            </w:pPr>
            <w:r w:rsidRPr="00CB77DE">
              <w:rPr>
                <w:rFonts w:cs="Arial"/>
                <w:szCs w:val="24"/>
              </w:rPr>
              <w:t>94</w:t>
            </w:r>
          </w:p>
        </w:tc>
        <w:tc>
          <w:tcPr>
            <w:tcW w:w="991" w:type="dxa"/>
            <w:shd w:val="clear" w:color="000000" w:fill="FFFFFF"/>
            <w:vAlign w:val="bottom"/>
          </w:tcPr>
          <w:p w14:paraId="7AE47725" w14:textId="77777777" w:rsidR="003A392D" w:rsidRPr="00CA5D6D" w:rsidRDefault="003A392D">
            <w:pPr>
              <w:jc w:val="right"/>
              <w:rPr>
                <w:rFonts w:cs="Arial"/>
                <w:bCs/>
                <w:szCs w:val="24"/>
              </w:rPr>
            </w:pPr>
            <w:r w:rsidRPr="00CB77DE">
              <w:rPr>
                <w:rFonts w:cs="Arial"/>
                <w:szCs w:val="24"/>
              </w:rPr>
              <w:t>8</w:t>
            </w:r>
          </w:p>
        </w:tc>
        <w:tc>
          <w:tcPr>
            <w:tcW w:w="991" w:type="dxa"/>
            <w:shd w:val="clear" w:color="000000" w:fill="FFFFFF"/>
            <w:vAlign w:val="bottom"/>
          </w:tcPr>
          <w:p w14:paraId="29BBC60C" w14:textId="77777777" w:rsidR="003A392D" w:rsidRPr="00620D66" w:rsidRDefault="003A392D">
            <w:pPr>
              <w:jc w:val="right"/>
              <w:rPr>
                <w:rFonts w:cs="Arial"/>
                <w:bCs/>
                <w:szCs w:val="24"/>
              </w:rPr>
            </w:pPr>
            <w:r w:rsidRPr="00620D66">
              <w:rPr>
                <w:rFonts w:cs="Arial"/>
                <w:szCs w:val="24"/>
              </w:rPr>
              <w:t>*</w:t>
            </w:r>
          </w:p>
        </w:tc>
        <w:tc>
          <w:tcPr>
            <w:tcW w:w="991" w:type="dxa"/>
            <w:shd w:val="clear" w:color="000000" w:fill="FFFFFF"/>
            <w:vAlign w:val="bottom"/>
          </w:tcPr>
          <w:p w14:paraId="23A97ABA" w14:textId="77777777" w:rsidR="003A392D" w:rsidRPr="00620D66" w:rsidRDefault="003A392D">
            <w:pPr>
              <w:jc w:val="right"/>
              <w:rPr>
                <w:rFonts w:cs="Arial"/>
                <w:bCs/>
                <w:szCs w:val="24"/>
              </w:rPr>
            </w:pPr>
            <w:r w:rsidRPr="00620D66">
              <w:rPr>
                <w:rFonts w:cs="Arial"/>
                <w:szCs w:val="24"/>
              </w:rPr>
              <w:t>*</w:t>
            </w:r>
          </w:p>
        </w:tc>
        <w:tc>
          <w:tcPr>
            <w:tcW w:w="989" w:type="dxa"/>
            <w:shd w:val="clear" w:color="000000" w:fill="FFFFFF"/>
            <w:vAlign w:val="bottom"/>
          </w:tcPr>
          <w:p w14:paraId="37D5E62C" w14:textId="77777777" w:rsidR="003A392D" w:rsidRPr="00620D66" w:rsidRDefault="003A392D">
            <w:pPr>
              <w:jc w:val="right"/>
              <w:rPr>
                <w:rFonts w:cs="Arial"/>
                <w:bCs/>
                <w:szCs w:val="24"/>
              </w:rPr>
            </w:pPr>
            <w:r w:rsidRPr="00620D66">
              <w:rPr>
                <w:rFonts w:cs="Arial"/>
                <w:szCs w:val="24"/>
              </w:rPr>
              <w:t>*</w:t>
            </w:r>
          </w:p>
        </w:tc>
        <w:tc>
          <w:tcPr>
            <w:tcW w:w="989" w:type="dxa"/>
            <w:shd w:val="clear" w:color="000000" w:fill="FFFFFF"/>
            <w:vAlign w:val="bottom"/>
          </w:tcPr>
          <w:p w14:paraId="23EBED18" w14:textId="77777777" w:rsidR="003A392D" w:rsidRPr="00CA5D6D" w:rsidRDefault="003A392D">
            <w:pPr>
              <w:jc w:val="right"/>
              <w:rPr>
                <w:rFonts w:cs="Arial"/>
                <w:bCs/>
                <w:szCs w:val="24"/>
              </w:rPr>
            </w:pPr>
            <w:r w:rsidRPr="00CB77DE">
              <w:rPr>
                <w:rFonts w:cs="Arial"/>
                <w:szCs w:val="24"/>
              </w:rPr>
              <w:t>0</w:t>
            </w:r>
          </w:p>
        </w:tc>
        <w:tc>
          <w:tcPr>
            <w:tcW w:w="989" w:type="dxa"/>
            <w:shd w:val="clear" w:color="000000" w:fill="FFFFFF"/>
            <w:vAlign w:val="bottom"/>
          </w:tcPr>
          <w:p w14:paraId="2CF373A8" w14:textId="77777777" w:rsidR="003A392D" w:rsidRPr="00CA5D6D" w:rsidRDefault="003A392D">
            <w:pPr>
              <w:jc w:val="right"/>
              <w:rPr>
                <w:rFonts w:cs="Arial"/>
                <w:bCs/>
                <w:szCs w:val="24"/>
              </w:rPr>
            </w:pPr>
            <w:r w:rsidRPr="00CB77DE">
              <w:rPr>
                <w:rFonts w:cs="Arial"/>
                <w:szCs w:val="24"/>
              </w:rPr>
              <w:t>0</w:t>
            </w:r>
          </w:p>
        </w:tc>
        <w:tc>
          <w:tcPr>
            <w:tcW w:w="989" w:type="dxa"/>
            <w:shd w:val="clear" w:color="000000" w:fill="FFFFFF"/>
            <w:vAlign w:val="bottom"/>
          </w:tcPr>
          <w:p w14:paraId="12A8C7E1" w14:textId="77777777" w:rsidR="003A392D" w:rsidRPr="00CA5D6D" w:rsidRDefault="003A392D">
            <w:pPr>
              <w:jc w:val="right"/>
              <w:rPr>
                <w:rFonts w:cs="Arial"/>
                <w:bCs/>
                <w:szCs w:val="24"/>
              </w:rPr>
            </w:pPr>
            <w:r w:rsidRPr="00CB77DE">
              <w:rPr>
                <w:rFonts w:cs="Arial"/>
                <w:szCs w:val="24"/>
              </w:rPr>
              <w:t>0</w:t>
            </w:r>
          </w:p>
        </w:tc>
      </w:tr>
    </w:tbl>
    <w:p w14:paraId="15381080" w14:textId="0A431023" w:rsidR="007D3D82" w:rsidRPr="003A392D" w:rsidRDefault="007D3D82" w:rsidP="00D9246A">
      <w:pPr>
        <w:spacing w:line="240" w:lineRule="auto"/>
        <w:rPr>
          <w:lang w:eastAsia="en-GB"/>
        </w:rPr>
        <w:sectPr w:rsidR="007D3D82" w:rsidRPr="003A392D" w:rsidSect="006B1774">
          <w:footnotePr>
            <w:numFmt w:val="lowerLetter"/>
          </w:footnotePr>
          <w:endnotePr>
            <w:numFmt w:val="decimal"/>
          </w:endnotePr>
          <w:pgSz w:w="16838" w:h="11906" w:orient="landscape"/>
          <w:pgMar w:top="1418" w:right="1134" w:bottom="1134" w:left="1134" w:header="709" w:footer="709" w:gutter="0"/>
          <w:cols w:space="708"/>
          <w:docGrid w:linePitch="360"/>
        </w:sectPr>
      </w:pPr>
      <w:r>
        <w:rPr>
          <w:rFonts w:cs="Arial"/>
          <w:szCs w:val="24"/>
        </w:rPr>
        <w:t>*</w:t>
      </w:r>
      <w:r w:rsidR="002451D1" w:rsidRPr="00792268">
        <w:rPr>
          <w:rFonts w:cs="Arial"/>
          <w:szCs w:val="24"/>
        </w:rPr>
        <w:t>T</w:t>
      </w:r>
      <w:r w:rsidRPr="00316C3A">
        <w:rPr>
          <w:rFonts w:cs="Arial"/>
          <w:szCs w:val="24"/>
        </w:rPr>
        <w:t xml:space="preserve">he </w:t>
      </w:r>
      <w:r>
        <w:rPr>
          <w:rFonts w:cs="Arial"/>
          <w:szCs w:val="24"/>
        </w:rPr>
        <w:t xml:space="preserve">numbers in the </w:t>
      </w:r>
      <w:r w:rsidRPr="00316C3A">
        <w:rPr>
          <w:rFonts w:cs="Arial"/>
          <w:szCs w:val="24"/>
        </w:rPr>
        <w:t>cells with as</w:t>
      </w:r>
      <w:r>
        <w:rPr>
          <w:rFonts w:cs="Arial"/>
          <w:szCs w:val="24"/>
        </w:rPr>
        <w:t>terisk have not been disclosed for</w:t>
      </w:r>
      <w:r w:rsidR="002451D1">
        <w:rPr>
          <w:rFonts w:cs="Arial"/>
          <w:szCs w:val="24"/>
        </w:rPr>
        <w:t xml:space="preserve"> confidentiality as</w:t>
      </w:r>
      <w:r w:rsidR="002451D1" w:rsidRPr="00316C3A">
        <w:rPr>
          <w:rFonts w:cs="Arial"/>
          <w:szCs w:val="24"/>
        </w:rPr>
        <w:t xml:space="preserve"> they are less than 5.</w:t>
      </w:r>
    </w:p>
    <w:p w14:paraId="0968AB65" w14:textId="7E46A600" w:rsidR="00F646DF" w:rsidRPr="009B1FB8" w:rsidRDefault="00402F52" w:rsidP="00D9246A">
      <w:pPr>
        <w:spacing w:line="240" w:lineRule="auto"/>
        <w:rPr>
          <w:b/>
          <w:color w:val="0079C2"/>
        </w:rPr>
      </w:pPr>
      <w:r w:rsidRPr="009B1FB8">
        <w:rPr>
          <w:b/>
          <w:color w:val="0079C2"/>
        </w:rPr>
        <w:lastRenderedPageBreak/>
        <w:t>B</w:t>
      </w:r>
      <w:r w:rsidR="00F646DF" w:rsidRPr="009B1FB8">
        <w:rPr>
          <w:b/>
          <w:color w:val="0079C2"/>
        </w:rPr>
        <w:t>y demographics and protective characteristics</w:t>
      </w:r>
      <w:r w:rsidR="009B1FB8">
        <w:rPr>
          <w:b/>
          <w:bCs/>
          <w:color w:val="0079C2"/>
        </w:rPr>
        <w:t>:</w:t>
      </w:r>
    </w:p>
    <w:p w14:paraId="2C488C3E" w14:textId="6CCE4F1C" w:rsidR="00B646D9" w:rsidRPr="00AF1EFB" w:rsidRDefault="00B646D9" w:rsidP="00D9246A">
      <w:pPr>
        <w:spacing w:line="240" w:lineRule="auto"/>
        <w:rPr>
          <w:rFonts w:cs="Arial"/>
          <w:color w:val="000000" w:themeColor="text1"/>
          <w:szCs w:val="24"/>
        </w:rPr>
      </w:pPr>
      <w:r w:rsidRPr="00AF1EFB">
        <w:rPr>
          <w:rFonts w:cs="Arial"/>
          <w:color w:val="000000" w:themeColor="text1"/>
          <w:szCs w:val="24"/>
        </w:rPr>
        <w:t xml:space="preserve">Some </w:t>
      </w:r>
      <w:r w:rsidRPr="00C7630F">
        <w:t>groups</w:t>
      </w:r>
      <w:r w:rsidRPr="00AF1EFB">
        <w:rPr>
          <w:rFonts w:cs="Arial"/>
          <w:color w:val="000000" w:themeColor="text1"/>
          <w:szCs w:val="24"/>
        </w:rPr>
        <w:t xml:space="preserve"> of pupils are more likely to have SEN (</w:t>
      </w:r>
      <w:r w:rsidRPr="00930D93">
        <w:rPr>
          <w:rFonts w:cs="Arial"/>
          <w:color w:val="000000" w:themeColor="text1"/>
          <w:szCs w:val="24"/>
        </w:rPr>
        <w:t xml:space="preserve">Table </w:t>
      </w:r>
      <w:r w:rsidR="0013023D" w:rsidRPr="00930D93">
        <w:rPr>
          <w:rFonts w:cs="Arial"/>
          <w:color w:val="000000" w:themeColor="text1"/>
          <w:szCs w:val="24"/>
        </w:rPr>
        <w:t>6</w:t>
      </w:r>
      <w:r w:rsidR="00826CF3" w:rsidRPr="00930D93">
        <w:rPr>
          <w:rFonts w:cs="Arial"/>
          <w:color w:val="000000" w:themeColor="text1"/>
          <w:szCs w:val="24"/>
        </w:rPr>
        <w:t xml:space="preserve">, </w:t>
      </w:r>
      <w:r w:rsidR="0013023D" w:rsidRPr="00930D93">
        <w:rPr>
          <w:rFonts w:cs="Arial"/>
          <w:color w:val="000000" w:themeColor="text1"/>
          <w:szCs w:val="24"/>
        </w:rPr>
        <w:t>7</w:t>
      </w:r>
      <w:r w:rsidR="00826CF3" w:rsidRPr="00AF1EFB">
        <w:rPr>
          <w:rFonts w:cs="Arial"/>
          <w:color w:val="000000" w:themeColor="text1"/>
          <w:szCs w:val="24"/>
        </w:rPr>
        <w:t xml:space="preserve">, </w:t>
      </w:r>
      <w:r w:rsidR="00826CF3" w:rsidRPr="00E325FD">
        <w:rPr>
          <w:rFonts w:cs="Arial"/>
          <w:color w:val="000000" w:themeColor="text1"/>
          <w:szCs w:val="24"/>
        </w:rPr>
        <w:t>Fig</w:t>
      </w:r>
      <w:r w:rsidR="00A71CC1" w:rsidRPr="00E325FD">
        <w:rPr>
          <w:rFonts w:cs="Arial"/>
          <w:color w:val="000000" w:themeColor="text1"/>
          <w:szCs w:val="24"/>
        </w:rPr>
        <w:t>ure 1</w:t>
      </w:r>
      <w:r w:rsidR="00E325FD" w:rsidRPr="00E325FD">
        <w:rPr>
          <w:rFonts w:cs="Arial"/>
          <w:color w:val="000000" w:themeColor="text1"/>
          <w:szCs w:val="24"/>
        </w:rPr>
        <w:t>4</w:t>
      </w:r>
      <w:r w:rsidR="00A71CC1" w:rsidRPr="00E325FD">
        <w:rPr>
          <w:rFonts w:cs="Arial"/>
          <w:color w:val="000000" w:themeColor="text1"/>
          <w:szCs w:val="24"/>
        </w:rPr>
        <w:t xml:space="preserve"> and 1</w:t>
      </w:r>
      <w:r w:rsidR="00647AB8" w:rsidRPr="00E325FD">
        <w:rPr>
          <w:rFonts w:cs="Arial"/>
          <w:color w:val="000000" w:themeColor="text1"/>
          <w:szCs w:val="24"/>
        </w:rPr>
        <w:t>5</w:t>
      </w:r>
      <w:r w:rsidRPr="00AF1EFB">
        <w:rPr>
          <w:rFonts w:cs="Arial"/>
          <w:color w:val="000000" w:themeColor="text1"/>
          <w:szCs w:val="24"/>
        </w:rPr>
        <w:t>):</w:t>
      </w:r>
    </w:p>
    <w:p w14:paraId="37DE93E9" w14:textId="7D3CA35A" w:rsidR="003F004E" w:rsidRPr="00AE2313" w:rsidRDefault="00AE2313" w:rsidP="009858E3">
      <w:pPr>
        <w:pStyle w:val="ListParagraph"/>
        <w:numPr>
          <w:ilvl w:val="0"/>
          <w:numId w:val="35"/>
        </w:numPr>
        <w:spacing w:line="240" w:lineRule="auto"/>
        <w:ind w:left="357"/>
        <w:rPr>
          <w:rFonts w:cs="Arial"/>
          <w:b/>
          <w:color w:val="086876"/>
        </w:rPr>
      </w:pPr>
      <w:r w:rsidRPr="009B1FB8">
        <w:rPr>
          <w:rFonts w:cs="Arial"/>
          <w:b/>
          <w:color w:val="0079C2"/>
        </w:rPr>
        <w:t>There are more male pupils with SEN (28%)</w:t>
      </w:r>
      <w:r w:rsidRPr="009B1FB8">
        <w:rPr>
          <w:rFonts w:cs="Arial"/>
          <w:color w:val="0079C2"/>
        </w:rPr>
        <w:t xml:space="preserve"> </w:t>
      </w:r>
      <w:r w:rsidRPr="2128EA31">
        <w:rPr>
          <w:rFonts w:cs="Arial"/>
          <w:color w:val="000000" w:themeColor="text1"/>
        </w:rPr>
        <w:t xml:space="preserve">compared </w:t>
      </w:r>
      <w:r w:rsidRPr="00562B5B">
        <w:rPr>
          <w:rFonts w:cs="Arial"/>
          <w:color w:val="000000" w:themeColor="text1"/>
          <w:szCs w:val="24"/>
        </w:rPr>
        <w:t>to</w:t>
      </w:r>
      <w:r w:rsidRPr="2128EA31">
        <w:rPr>
          <w:rFonts w:cs="Arial"/>
          <w:color w:val="000000" w:themeColor="text1"/>
        </w:rPr>
        <w:t xml:space="preserve"> female pupils (19%) (</w:t>
      </w:r>
      <w:r w:rsidR="00D90444" w:rsidRPr="00930D93">
        <w:rPr>
          <w:rFonts w:cs="Arial"/>
          <w:color w:val="000000" w:themeColor="text1"/>
        </w:rPr>
        <w:t xml:space="preserve">Table </w:t>
      </w:r>
      <w:r w:rsidR="00FF6CD7" w:rsidRPr="00930D93">
        <w:rPr>
          <w:rFonts w:cs="Arial"/>
          <w:color w:val="000000" w:themeColor="text1"/>
        </w:rPr>
        <w:t>6</w:t>
      </w:r>
      <w:r w:rsidR="00D90444">
        <w:rPr>
          <w:rFonts w:cs="Arial"/>
          <w:color w:val="000000" w:themeColor="text1"/>
        </w:rPr>
        <w:t xml:space="preserve">, </w:t>
      </w:r>
      <w:r w:rsidR="00E30A45">
        <w:rPr>
          <w:rFonts w:cs="Arial"/>
          <w:color w:val="000000" w:themeColor="text1"/>
        </w:rPr>
        <w:t>Figu</w:t>
      </w:r>
      <w:r w:rsidR="005C7CCE">
        <w:rPr>
          <w:rFonts w:cs="Arial"/>
          <w:color w:val="000000" w:themeColor="text1"/>
        </w:rPr>
        <w:t>re 14)</w:t>
      </w:r>
    </w:p>
    <w:p w14:paraId="7638FD70" w14:textId="7267C74D" w:rsidR="00B646D9" w:rsidRPr="00595FE6" w:rsidRDefault="00B646D9" w:rsidP="009858E3">
      <w:pPr>
        <w:pStyle w:val="ListParagraph"/>
        <w:numPr>
          <w:ilvl w:val="0"/>
          <w:numId w:val="35"/>
        </w:numPr>
        <w:spacing w:line="240" w:lineRule="auto"/>
        <w:rPr>
          <w:rFonts w:cs="Arial"/>
          <w:color w:val="000000" w:themeColor="text1"/>
          <w:szCs w:val="24"/>
        </w:rPr>
      </w:pPr>
      <w:r w:rsidRPr="009B1FB8">
        <w:rPr>
          <w:rFonts w:cs="Arial"/>
          <w:b/>
          <w:color w:val="0079C2"/>
          <w:szCs w:val="24"/>
        </w:rPr>
        <w:t>Pupils eligible for free school meals are twice as likely to have SEN as those not eligible for free school meals</w:t>
      </w:r>
      <w:r w:rsidRPr="009B1FB8">
        <w:rPr>
          <w:rFonts w:cs="Arial"/>
          <w:color w:val="0079C2"/>
          <w:szCs w:val="24"/>
        </w:rPr>
        <w:t xml:space="preserve">: </w:t>
      </w:r>
      <w:r w:rsidRPr="00595FE6">
        <w:rPr>
          <w:rFonts w:cs="Arial"/>
          <w:color w:val="000000" w:themeColor="text1"/>
          <w:szCs w:val="24"/>
        </w:rPr>
        <w:t>38% of pupils eligible for free school meals compared with 19% of pupils not eligible for free school meals</w:t>
      </w:r>
    </w:p>
    <w:p w14:paraId="77EB434E" w14:textId="4C917A0D" w:rsidR="00623B68" w:rsidRDefault="00B646D9" w:rsidP="009858E3">
      <w:pPr>
        <w:pStyle w:val="ListParagraph"/>
        <w:numPr>
          <w:ilvl w:val="0"/>
          <w:numId w:val="35"/>
        </w:numPr>
        <w:spacing w:line="240" w:lineRule="auto"/>
        <w:rPr>
          <w:rFonts w:cs="Arial"/>
          <w:color w:val="000000" w:themeColor="text1"/>
          <w:szCs w:val="24"/>
        </w:rPr>
      </w:pPr>
      <w:r w:rsidRPr="009B1FB8">
        <w:rPr>
          <w:rFonts w:cs="Arial"/>
          <w:b/>
          <w:color w:val="0079C2"/>
          <w:szCs w:val="24"/>
        </w:rPr>
        <w:t>Pupils living in the most deprived 20% of areas in the city are almost twice as likely to have SEN as those living in the least deprived 20% of areas</w:t>
      </w:r>
      <w:r w:rsidRPr="009B1FB8">
        <w:rPr>
          <w:rFonts w:cs="Arial"/>
          <w:color w:val="0079C2"/>
          <w:szCs w:val="24"/>
        </w:rPr>
        <w:t xml:space="preserve">: </w:t>
      </w:r>
      <w:r w:rsidRPr="00595FE6">
        <w:rPr>
          <w:rFonts w:cs="Arial"/>
          <w:color w:val="000000" w:themeColor="text1"/>
          <w:szCs w:val="24"/>
        </w:rPr>
        <w:t>34% of pupils living in the 20% most deprived areas in the city compared with 18% of those in the least deprived 20% (based on the Index of Deprivation Affecting Children Index)</w:t>
      </w:r>
      <w:r w:rsidR="00DA3B64">
        <w:rPr>
          <w:rFonts w:cs="Arial"/>
          <w:color w:val="000000" w:themeColor="text1"/>
          <w:szCs w:val="24"/>
        </w:rPr>
        <w:t xml:space="preserve"> (Table </w:t>
      </w:r>
      <w:r w:rsidR="00784A53">
        <w:rPr>
          <w:rFonts w:cs="Arial"/>
          <w:color w:val="000000" w:themeColor="text1"/>
          <w:szCs w:val="24"/>
        </w:rPr>
        <w:t>6</w:t>
      </w:r>
      <w:r w:rsidR="002C5EE5">
        <w:rPr>
          <w:rFonts w:cs="Arial"/>
          <w:color w:val="000000" w:themeColor="text1"/>
          <w:szCs w:val="24"/>
        </w:rPr>
        <w:t>)</w:t>
      </w:r>
    </w:p>
    <w:p w14:paraId="53F1ECC2" w14:textId="64595DCC" w:rsidR="003805DA" w:rsidRPr="003805DA" w:rsidRDefault="003805DA" w:rsidP="009858E3">
      <w:pPr>
        <w:pStyle w:val="ListParagraph"/>
        <w:numPr>
          <w:ilvl w:val="0"/>
          <w:numId w:val="35"/>
        </w:numPr>
        <w:spacing w:line="240" w:lineRule="auto"/>
        <w:rPr>
          <w:rFonts w:cs="Arial"/>
          <w:color w:val="000000" w:themeColor="text1"/>
          <w:szCs w:val="24"/>
        </w:rPr>
      </w:pPr>
      <w:r w:rsidRPr="000C7090">
        <w:rPr>
          <w:rFonts w:cs="Arial"/>
          <w:b/>
          <w:color w:val="0079C2"/>
          <w:szCs w:val="24"/>
        </w:rPr>
        <w:t>W</w:t>
      </w:r>
      <w:r w:rsidR="00DD23A5" w:rsidRPr="000C7090">
        <w:rPr>
          <w:rFonts w:cs="Arial"/>
          <w:b/>
          <w:color w:val="0079C2"/>
          <w:szCs w:val="24"/>
        </w:rPr>
        <w:t xml:space="preserve">hen looking at </w:t>
      </w:r>
      <w:r w:rsidR="001572D3" w:rsidRPr="000C7090">
        <w:rPr>
          <w:rFonts w:cs="Arial"/>
          <w:b/>
          <w:color w:val="0079C2"/>
          <w:szCs w:val="24"/>
        </w:rPr>
        <w:t>EHC Plan</w:t>
      </w:r>
      <w:r w:rsidR="00DD23A5" w:rsidRPr="000C7090">
        <w:rPr>
          <w:rFonts w:cs="Arial"/>
          <w:b/>
          <w:color w:val="0079C2"/>
          <w:szCs w:val="24"/>
        </w:rPr>
        <w:t xml:space="preserve"> by </w:t>
      </w:r>
      <w:r w:rsidR="0056230A" w:rsidRPr="000C7090">
        <w:rPr>
          <w:rFonts w:cs="Arial"/>
          <w:b/>
          <w:color w:val="0079C2"/>
          <w:szCs w:val="24"/>
        </w:rPr>
        <w:t xml:space="preserve">IDAC </w:t>
      </w:r>
      <w:r w:rsidR="00DD23A5" w:rsidRPr="000C7090">
        <w:rPr>
          <w:rFonts w:cs="Arial"/>
          <w:b/>
          <w:color w:val="0079C2"/>
          <w:szCs w:val="24"/>
        </w:rPr>
        <w:t>deprivation</w:t>
      </w:r>
      <w:r w:rsidR="007C4624" w:rsidRPr="000C7090">
        <w:rPr>
          <w:rFonts w:cs="Arial"/>
          <w:b/>
          <w:color w:val="0079C2"/>
          <w:szCs w:val="24"/>
        </w:rPr>
        <w:t xml:space="preserve"> across deci</w:t>
      </w:r>
      <w:r w:rsidR="00943126" w:rsidRPr="000C7090">
        <w:rPr>
          <w:rFonts w:cs="Arial"/>
          <w:b/>
          <w:color w:val="0079C2"/>
          <w:szCs w:val="24"/>
        </w:rPr>
        <w:t>les</w:t>
      </w:r>
      <w:r w:rsidR="00FE75D4" w:rsidRPr="000C7090">
        <w:rPr>
          <w:rFonts w:cs="Arial"/>
          <w:b/>
          <w:color w:val="0079C2"/>
          <w:szCs w:val="24"/>
        </w:rPr>
        <w:t xml:space="preserve">, there are more </w:t>
      </w:r>
      <w:r w:rsidR="001572D3" w:rsidRPr="000C7090">
        <w:rPr>
          <w:rFonts w:cs="Arial"/>
          <w:b/>
          <w:color w:val="0079C2"/>
          <w:szCs w:val="24"/>
        </w:rPr>
        <w:t>EHC Plan</w:t>
      </w:r>
      <w:r w:rsidR="00FE75D4" w:rsidRPr="000C7090">
        <w:rPr>
          <w:rFonts w:cs="Arial"/>
          <w:b/>
          <w:color w:val="0079C2"/>
          <w:szCs w:val="24"/>
        </w:rPr>
        <w:t xml:space="preserve"> pupils </w:t>
      </w:r>
      <w:r w:rsidR="005B746A" w:rsidRPr="000C7090">
        <w:rPr>
          <w:rFonts w:cs="Arial"/>
          <w:b/>
          <w:color w:val="0079C2"/>
          <w:szCs w:val="24"/>
        </w:rPr>
        <w:t xml:space="preserve">living in </w:t>
      </w:r>
      <w:r w:rsidR="00A76851" w:rsidRPr="000C7090">
        <w:rPr>
          <w:rFonts w:cs="Arial"/>
          <w:b/>
          <w:color w:val="0079C2"/>
          <w:szCs w:val="24"/>
        </w:rPr>
        <w:t>the 40% most deprived areas in the city</w:t>
      </w:r>
      <w:r w:rsidR="00A76851">
        <w:rPr>
          <w:rFonts w:cs="Arial"/>
          <w:color w:val="000000" w:themeColor="text1"/>
          <w:szCs w:val="24"/>
        </w:rPr>
        <w:t>, with those</w:t>
      </w:r>
      <w:r w:rsidR="006B4C5F">
        <w:rPr>
          <w:rFonts w:cs="Arial"/>
          <w:color w:val="000000" w:themeColor="text1"/>
          <w:szCs w:val="24"/>
        </w:rPr>
        <w:t xml:space="preserve"> in decile 1 </w:t>
      </w:r>
      <w:r w:rsidR="006E32E9">
        <w:rPr>
          <w:rFonts w:cs="Arial"/>
          <w:color w:val="000000" w:themeColor="text1"/>
          <w:szCs w:val="24"/>
        </w:rPr>
        <w:t xml:space="preserve">(most deprived) </w:t>
      </w:r>
      <w:r w:rsidR="006B4C5F">
        <w:rPr>
          <w:rFonts w:cs="Arial"/>
          <w:color w:val="000000" w:themeColor="text1"/>
          <w:szCs w:val="24"/>
        </w:rPr>
        <w:t>being the highest (6.4%), compared to decile 2 (5.</w:t>
      </w:r>
      <w:r w:rsidR="00B6018C">
        <w:rPr>
          <w:rFonts w:cs="Arial"/>
          <w:color w:val="000000" w:themeColor="text1"/>
          <w:szCs w:val="24"/>
        </w:rPr>
        <w:t>7</w:t>
      </w:r>
      <w:r w:rsidR="006B4C5F">
        <w:rPr>
          <w:rFonts w:cs="Arial"/>
          <w:color w:val="000000" w:themeColor="text1"/>
          <w:szCs w:val="24"/>
        </w:rPr>
        <w:t>%), decile 3 (5.8%) and decile 4 (</w:t>
      </w:r>
      <w:r w:rsidR="00D9243A">
        <w:rPr>
          <w:rFonts w:cs="Arial"/>
          <w:color w:val="000000" w:themeColor="text1"/>
          <w:szCs w:val="24"/>
        </w:rPr>
        <w:t>4.6%)</w:t>
      </w:r>
      <w:r w:rsidR="00FB57A9">
        <w:rPr>
          <w:rFonts w:cs="Arial"/>
          <w:color w:val="000000" w:themeColor="text1"/>
          <w:szCs w:val="24"/>
        </w:rPr>
        <w:t xml:space="preserve"> compared to decile 10 with only 2.3%</w:t>
      </w:r>
      <w:r w:rsidR="00B65D48">
        <w:rPr>
          <w:rFonts w:cs="Arial"/>
          <w:color w:val="000000" w:themeColor="text1"/>
          <w:szCs w:val="24"/>
        </w:rPr>
        <w:t xml:space="preserve"> (see </w:t>
      </w:r>
      <w:r w:rsidR="003745DB">
        <w:rPr>
          <w:rFonts w:cs="Arial"/>
          <w:color w:val="000000" w:themeColor="text1"/>
          <w:szCs w:val="24"/>
        </w:rPr>
        <w:t>Appendix 2</w:t>
      </w:r>
      <w:r w:rsidR="00B65D48">
        <w:rPr>
          <w:rFonts w:cs="Arial"/>
          <w:color w:val="000000" w:themeColor="text1"/>
          <w:szCs w:val="24"/>
        </w:rPr>
        <w:t>)</w:t>
      </w:r>
    </w:p>
    <w:p w14:paraId="07835D3C" w14:textId="12E9D9AB" w:rsidR="00B646D9" w:rsidRPr="00595FE6" w:rsidRDefault="00B646D9" w:rsidP="009858E3">
      <w:pPr>
        <w:pStyle w:val="ListParagraph"/>
        <w:numPr>
          <w:ilvl w:val="0"/>
          <w:numId w:val="35"/>
        </w:numPr>
        <w:spacing w:line="240" w:lineRule="auto"/>
        <w:rPr>
          <w:rFonts w:cs="Arial"/>
          <w:color w:val="000000" w:themeColor="text1"/>
          <w:szCs w:val="24"/>
        </w:rPr>
      </w:pPr>
      <w:r w:rsidRPr="009B1FB8">
        <w:rPr>
          <w:rFonts w:cs="Arial"/>
          <w:b/>
          <w:color w:val="0079C2"/>
          <w:szCs w:val="24"/>
        </w:rPr>
        <w:t xml:space="preserve">White British pupils are more likely to have recorded SEN than Black and Racially Minoritised pupils: </w:t>
      </w:r>
      <w:r w:rsidRPr="00595FE6">
        <w:rPr>
          <w:rFonts w:cs="Arial"/>
          <w:color w:val="000000" w:themeColor="text1"/>
          <w:szCs w:val="24"/>
        </w:rPr>
        <w:t>26% of White British pupils (or those with no ethnicity recorded), compared to 19% of Black and Racially Minoritised pupils</w:t>
      </w:r>
    </w:p>
    <w:p w14:paraId="559C8D61" w14:textId="77777777" w:rsidR="00B646D9" w:rsidRPr="00595FE6" w:rsidRDefault="00B646D9" w:rsidP="009858E3">
      <w:pPr>
        <w:pStyle w:val="ListParagraph"/>
        <w:numPr>
          <w:ilvl w:val="0"/>
          <w:numId w:val="35"/>
        </w:numPr>
        <w:spacing w:line="240" w:lineRule="auto"/>
        <w:rPr>
          <w:rFonts w:cs="Arial"/>
          <w:color w:val="000000" w:themeColor="text1"/>
          <w:szCs w:val="24"/>
        </w:rPr>
      </w:pPr>
      <w:r w:rsidRPr="009B1FB8">
        <w:rPr>
          <w:rFonts w:cs="Arial"/>
          <w:b/>
          <w:color w:val="0079C2"/>
          <w:szCs w:val="24"/>
        </w:rPr>
        <w:t>Pupils who do not have English as an additional language compared to those with English as an additional language:</w:t>
      </w:r>
      <w:r w:rsidRPr="009B1FB8">
        <w:rPr>
          <w:rFonts w:cs="Arial"/>
          <w:color w:val="0079C2"/>
          <w:szCs w:val="24"/>
        </w:rPr>
        <w:t xml:space="preserve"> </w:t>
      </w:r>
      <w:r w:rsidRPr="00595FE6">
        <w:rPr>
          <w:rFonts w:cs="Arial"/>
          <w:color w:val="000000" w:themeColor="text1"/>
          <w:szCs w:val="24"/>
        </w:rPr>
        <w:t>25% of pupils who do not have English as an additional language compared to 18% of pupils who do.</w:t>
      </w:r>
    </w:p>
    <w:p w14:paraId="71E8A01F" w14:textId="63B91E5B" w:rsidR="00B646D9" w:rsidRPr="00654349" w:rsidRDefault="00B646D9" w:rsidP="009858E3">
      <w:pPr>
        <w:pStyle w:val="ListParagraph"/>
        <w:numPr>
          <w:ilvl w:val="0"/>
          <w:numId w:val="35"/>
        </w:numPr>
        <w:spacing w:line="240" w:lineRule="auto"/>
        <w:rPr>
          <w:rFonts w:cs="Arial"/>
          <w:color w:val="000000" w:themeColor="text1"/>
          <w:szCs w:val="24"/>
        </w:rPr>
      </w:pPr>
      <w:r w:rsidRPr="009B1FB8">
        <w:rPr>
          <w:rFonts w:cs="Arial"/>
          <w:b/>
          <w:color w:val="0079C2"/>
          <w:szCs w:val="24"/>
        </w:rPr>
        <w:t>Within more detailed breakdowns by ethnic group (</w:t>
      </w:r>
      <w:r w:rsidRPr="00930D93">
        <w:rPr>
          <w:rFonts w:cs="Arial"/>
          <w:b/>
          <w:color w:val="0079C2"/>
          <w:szCs w:val="24"/>
        </w:rPr>
        <w:t xml:space="preserve">Table </w:t>
      </w:r>
      <w:r w:rsidR="00FF6CD7" w:rsidRPr="00930D93">
        <w:rPr>
          <w:rFonts w:cs="Arial"/>
          <w:b/>
          <w:color w:val="0079C2"/>
          <w:szCs w:val="24"/>
        </w:rPr>
        <w:t>7</w:t>
      </w:r>
      <w:r w:rsidRPr="00930D93">
        <w:rPr>
          <w:rFonts w:cs="Arial"/>
          <w:b/>
          <w:bCs/>
          <w:color w:val="0079C2"/>
          <w:szCs w:val="24"/>
        </w:rPr>
        <w:t>)</w:t>
      </w:r>
      <w:r w:rsidRPr="00595FE6">
        <w:rPr>
          <w:rFonts w:cs="Arial"/>
          <w:b/>
          <w:bCs/>
          <w:color w:val="000000" w:themeColor="text1"/>
          <w:szCs w:val="24"/>
        </w:rPr>
        <w:t xml:space="preserve"> </w:t>
      </w:r>
      <w:r w:rsidRPr="009B1FB8">
        <w:rPr>
          <w:rFonts w:cs="Arial"/>
          <w:b/>
          <w:color w:val="0079C2"/>
          <w:szCs w:val="24"/>
        </w:rPr>
        <w:t>almost half (46%) of White Gypsy, Roma or Irish Traveller pupils had SEN</w:t>
      </w:r>
      <w:r w:rsidRPr="009004DF">
        <w:rPr>
          <w:rFonts w:cs="Arial"/>
          <w:color w:val="000000" w:themeColor="text1"/>
          <w:szCs w:val="24"/>
        </w:rPr>
        <w:t>, followed by 26% of White British pupils, and 23% of pupils from Mixed/Multiple ethnic group</w:t>
      </w:r>
    </w:p>
    <w:p w14:paraId="06D04535" w14:textId="370925F1" w:rsidR="00EA5B7F" w:rsidRPr="00C725F4" w:rsidRDefault="00B646D9" w:rsidP="009858E3">
      <w:pPr>
        <w:pStyle w:val="ListParagraph"/>
        <w:numPr>
          <w:ilvl w:val="0"/>
          <w:numId w:val="35"/>
        </w:numPr>
        <w:spacing w:line="240" w:lineRule="auto"/>
        <w:rPr>
          <w:rFonts w:cs="Arial"/>
          <w:color w:val="000000" w:themeColor="text1"/>
          <w:szCs w:val="24"/>
        </w:rPr>
        <w:sectPr w:rsidR="00EA5B7F" w:rsidRPr="00C725F4" w:rsidSect="00975328">
          <w:headerReference w:type="default" r:id="rId64"/>
          <w:footnotePr>
            <w:numFmt w:val="lowerLetter"/>
          </w:footnotePr>
          <w:endnotePr>
            <w:numFmt w:val="decimal"/>
          </w:endnotePr>
          <w:pgSz w:w="11906" w:h="16838"/>
          <w:pgMar w:top="1134" w:right="1134" w:bottom="1134" w:left="1418" w:header="709" w:footer="709" w:gutter="0"/>
          <w:cols w:space="708"/>
          <w:docGrid w:linePitch="360"/>
        </w:sectPr>
      </w:pPr>
      <w:r w:rsidRPr="009B1FB8">
        <w:rPr>
          <w:rFonts w:cs="Arial"/>
          <w:b/>
          <w:color w:val="0079C2"/>
          <w:szCs w:val="24"/>
        </w:rPr>
        <w:t xml:space="preserve">The percentage of pupils with SEN increases from 15% </w:t>
      </w:r>
      <w:r w:rsidR="000947A6" w:rsidRPr="009B1FB8">
        <w:rPr>
          <w:rFonts w:cs="Arial"/>
          <w:b/>
          <w:color w:val="0079C2"/>
          <w:szCs w:val="24"/>
        </w:rPr>
        <w:t>for</w:t>
      </w:r>
      <w:r w:rsidRPr="009B1FB8">
        <w:rPr>
          <w:rFonts w:cs="Arial"/>
          <w:b/>
          <w:color w:val="0079C2"/>
          <w:szCs w:val="24"/>
        </w:rPr>
        <w:t xml:space="preserve"> Reception year pupils, to 29% </w:t>
      </w:r>
      <w:r w:rsidR="000947A6" w:rsidRPr="009B1FB8">
        <w:rPr>
          <w:rFonts w:cs="Arial"/>
          <w:b/>
          <w:color w:val="0079C2"/>
          <w:szCs w:val="24"/>
        </w:rPr>
        <w:t>for</w:t>
      </w:r>
      <w:r w:rsidRPr="009B1FB8">
        <w:rPr>
          <w:rFonts w:cs="Arial"/>
          <w:b/>
          <w:color w:val="0079C2"/>
          <w:szCs w:val="24"/>
        </w:rPr>
        <w:t xml:space="preserve"> year 6 pupils</w:t>
      </w:r>
      <w:r w:rsidRPr="00595FE6">
        <w:rPr>
          <w:rFonts w:cs="Arial"/>
          <w:b/>
          <w:bCs/>
          <w:color w:val="000000" w:themeColor="text1"/>
          <w:szCs w:val="24"/>
        </w:rPr>
        <w:t xml:space="preserve">, </w:t>
      </w:r>
      <w:r w:rsidRPr="009004DF">
        <w:rPr>
          <w:rFonts w:cs="Arial"/>
          <w:color w:val="000000" w:themeColor="text1"/>
          <w:szCs w:val="24"/>
        </w:rPr>
        <w:t>and decreases slightly in secondary schools down to 25</w:t>
      </w:r>
      <w:r w:rsidR="005F7D3C" w:rsidRPr="009004DF">
        <w:rPr>
          <w:rFonts w:cs="Arial"/>
          <w:color w:val="000000" w:themeColor="text1"/>
          <w:szCs w:val="24"/>
        </w:rPr>
        <w:t>%</w:t>
      </w:r>
      <w:r w:rsidRPr="009004DF">
        <w:rPr>
          <w:rFonts w:cs="Arial"/>
          <w:color w:val="000000" w:themeColor="text1"/>
          <w:szCs w:val="24"/>
        </w:rPr>
        <w:t xml:space="preserve"> in Years 10 and 1</w:t>
      </w:r>
      <w:r w:rsidR="00C725F4" w:rsidRPr="009004DF">
        <w:rPr>
          <w:rFonts w:cs="Arial"/>
          <w:color w:val="000000" w:themeColor="text1"/>
          <w:szCs w:val="24"/>
        </w:rPr>
        <w:t>1</w:t>
      </w:r>
      <w:r w:rsidR="00C725F4">
        <w:rPr>
          <w:rFonts w:cs="Arial"/>
          <w:b/>
          <w:bCs/>
          <w:color w:val="000000" w:themeColor="text1"/>
          <w:szCs w:val="24"/>
        </w:rPr>
        <w:t xml:space="preserve"> </w:t>
      </w:r>
      <w:r w:rsidR="00C725F4">
        <w:rPr>
          <w:rFonts w:cs="Arial"/>
          <w:color w:val="000000" w:themeColor="text1"/>
          <w:szCs w:val="24"/>
        </w:rPr>
        <w:t>(</w:t>
      </w:r>
      <w:r w:rsidR="00C725F4" w:rsidRPr="00A35A32">
        <w:rPr>
          <w:rFonts w:cs="Arial"/>
          <w:color w:val="000000" w:themeColor="text1"/>
          <w:szCs w:val="24"/>
        </w:rPr>
        <w:t>Fi</w:t>
      </w:r>
      <w:r w:rsidR="00CA7C8F">
        <w:rPr>
          <w:rFonts w:cs="Arial"/>
          <w:color w:val="000000" w:themeColor="text1"/>
          <w:szCs w:val="24"/>
        </w:rPr>
        <w:t>gure 15)</w:t>
      </w:r>
      <w:r w:rsidR="00562B5B">
        <w:rPr>
          <w:rFonts w:cs="Arial"/>
          <w:color w:val="000000" w:themeColor="text1"/>
          <w:szCs w:val="24"/>
        </w:rPr>
        <w:t>.</w:t>
      </w:r>
    </w:p>
    <w:p w14:paraId="09EF656F" w14:textId="5E84414D" w:rsidR="00EE448A" w:rsidRPr="00612B12" w:rsidRDefault="00D21FBC" w:rsidP="00D9246A">
      <w:pPr>
        <w:spacing w:line="240" w:lineRule="auto"/>
        <w:rPr>
          <w:b/>
          <w:color w:val="A65588"/>
        </w:rPr>
      </w:pPr>
      <w:r w:rsidRPr="00612B12">
        <w:rPr>
          <w:b/>
          <w:color w:val="A65588"/>
        </w:rPr>
        <w:lastRenderedPageBreak/>
        <w:t xml:space="preserve">Table </w:t>
      </w:r>
      <w:r w:rsidR="001F7135" w:rsidRPr="00612B12">
        <w:rPr>
          <w:b/>
          <w:color w:val="A65588"/>
        </w:rPr>
        <w:fldChar w:fldCharType="begin"/>
      </w:r>
      <w:r w:rsidR="001F7135" w:rsidRPr="00612B12">
        <w:rPr>
          <w:b/>
          <w:color w:val="A65588"/>
        </w:rPr>
        <w:instrText xml:space="preserve"> SEQ Table \* ARABIC </w:instrText>
      </w:r>
      <w:r w:rsidR="001F7135" w:rsidRPr="00612B12">
        <w:rPr>
          <w:b/>
          <w:color w:val="A65588"/>
        </w:rPr>
        <w:fldChar w:fldCharType="separate"/>
      </w:r>
      <w:r w:rsidR="009A41AE">
        <w:rPr>
          <w:b/>
          <w:noProof/>
          <w:color w:val="A65588"/>
        </w:rPr>
        <w:t>6</w:t>
      </w:r>
      <w:r w:rsidR="001F7135" w:rsidRPr="00612B12">
        <w:rPr>
          <w:b/>
          <w:color w:val="A65588"/>
        </w:rPr>
        <w:fldChar w:fldCharType="end"/>
      </w:r>
      <w:r w:rsidRPr="00612B12">
        <w:rPr>
          <w:b/>
          <w:color w:val="A65588"/>
        </w:rPr>
        <w:t xml:space="preserve">: </w:t>
      </w:r>
      <w:r w:rsidR="00EE448A" w:rsidRPr="00612B12">
        <w:rPr>
          <w:b/>
          <w:color w:val="A65588"/>
        </w:rPr>
        <w:t>Percentage of pupils with SEN</w:t>
      </w:r>
      <w:r w:rsidR="00B05DAB" w:rsidRPr="00612B12">
        <w:rPr>
          <w:b/>
          <w:color w:val="A65588"/>
        </w:rPr>
        <w:t>,</w:t>
      </w:r>
      <w:r w:rsidR="00EE448A" w:rsidRPr="00612B12">
        <w:rPr>
          <w:b/>
          <w:color w:val="A65588"/>
        </w:rPr>
        <w:t xml:space="preserve"> by </w:t>
      </w:r>
      <w:r w:rsidR="00612B12">
        <w:rPr>
          <w:b/>
          <w:bCs/>
          <w:color w:val="A65588"/>
        </w:rPr>
        <w:t>pupil</w:t>
      </w:r>
      <w:r w:rsidR="00EE448A" w:rsidRPr="00612B12">
        <w:rPr>
          <w:b/>
          <w:color w:val="A65588"/>
        </w:rPr>
        <w:t xml:space="preserve"> characteristics, </w:t>
      </w:r>
      <w:r w:rsidR="007B6DDE" w:rsidRPr="00612B12">
        <w:rPr>
          <w:b/>
          <w:color w:val="A65588"/>
        </w:rPr>
        <w:t xml:space="preserve">Brighton and Hove, </w:t>
      </w:r>
      <w:r w:rsidR="00EE448A" w:rsidRPr="00612B12">
        <w:rPr>
          <w:b/>
          <w:color w:val="A65588"/>
        </w:rPr>
        <w:t>January 2025</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4103"/>
        <w:gridCol w:w="1418"/>
        <w:gridCol w:w="1843"/>
        <w:gridCol w:w="1560"/>
        <w:gridCol w:w="1557"/>
        <w:gridCol w:w="1418"/>
        <w:gridCol w:w="1505"/>
        <w:gridCol w:w="1150"/>
      </w:tblGrid>
      <w:tr w:rsidR="000636D6" w:rsidRPr="00595FE6" w14:paraId="44924560" w14:textId="77777777" w:rsidTr="000F1251">
        <w:trPr>
          <w:trHeight w:val="1106"/>
        </w:trPr>
        <w:tc>
          <w:tcPr>
            <w:tcW w:w="1410" w:type="pct"/>
            <w:shd w:val="clear" w:color="auto" w:fill="086876"/>
            <w:vAlign w:val="bottom"/>
          </w:tcPr>
          <w:p w14:paraId="0D7DA0E6" w14:textId="77777777" w:rsidR="00A705C8" w:rsidRPr="00595FE6" w:rsidRDefault="00A705C8" w:rsidP="00D9246A">
            <w:pPr>
              <w:spacing w:line="240" w:lineRule="auto"/>
              <w:rPr>
                <w:rFonts w:cs="Arial"/>
                <w:b/>
                <w:bCs/>
                <w:color w:val="FFFFFF" w:themeColor="background1"/>
                <w:szCs w:val="24"/>
              </w:rPr>
            </w:pPr>
            <w:r w:rsidRPr="00595FE6">
              <w:rPr>
                <w:rFonts w:cs="Arial"/>
                <w:color w:val="000000" w:themeColor="text1"/>
                <w:szCs w:val="24"/>
              </w:rPr>
              <w:t> </w:t>
            </w:r>
          </w:p>
        </w:tc>
        <w:tc>
          <w:tcPr>
            <w:tcW w:w="487" w:type="pct"/>
            <w:shd w:val="clear" w:color="auto" w:fill="086876"/>
            <w:vAlign w:val="center"/>
          </w:tcPr>
          <w:p w14:paraId="27924616" w14:textId="510840EC" w:rsidR="00A705C8" w:rsidRPr="00595FE6" w:rsidRDefault="00A705C8" w:rsidP="00D9246A">
            <w:pPr>
              <w:spacing w:line="240" w:lineRule="auto"/>
              <w:jc w:val="center"/>
              <w:rPr>
                <w:rFonts w:cs="Arial"/>
                <w:b/>
                <w:bCs/>
                <w:color w:val="FFFFFF" w:themeColor="background1"/>
                <w:szCs w:val="24"/>
              </w:rPr>
            </w:pPr>
            <w:r>
              <w:rPr>
                <w:rFonts w:cs="Arial"/>
                <w:b/>
                <w:bCs/>
                <w:color w:val="FFFFFF" w:themeColor="background1"/>
                <w:szCs w:val="24"/>
              </w:rPr>
              <w:t>Total number of pupils</w:t>
            </w:r>
          </w:p>
        </w:tc>
        <w:tc>
          <w:tcPr>
            <w:tcW w:w="633" w:type="pct"/>
            <w:shd w:val="clear" w:color="auto" w:fill="086876"/>
          </w:tcPr>
          <w:p w14:paraId="45A85C58" w14:textId="5D4CB6F9" w:rsidR="00A705C8" w:rsidRPr="00595FE6" w:rsidRDefault="00A705C8" w:rsidP="00D9246A">
            <w:pPr>
              <w:spacing w:line="240" w:lineRule="auto"/>
              <w:jc w:val="center"/>
              <w:rPr>
                <w:rFonts w:cs="Arial"/>
                <w:b/>
                <w:bCs/>
                <w:color w:val="FFFFFF" w:themeColor="background1"/>
                <w:szCs w:val="24"/>
              </w:rPr>
            </w:pPr>
            <w:r>
              <w:rPr>
                <w:rFonts w:cs="Arial"/>
                <w:b/>
                <w:bCs/>
                <w:color w:val="FFFFFF" w:themeColor="background1"/>
                <w:szCs w:val="24"/>
              </w:rPr>
              <w:t xml:space="preserve">Number of pupils with </w:t>
            </w:r>
            <w:r w:rsidR="001572D3">
              <w:rPr>
                <w:rFonts w:cs="Arial"/>
                <w:b/>
                <w:bCs/>
                <w:color w:val="FFFFFF" w:themeColor="background1"/>
                <w:szCs w:val="24"/>
              </w:rPr>
              <w:t>EHC Plan</w:t>
            </w:r>
          </w:p>
        </w:tc>
        <w:tc>
          <w:tcPr>
            <w:tcW w:w="536" w:type="pct"/>
            <w:shd w:val="clear" w:color="auto" w:fill="086876"/>
            <w:vAlign w:val="center"/>
          </w:tcPr>
          <w:p w14:paraId="31978C1D" w14:textId="7EBD16AF" w:rsidR="00A705C8" w:rsidRPr="00595FE6" w:rsidRDefault="00A705C8" w:rsidP="00D9246A">
            <w:pPr>
              <w:spacing w:line="240" w:lineRule="auto"/>
              <w:jc w:val="center"/>
              <w:rPr>
                <w:rFonts w:cs="Arial"/>
                <w:b/>
                <w:bCs/>
                <w:color w:val="FFFFFF" w:themeColor="background1"/>
                <w:szCs w:val="24"/>
              </w:rPr>
            </w:pPr>
            <w:r>
              <w:rPr>
                <w:rFonts w:cs="Arial"/>
                <w:b/>
                <w:bCs/>
                <w:color w:val="FFFFFF" w:themeColor="background1"/>
                <w:szCs w:val="24"/>
              </w:rPr>
              <w:t xml:space="preserve">% </w:t>
            </w:r>
            <w:r w:rsidR="009B1FB8">
              <w:rPr>
                <w:rFonts w:cs="Arial"/>
                <w:b/>
                <w:bCs/>
                <w:color w:val="FFFFFF" w:themeColor="background1"/>
                <w:szCs w:val="24"/>
              </w:rPr>
              <w:t xml:space="preserve">of pupils </w:t>
            </w:r>
            <w:r>
              <w:rPr>
                <w:rFonts w:cs="Arial"/>
                <w:b/>
                <w:bCs/>
                <w:color w:val="FFFFFF" w:themeColor="background1"/>
                <w:szCs w:val="24"/>
              </w:rPr>
              <w:t xml:space="preserve">with </w:t>
            </w:r>
            <w:r w:rsidR="001572D3">
              <w:rPr>
                <w:rFonts w:cs="Arial"/>
                <w:b/>
                <w:bCs/>
                <w:color w:val="FFFFFF" w:themeColor="background1"/>
                <w:szCs w:val="24"/>
              </w:rPr>
              <w:t>EHC Plan</w:t>
            </w:r>
          </w:p>
        </w:tc>
        <w:tc>
          <w:tcPr>
            <w:tcW w:w="535" w:type="pct"/>
            <w:shd w:val="clear" w:color="auto" w:fill="086876"/>
          </w:tcPr>
          <w:p w14:paraId="7F20AA4A" w14:textId="2D5A2452" w:rsidR="00A705C8" w:rsidRDefault="00A705C8" w:rsidP="00D9246A">
            <w:pPr>
              <w:spacing w:line="240" w:lineRule="auto"/>
              <w:jc w:val="center"/>
              <w:rPr>
                <w:rFonts w:cs="Arial"/>
                <w:b/>
                <w:bCs/>
                <w:color w:val="FFFFFF" w:themeColor="background1"/>
                <w:szCs w:val="24"/>
              </w:rPr>
            </w:pPr>
            <w:r>
              <w:rPr>
                <w:rFonts w:cs="Arial"/>
                <w:b/>
                <w:bCs/>
                <w:color w:val="FFFFFF" w:themeColor="background1"/>
                <w:szCs w:val="24"/>
              </w:rPr>
              <w:t>Number of pupils with SEN Support</w:t>
            </w:r>
          </w:p>
        </w:tc>
        <w:tc>
          <w:tcPr>
            <w:tcW w:w="487" w:type="pct"/>
            <w:shd w:val="clear" w:color="auto" w:fill="086876"/>
          </w:tcPr>
          <w:p w14:paraId="6F4BDE60" w14:textId="11CFBE93" w:rsidR="00A705C8" w:rsidRDefault="00A705C8" w:rsidP="00D9246A">
            <w:pPr>
              <w:spacing w:line="240" w:lineRule="auto"/>
              <w:jc w:val="center"/>
              <w:rPr>
                <w:rFonts w:cs="Arial"/>
                <w:b/>
                <w:bCs/>
                <w:color w:val="FFFFFF" w:themeColor="background1"/>
                <w:szCs w:val="24"/>
              </w:rPr>
            </w:pPr>
            <w:r>
              <w:rPr>
                <w:rFonts w:cs="Arial"/>
                <w:b/>
                <w:bCs/>
                <w:color w:val="FFFFFF" w:themeColor="background1"/>
                <w:szCs w:val="24"/>
              </w:rPr>
              <w:t>%</w:t>
            </w:r>
            <w:r w:rsidR="0075153D">
              <w:rPr>
                <w:rFonts w:cs="Arial"/>
                <w:b/>
                <w:bCs/>
                <w:color w:val="FFFFFF" w:themeColor="background1"/>
                <w:szCs w:val="24"/>
              </w:rPr>
              <w:t xml:space="preserve"> </w:t>
            </w:r>
            <w:r w:rsidR="009B1FB8">
              <w:rPr>
                <w:rFonts w:cs="Arial"/>
                <w:b/>
                <w:bCs/>
                <w:color w:val="FFFFFF" w:themeColor="background1"/>
                <w:szCs w:val="24"/>
              </w:rPr>
              <w:t>of pupils</w:t>
            </w:r>
            <w:r w:rsidR="0075153D">
              <w:rPr>
                <w:rFonts w:cs="Arial"/>
                <w:b/>
                <w:bCs/>
                <w:color w:val="FFFFFF" w:themeColor="background1"/>
                <w:szCs w:val="24"/>
              </w:rPr>
              <w:t xml:space="preserve"> with SEN Support</w:t>
            </w:r>
          </w:p>
        </w:tc>
        <w:tc>
          <w:tcPr>
            <w:tcW w:w="517" w:type="pct"/>
            <w:shd w:val="clear" w:color="auto" w:fill="086876"/>
          </w:tcPr>
          <w:p w14:paraId="5D15EA0D" w14:textId="50D31647" w:rsidR="00A705C8" w:rsidRPr="00595FE6" w:rsidRDefault="00B8663A" w:rsidP="00D9246A">
            <w:pPr>
              <w:spacing w:line="240" w:lineRule="auto"/>
              <w:jc w:val="center"/>
              <w:rPr>
                <w:rFonts w:cs="Arial"/>
                <w:b/>
                <w:bCs/>
                <w:color w:val="FFFFFF" w:themeColor="background1"/>
                <w:szCs w:val="24"/>
              </w:rPr>
            </w:pPr>
            <w:r>
              <w:rPr>
                <w:rFonts w:cs="Arial"/>
                <w:b/>
                <w:bCs/>
                <w:color w:val="FFFFFF" w:themeColor="background1"/>
                <w:szCs w:val="24"/>
              </w:rPr>
              <w:t>N</w:t>
            </w:r>
            <w:r w:rsidR="00A705C8">
              <w:rPr>
                <w:rFonts w:cs="Arial"/>
                <w:b/>
                <w:bCs/>
                <w:color w:val="FFFFFF" w:themeColor="background1"/>
                <w:szCs w:val="24"/>
              </w:rPr>
              <w:t xml:space="preserve">umber of </w:t>
            </w:r>
            <w:r w:rsidR="00CF19BD">
              <w:rPr>
                <w:rFonts w:cs="Arial"/>
                <w:b/>
                <w:bCs/>
                <w:color w:val="FFFFFF" w:themeColor="background1"/>
                <w:szCs w:val="24"/>
              </w:rPr>
              <w:t xml:space="preserve">All </w:t>
            </w:r>
            <w:r w:rsidR="00A705C8">
              <w:rPr>
                <w:rFonts w:cs="Arial"/>
                <w:b/>
                <w:bCs/>
                <w:color w:val="FFFFFF" w:themeColor="background1"/>
                <w:szCs w:val="24"/>
              </w:rPr>
              <w:t>SEN</w:t>
            </w:r>
            <w:r w:rsidR="00EE7BA0">
              <w:rPr>
                <w:rFonts w:cs="Arial"/>
                <w:b/>
                <w:bCs/>
                <w:color w:val="FFFFFF" w:themeColor="background1"/>
                <w:szCs w:val="24"/>
              </w:rPr>
              <w:t xml:space="preserve"> pu</w:t>
            </w:r>
            <w:r w:rsidR="007F55FC">
              <w:rPr>
                <w:rFonts w:cs="Arial"/>
                <w:b/>
                <w:bCs/>
                <w:color w:val="FFFFFF" w:themeColor="background1"/>
                <w:szCs w:val="24"/>
              </w:rPr>
              <w:t>pils</w:t>
            </w:r>
          </w:p>
        </w:tc>
        <w:tc>
          <w:tcPr>
            <w:tcW w:w="395" w:type="pct"/>
            <w:shd w:val="clear" w:color="auto" w:fill="086876"/>
            <w:vAlign w:val="center"/>
          </w:tcPr>
          <w:p w14:paraId="1DE71160" w14:textId="50012DC4" w:rsidR="00A705C8" w:rsidRPr="00595FE6" w:rsidRDefault="00A705C8" w:rsidP="00D9246A">
            <w:pPr>
              <w:spacing w:line="240" w:lineRule="auto"/>
              <w:jc w:val="center"/>
              <w:rPr>
                <w:rFonts w:cs="Arial"/>
                <w:b/>
                <w:bCs/>
                <w:color w:val="FFFFFF" w:themeColor="background1"/>
                <w:szCs w:val="24"/>
              </w:rPr>
            </w:pPr>
            <w:r w:rsidRPr="00595FE6">
              <w:rPr>
                <w:rFonts w:cs="Arial"/>
                <w:b/>
                <w:bCs/>
                <w:color w:val="FFFFFF" w:themeColor="background1"/>
                <w:szCs w:val="24"/>
              </w:rPr>
              <w:t xml:space="preserve">% </w:t>
            </w:r>
            <w:r w:rsidR="009B1FB8">
              <w:rPr>
                <w:rFonts w:cs="Arial"/>
                <w:b/>
                <w:bCs/>
                <w:color w:val="FFFFFF" w:themeColor="background1"/>
                <w:szCs w:val="24"/>
              </w:rPr>
              <w:t>of pupils</w:t>
            </w:r>
            <w:r>
              <w:rPr>
                <w:rFonts w:cs="Arial"/>
                <w:b/>
                <w:bCs/>
                <w:color w:val="FFFFFF" w:themeColor="background1"/>
                <w:szCs w:val="24"/>
              </w:rPr>
              <w:t xml:space="preserve"> All</w:t>
            </w:r>
            <w:r w:rsidRPr="00595FE6">
              <w:rPr>
                <w:rFonts w:cs="Arial"/>
                <w:b/>
                <w:bCs/>
                <w:color w:val="FFFFFF" w:themeColor="background1"/>
                <w:szCs w:val="24"/>
              </w:rPr>
              <w:t xml:space="preserve"> SEN</w:t>
            </w:r>
          </w:p>
        </w:tc>
      </w:tr>
      <w:tr w:rsidR="000636D6" w:rsidRPr="00595FE6" w14:paraId="3BF49A09" w14:textId="77777777" w:rsidTr="00C85DDE">
        <w:trPr>
          <w:trHeight w:val="331"/>
        </w:trPr>
        <w:tc>
          <w:tcPr>
            <w:tcW w:w="1410" w:type="pct"/>
            <w:vAlign w:val="bottom"/>
          </w:tcPr>
          <w:p w14:paraId="6478C9BC" w14:textId="383C34B7" w:rsidR="007D00DA" w:rsidRPr="00595FE6" w:rsidRDefault="007D00DA" w:rsidP="00D9246A">
            <w:pPr>
              <w:spacing w:line="240" w:lineRule="auto"/>
              <w:rPr>
                <w:rFonts w:cs="Arial"/>
                <w:color w:val="000000" w:themeColor="text1"/>
                <w:szCs w:val="24"/>
              </w:rPr>
            </w:pPr>
            <w:r>
              <w:rPr>
                <w:rFonts w:cs="Arial"/>
                <w:color w:val="000000" w:themeColor="text1"/>
                <w:szCs w:val="24"/>
              </w:rPr>
              <w:t>Male</w:t>
            </w:r>
          </w:p>
        </w:tc>
        <w:tc>
          <w:tcPr>
            <w:tcW w:w="487" w:type="pct"/>
            <w:tcBorders>
              <w:top w:val="nil"/>
              <w:left w:val="nil"/>
              <w:bottom w:val="single" w:sz="8" w:space="0" w:color="auto"/>
              <w:right w:val="single" w:sz="8" w:space="0" w:color="auto"/>
            </w:tcBorders>
            <w:vAlign w:val="bottom"/>
          </w:tcPr>
          <w:p w14:paraId="08E02810" w14:textId="3BFE0E3C" w:rsidR="007D00DA" w:rsidRPr="009D56CF" w:rsidRDefault="007D00DA" w:rsidP="00D9246A">
            <w:pPr>
              <w:spacing w:line="240" w:lineRule="auto"/>
              <w:jc w:val="right"/>
              <w:rPr>
                <w:rFonts w:cs="Arial"/>
                <w:szCs w:val="24"/>
              </w:rPr>
            </w:pPr>
            <w:r w:rsidRPr="009D56CF">
              <w:rPr>
                <w:rFonts w:cs="Arial"/>
                <w:color w:val="000000"/>
                <w:szCs w:val="24"/>
                <w:lang w:eastAsia="en-GB"/>
              </w:rPr>
              <w:t>15</w:t>
            </w:r>
            <w:r w:rsidR="00F47CCE" w:rsidRPr="009D56CF">
              <w:rPr>
                <w:rFonts w:cs="Arial"/>
                <w:color w:val="000000"/>
                <w:szCs w:val="24"/>
                <w:lang w:eastAsia="en-GB"/>
              </w:rPr>
              <w:t>,</w:t>
            </w:r>
            <w:r w:rsidRPr="009D56CF">
              <w:rPr>
                <w:rFonts w:cs="Arial"/>
                <w:color w:val="000000"/>
                <w:szCs w:val="24"/>
                <w:lang w:eastAsia="en-GB"/>
              </w:rPr>
              <w:t>880</w:t>
            </w:r>
          </w:p>
        </w:tc>
        <w:tc>
          <w:tcPr>
            <w:tcW w:w="633" w:type="pct"/>
            <w:tcBorders>
              <w:top w:val="nil"/>
              <w:left w:val="nil"/>
              <w:bottom w:val="single" w:sz="8" w:space="0" w:color="auto"/>
              <w:right w:val="single" w:sz="8" w:space="0" w:color="auto"/>
            </w:tcBorders>
            <w:vAlign w:val="bottom"/>
          </w:tcPr>
          <w:p w14:paraId="1A6D9D78" w14:textId="72881829" w:rsidR="007D00DA" w:rsidRPr="009D56CF" w:rsidRDefault="007D00DA" w:rsidP="00D9246A">
            <w:pPr>
              <w:spacing w:line="240" w:lineRule="auto"/>
              <w:jc w:val="right"/>
              <w:rPr>
                <w:rFonts w:cs="Arial"/>
                <w:szCs w:val="24"/>
              </w:rPr>
            </w:pPr>
            <w:r w:rsidRPr="009D56CF">
              <w:rPr>
                <w:rFonts w:cs="Arial"/>
                <w:color w:val="000000"/>
                <w:szCs w:val="24"/>
                <w:lang w:eastAsia="en-GB"/>
              </w:rPr>
              <w:t>1</w:t>
            </w:r>
            <w:r w:rsidR="0038448F" w:rsidRPr="009D56CF">
              <w:rPr>
                <w:rFonts w:cs="Arial"/>
                <w:color w:val="000000"/>
                <w:szCs w:val="24"/>
                <w:lang w:eastAsia="en-GB"/>
              </w:rPr>
              <w:t>,</w:t>
            </w:r>
            <w:r w:rsidRPr="009D56CF">
              <w:rPr>
                <w:rFonts w:cs="Arial"/>
                <w:color w:val="000000"/>
                <w:szCs w:val="24"/>
                <w:lang w:eastAsia="en-GB"/>
              </w:rPr>
              <w:t>274</w:t>
            </w:r>
          </w:p>
        </w:tc>
        <w:tc>
          <w:tcPr>
            <w:tcW w:w="536" w:type="pct"/>
            <w:tcBorders>
              <w:top w:val="nil"/>
              <w:left w:val="nil"/>
              <w:bottom w:val="single" w:sz="8" w:space="0" w:color="auto"/>
              <w:right w:val="single" w:sz="8" w:space="0" w:color="auto"/>
            </w:tcBorders>
            <w:vAlign w:val="bottom"/>
          </w:tcPr>
          <w:p w14:paraId="7A3ECC26" w14:textId="094DD761" w:rsidR="007D00DA" w:rsidRPr="009D56CF" w:rsidRDefault="007D00DA" w:rsidP="00D9246A">
            <w:pPr>
              <w:spacing w:line="240" w:lineRule="auto"/>
              <w:jc w:val="right"/>
              <w:rPr>
                <w:rFonts w:cs="Arial"/>
                <w:szCs w:val="24"/>
              </w:rPr>
            </w:pPr>
            <w:r w:rsidRPr="009D56CF">
              <w:rPr>
                <w:rFonts w:cs="Arial"/>
                <w:color w:val="000000"/>
                <w:szCs w:val="24"/>
                <w:lang w:eastAsia="en-GB"/>
              </w:rPr>
              <w:t>8.0%</w:t>
            </w:r>
          </w:p>
        </w:tc>
        <w:tc>
          <w:tcPr>
            <w:tcW w:w="535" w:type="pct"/>
            <w:tcBorders>
              <w:top w:val="nil"/>
              <w:left w:val="nil"/>
              <w:bottom w:val="single" w:sz="8" w:space="0" w:color="auto"/>
              <w:right w:val="single" w:sz="8" w:space="0" w:color="auto"/>
            </w:tcBorders>
            <w:vAlign w:val="bottom"/>
          </w:tcPr>
          <w:p w14:paraId="6EC6BB79" w14:textId="7941080B" w:rsidR="007D00DA" w:rsidRPr="009D56CF" w:rsidRDefault="007D00DA" w:rsidP="00D9246A">
            <w:pPr>
              <w:spacing w:line="240" w:lineRule="auto"/>
              <w:jc w:val="right"/>
              <w:rPr>
                <w:rFonts w:cs="Arial"/>
                <w:szCs w:val="24"/>
              </w:rPr>
            </w:pPr>
            <w:r w:rsidRPr="009D56CF">
              <w:rPr>
                <w:rFonts w:cs="Arial"/>
                <w:color w:val="000000"/>
                <w:szCs w:val="24"/>
                <w:lang w:eastAsia="en-GB"/>
              </w:rPr>
              <w:t>3</w:t>
            </w:r>
            <w:r w:rsidR="00F47CCE" w:rsidRPr="009D56CF">
              <w:rPr>
                <w:rFonts w:cs="Arial"/>
                <w:color w:val="000000"/>
                <w:szCs w:val="24"/>
                <w:lang w:eastAsia="en-GB"/>
              </w:rPr>
              <w:t>,</w:t>
            </w:r>
            <w:r w:rsidRPr="009D56CF">
              <w:rPr>
                <w:rFonts w:cs="Arial"/>
                <w:color w:val="000000"/>
                <w:szCs w:val="24"/>
                <w:lang w:eastAsia="en-GB"/>
              </w:rPr>
              <w:t>207</w:t>
            </w:r>
          </w:p>
        </w:tc>
        <w:tc>
          <w:tcPr>
            <w:tcW w:w="487" w:type="pct"/>
            <w:tcBorders>
              <w:top w:val="nil"/>
              <w:left w:val="nil"/>
              <w:bottom w:val="single" w:sz="8" w:space="0" w:color="auto"/>
              <w:right w:val="single" w:sz="8" w:space="0" w:color="auto"/>
            </w:tcBorders>
            <w:vAlign w:val="bottom"/>
          </w:tcPr>
          <w:p w14:paraId="502E4532" w14:textId="30F874AF" w:rsidR="007D00DA" w:rsidRPr="009D56CF" w:rsidRDefault="007D00DA" w:rsidP="00D9246A">
            <w:pPr>
              <w:spacing w:line="240" w:lineRule="auto"/>
              <w:jc w:val="right"/>
              <w:rPr>
                <w:rFonts w:cs="Arial"/>
                <w:szCs w:val="24"/>
              </w:rPr>
            </w:pPr>
            <w:r w:rsidRPr="009D56CF">
              <w:rPr>
                <w:rFonts w:cs="Arial"/>
                <w:color w:val="000000"/>
                <w:szCs w:val="24"/>
                <w:lang w:eastAsia="en-GB"/>
              </w:rPr>
              <w:t>20.2%</w:t>
            </w:r>
          </w:p>
        </w:tc>
        <w:tc>
          <w:tcPr>
            <w:tcW w:w="517" w:type="pct"/>
          </w:tcPr>
          <w:p w14:paraId="562AB98D" w14:textId="02FE30B1" w:rsidR="007D00DA" w:rsidRPr="009D56CF" w:rsidRDefault="007D00DA" w:rsidP="00D9246A">
            <w:pPr>
              <w:spacing w:line="240" w:lineRule="auto"/>
              <w:jc w:val="right"/>
              <w:rPr>
                <w:rFonts w:cs="Arial"/>
                <w:szCs w:val="24"/>
              </w:rPr>
            </w:pPr>
            <w:r w:rsidRPr="009D56CF">
              <w:rPr>
                <w:rFonts w:cs="Arial"/>
                <w:szCs w:val="24"/>
              </w:rPr>
              <w:t>4,481</w:t>
            </w:r>
          </w:p>
        </w:tc>
        <w:tc>
          <w:tcPr>
            <w:tcW w:w="395" w:type="pct"/>
            <w:vAlign w:val="center"/>
          </w:tcPr>
          <w:p w14:paraId="401D37DB" w14:textId="295B9D44" w:rsidR="007D00DA" w:rsidRPr="009D56CF" w:rsidRDefault="007D00DA" w:rsidP="00D9246A">
            <w:pPr>
              <w:spacing w:line="240" w:lineRule="auto"/>
              <w:jc w:val="right"/>
              <w:rPr>
                <w:rFonts w:cs="Arial"/>
                <w:szCs w:val="24"/>
              </w:rPr>
            </w:pPr>
            <w:r w:rsidRPr="009D56CF">
              <w:rPr>
                <w:rFonts w:cs="Arial"/>
                <w:szCs w:val="24"/>
              </w:rPr>
              <w:t>28%</w:t>
            </w:r>
          </w:p>
        </w:tc>
      </w:tr>
      <w:tr w:rsidR="000636D6" w:rsidRPr="00595FE6" w14:paraId="65B878C4" w14:textId="77777777" w:rsidTr="00C85DDE">
        <w:trPr>
          <w:trHeight w:val="170"/>
        </w:trPr>
        <w:tc>
          <w:tcPr>
            <w:tcW w:w="1410" w:type="pct"/>
            <w:vAlign w:val="bottom"/>
          </w:tcPr>
          <w:p w14:paraId="0AF9CE78" w14:textId="383C2DFE" w:rsidR="007D00DA" w:rsidRDefault="007D00DA" w:rsidP="00D9246A">
            <w:pPr>
              <w:spacing w:line="240" w:lineRule="auto"/>
              <w:rPr>
                <w:rFonts w:cs="Arial"/>
                <w:color w:val="000000" w:themeColor="text1"/>
                <w:szCs w:val="24"/>
              </w:rPr>
            </w:pPr>
            <w:r>
              <w:rPr>
                <w:rFonts w:cs="Arial"/>
                <w:color w:val="000000" w:themeColor="text1"/>
                <w:szCs w:val="24"/>
              </w:rPr>
              <w:t>Female</w:t>
            </w:r>
          </w:p>
        </w:tc>
        <w:tc>
          <w:tcPr>
            <w:tcW w:w="487" w:type="pct"/>
            <w:tcBorders>
              <w:top w:val="nil"/>
              <w:left w:val="nil"/>
              <w:bottom w:val="single" w:sz="8" w:space="0" w:color="auto"/>
              <w:right w:val="single" w:sz="8" w:space="0" w:color="auto"/>
            </w:tcBorders>
            <w:vAlign w:val="bottom"/>
          </w:tcPr>
          <w:p w14:paraId="2C728765" w14:textId="1C74D9A2" w:rsidR="007D00DA" w:rsidRPr="009D56CF" w:rsidRDefault="007D00DA" w:rsidP="00D9246A">
            <w:pPr>
              <w:spacing w:line="240" w:lineRule="auto"/>
              <w:jc w:val="right"/>
              <w:rPr>
                <w:rFonts w:cs="Arial"/>
                <w:szCs w:val="24"/>
              </w:rPr>
            </w:pPr>
            <w:r w:rsidRPr="009D56CF">
              <w:rPr>
                <w:rFonts w:cs="Arial"/>
                <w:color w:val="000000"/>
                <w:szCs w:val="24"/>
                <w:lang w:eastAsia="en-GB"/>
              </w:rPr>
              <w:t>14</w:t>
            </w:r>
            <w:r w:rsidR="00F47CCE" w:rsidRPr="009D56CF">
              <w:rPr>
                <w:rFonts w:cs="Arial"/>
                <w:color w:val="000000"/>
                <w:szCs w:val="24"/>
                <w:lang w:eastAsia="en-GB"/>
              </w:rPr>
              <w:t>,</w:t>
            </w:r>
            <w:r w:rsidRPr="009D56CF">
              <w:rPr>
                <w:rFonts w:cs="Arial"/>
                <w:color w:val="000000"/>
                <w:szCs w:val="24"/>
                <w:lang w:eastAsia="en-GB"/>
              </w:rPr>
              <w:t>686</w:t>
            </w:r>
          </w:p>
        </w:tc>
        <w:tc>
          <w:tcPr>
            <w:tcW w:w="633" w:type="pct"/>
            <w:tcBorders>
              <w:top w:val="nil"/>
              <w:left w:val="nil"/>
              <w:bottom w:val="single" w:sz="8" w:space="0" w:color="auto"/>
              <w:right w:val="single" w:sz="8" w:space="0" w:color="auto"/>
            </w:tcBorders>
            <w:vAlign w:val="bottom"/>
          </w:tcPr>
          <w:p w14:paraId="40C0F134" w14:textId="3017435B" w:rsidR="007D00DA" w:rsidRPr="009D56CF" w:rsidRDefault="007D00DA" w:rsidP="00D9246A">
            <w:pPr>
              <w:spacing w:line="240" w:lineRule="auto"/>
              <w:jc w:val="right"/>
              <w:rPr>
                <w:rFonts w:cs="Arial"/>
                <w:szCs w:val="24"/>
              </w:rPr>
            </w:pPr>
            <w:r w:rsidRPr="009D56CF">
              <w:rPr>
                <w:rFonts w:cs="Arial"/>
                <w:color w:val="000000"/>
                <w:szCs w:val="24"/>
                <w:lang w:eastAsia="en-GB"/>
              </w:rPr>
              <w:t>497</w:t>
            </w:r>
          </w:p>
        </w:tc>
        <w:tc>
          <w:tcPr>
            <w:tcW w:w="536" w:type="pct"/>
            <w:tcBorders>
              <w:top w:val="nil"/>
              <w:left w:val="nil"/>
              <w:bottom w:val="single" w:sz="8" w:space="0" w:color="auto"/>
              <w:right w:val="single" w:sz="8" w:space="0" w:color="auto"/>
            </w:tcBorders>
            <w:vAlign w:val="bottom"/>
          </w:tcPr>
          <w:p w14:paraId="44F2249E" w14:textId="077FCA29" w:rsidR="007D00DA" w:rsidRPr="009D56CF" w:rsidRDefault="007D00DA" w:rsidP="00D9246A">
            <w:pPr>
              <w:spacing w:line="240" w:lineRule="auto"/>
              <w:jc w:val="right"/>
              <w:rPr>
                <w:rFonts w:cs="Arial"/>
                <w:szCs w:val="24"/>
              </w:rPr>
            </w:pPr>
            <w:r w:rsidRPr="009D56CF">
              <w:rPr>
                <w:rFonts w:cs="Arial"/>
                <w:color w:val="000000"/>
                <w:szCs w:val="24"/>
                <w:lang w:eastAsia="en-GB"/>
              </w:rPr>
              <w:t>3.4%</w:t>
            </w:r>
          </w:p>
        </w:tc>
        <w:tc>
          <w:tcPr>
            <w:tcW w:w="535" w:type="pct"/>
            <w:tcBorders>
              <w:top w:val="nil"/>
              <w:left w:val="nil"/>
              <w:bottom w:val="single" w:sz="8" w:space="0" w:color="auto"/>
              <w:right w:val="single" w:sz="8" w:space="0" w:color="auto"/>
            </w:tcBorders>
            <w:vAlign w:val="bottom"/>
          </w:tcPr>
          <w:p w14:paraId="4F589EFC" w14:textId="4EDE91A5" w:rsidR="007D00DA" w:rsidRPr="009D56CF" w:rsidRDefault="007D00DA" w:rsidP="00D9246A">
            <w:pPr>
              <w:spacing w:line="240" w:lineRule="auto"/>
              <w:jc w:val="right"/>
              <w:rPr>
                <w:rFonts w:cs="Arial"/>
                <w:szCs w:val="24"/>
              </w:rPr>
            </w:pPr>
            <w:r w:rsidRPr="009D56CF">
              <w:rPr>
                <w:rFonts w:cs="Arial"/>
                <w:color w:val="000000"/>
                <w:szCs w:val="24"/>
                <w:lang w:eastAsia="en-GB"/>
              </w:rPr>
              <w:t>2</w:t>
            </w:r>
            <w:r w:rsidR="00F47CCE" w:rsidRPr="009D56CF">
              <w:rPr>
                <w:rFonts w:cs="Arial"/>
                <w:color w:val="000000"/>
                <w:szCs w:val="24"/>
                <w:lang w:eastAsia="en-GB"/>
              </w:rPr>
              <w:t>,</w:t>
            </w:r>
            <w:r w:rsidRPr="009D56CF">
              <w:rPr>
                <w:rFonts w:cs="Arial"/>
                <w:color w:val="000000"/>
                <w:szCs w:val="24"/>
                <w:lang w:eastAsia="en-GB"/>
              </w:rPr>
              <w:t>285</w:t>
            </w:r>
          </w:p>
        </w:tc>
        <w:tc>
          <w:tcPr>
            <w:tcW w:w="487" w:type="pct"/>
            <w:tcBorders>
              <w:top w:val="nil"/>
              <w:left w:val="nil"/>
              <w:bottom w:val="single" w:sz="8" w:space="0" w:color="auto"/>
              <w:right w:val="single" w:sz="8" w:space="0" w:color="auto"/>
            </w:tcBorders>
            <w:vAlign w:val="bottom"/>
          </w:tcPr>
          <w:p w14:paraId="28C622EF" w14:textId="2F7AF4AD" w:rsidR="007D00DA" w:rsidRPr="009D56CF" w:rsidRDefault="007D00DA" w:rsidP="00D9246A">
            <w:pPr>
              <w:spacing w:line="240" w:lineRule="auto"/>
              <w:jc w:val="right"/>
              <w:rPr>
                <w:rFonts w:cs="Arial"/>
                <w:szCs w:val="24"/>
              </w:rPr>
            </w:pPr>
            <w:r w:rsidRPr="009D56CF">
              <w:rPr>
                <w:rFonts w:cs="Arial"/>
                <w:color w:val="000000"/>
                <w:szCs w:val="24"/>
                <w:lang w:eastAsia="en-GB"/>
              </w:rPr>
              <w:t>15.6%</w:t>
            </w:r>
          </w:p>
        </w:tc>
        <w:tc>
          <w:tcPr>
            <w:tcW w:w="517" w:type="pct"/>
          </w:tcPr>
          <w:p w14:paraId="18739B3D" w14:textId="394E89E1" w:rsidR="007D00DA" w:rsidRPr="009D56CF" w:rsidRDefault="007D00DA" w:rsidP="00D9246A">
            <w:pPr>
              <w:spacing w:line="240" w:lineRule="auto"/>
              <w:jc w:val="right"/>
              <w:rPr>
                <w:rFonts w:cs="Arial"/>
                <w:szCs w:val="24"/>
              </w:rPr>
            </w:pPr>
            <w:r w:rsidRPr="009D56CF">
              <w:rPr>
                <w:rFonts w:cs="Arial"/>
                <w:szCs w:val="24"/>
              </w:rPr>
              <w:t>2,782</w:t>
            </w:r>
          </w:p>
        </w:tc>
        <w:tc>
          <w:tcPr>
            <w:tcW w:w="395" w:type="pct"/>
            <w:vAlign w:val="center"/>
          </w:tcPr>
          <w:p w14:paraId="261744D5" w14:textId="0CAA05A1" w:rsidR="007D00DA" w:rsidRPr="009D56CF" w:rsidRDefault="007D00DA" w:rsidP="00D9246A">
            <w:pPr>
              <w:spacing w:line="240" w:lineRule="auto"/>
              <w:jc w:val="right"/>
              <w:rPr>
                <w:rFonts w:cs="Arial"/>
                <w:szCs w:val="24"/>
              </w:rPr>
            </w:pPr>
            <w:r w:rsidRPr="009D56CF">
              <w:rPr>
                <w:rFonts w:cs="Arial"/>
                <w:szCs w:val="24"/>
              </w:rPr>
              <w:t>19%</w:t>
            </w:r>
          </w:p>
        </w:tc>
      </w:tr>
      <w:tr w:rsidR="000636D6" w:rsidRPr="00595FE6" w14:paraId="062F75CD" w14:textId="77777777" w:rsidTr="00C85DDE">
        <w:trPr>
          <w:trHeight w:val="170"/>
        </w:trPr>
        <w:tc>
          <w:tcPr>
            <w:tcW w:w="1410" w:type="pct"/>
            <w:vAlign w:val="bottom"/>
          </w:tcPr>
          <w:p w14:paraId="3A7C41E0" w14:textId="77777777" w:rsidR="007D00DA" w:rsidRPr="00595FE6" w:rsidRDefault="007D00DA" w:rsidP="00D9246A">
            <w:pPr>
              <w:spacing w:line="240" w:lineRule="auto"/>
              <w:rPr>
                <w:rFonts w:cs="Arial"/>
                <w:szCs w:val="24"/>
              </w:rPr>
            </w:pPr>
            <w:r w:rsidRPr="00595FE6">
              <w:rPr>
                <w:rFonts w:cs="Arial"/>
                <w:color w:val="000000" w:themeColor="text1"/>
                <w:szCs w:val="24"/>
              </w:rPr>
              <w:t>Eligible for free school meals (FSM)</w:t>
            </w:r>
          </w:p>
        </w:tc>
        <w:tc>
          <w:tcPr>
            <w:tcW w:w="487" w:type="pct"/>
            <w:tcBorders>
              <w:top w:val="nil"/>
              <w:left w:val="nil"/>
              <w:bottom w:val="single" w:sz="8" w:space="0" w:color="auto"/>
              <w:right w:val="single" w:sz="8" w:space="0" w:color="auto"/>
            </w:tcBorders>
            <w:vAlign w:val="bottom"/>
          </w:tcPr>
          <w:p w14:paraId="4BF80B96" w14:textId="1B0954BC" w:rsidR="007D00DA" w:rsidRPr="009D56CF" w:rsidRDefault="007D00DA" w:rsidP="00D9246A">
            <w:pPr>
              <w:spacing w:line="240" w:lineRule="auto"/>
              <w:jc w:val="right"/>
              <w:rPr>
                <w:rFonts w:cs="Arial"/>
                <w:szCs w:val="24"/>
              </w:rPr>
            </w:pPr>
            <w:r w:rsidRPr="009D56CF">
              <w:rPr>
                <w:rFonts w:cs="Arial"/>
                <w:color w:val="000000"/>
                <w:szCs w:val="24"/>
                <w:lang w:eastAsia="en-GB"/>
              </w:rPr>
              <w:t>8,032</w:t>
            </w:r>
          </w:p>
        </w:tc>
        <w:tc>
          <w:tcPr>
            <w:tcW w:w="633" w:type="pct"/>
            <w:tcBorders>
              <w:top w:val="nil"/>
              <w:left w:val="nil"/>
              <w:bottom w:val="single" w:sz="8" w:space="0" w:color="auto"/>
              <w:right w:val="single" w:sz="8" w:space="0" w:color="auto"/>
            </w:tcBorders>
            <w:vAlign w:val="bottom"/>
          </w:tcPr>
          <w:p w14:paraId="097AB077" w14:textId="50047980" w:rsidR="007D00DA" w:rsidRPr="009D56CF" w:rsidRDefault="007D00DA" w:rsidP="00D9246A">
            <w:pPr>
              <w:spacing w:line="240" w:lineRule="auto"/>
              <w:jc w:val="right"/>
              <w:rPr>
                <w:rFonts w:cs="Arial"/>
                <w:szCs w:val="24"/>
              </w:rPr>
            </w:pPr>
            <w:r w:rsidRPr="009D56CF">
              <w:rPr>
                <w:rFonts w:cs="Arial"/>
                <w:color w:val="000000"/>
                <w:szCs w:val="24"/>
                <w:lang w:eastAsia="en-GB"/>
              </w:rPr>
              <w:t>850</w:t>
            </w:r>
          </w:p>
        </w:tc>
        <w:tc>
          <w:tcPr>
            <w:tcW w:w="536" w:type="pct"/>
            <w:tcBorders>
              <w:top w:val="nil"/>
              <w:left w:val="nil"/>
              <w:bottom w:val="single" w:sz="8" w:space="0" w:color="auto"/>
              <w:right w:val="single" w:sz="8" w:space="0" w:color="auto"/>
            </w:tcBorders>
            <w:vAlign w:val="bottom"/>
          </w:tcPr>
          <w:p w14:paraId="05E151D6" w14:textId="56B60F19" w:rsidR="007D00DA" w:rsidRPr="009D56CF" w:rsidRDefault="007D00DA" w:rsidP="00D9246A">
            <w:pPr>
              <w:spacing w:line="240" w:lineRule="auto"/>
              <w:jc w:val="right"/>
              <w:rPr>
                <w:rFonts w:cs="Arial"/>
                <w:szCs w:val="24"/>
              </w:rPr>
            </w:pPr>
            <w:r w:rsidRPr="009D56CF">
              <w:rPr>
                <w:rFonts w:cs="Arial"/>
                <w:color w:val="000000"/>
                <w:szCs w:val="24"/>
                <w:lang w:eastAsia="en-GB"/>
              </w:rPr>
              <w:t>10.6%</w:t>
            </w:r>
          </w:p>
        </w:tc>
        <w:tc>
          <w:tcPr>
            <w:tcW w:w="535" w:type="pct"/>
            <w:tcBorders>
              <w:top w:val="nil"/>
              <w:left w:val="nil"/>
              <w:bottom w:val="single" w:sz="8" w:space="0" w:color="auto"/>
              <w:right w:val="single" w:sz="8" w:space="0" w:color="auto"/>
            </w:tcBorders>
            <w:vAlign w:val="bottom"/>
          </w:tcPr>
          <w:p w14:paraId="14D355FE" w14:textId="4B864653" w:rsidR="007D00DA" w:rsidRPr="009D56CF" w:rsidRDefault="007D00DA" w:rsidP="00D9246A">
            <w:pPr>
              <w:spacing w:line="240" w:lineRule="auto"/>
              <w:jc w:val="right"/>
              <w:rPr>
                <w:rFonts w:cs="Arial"/>
                <w:szCs w:val="24"/>
              </w:rPr>
            </w:pPr>
            <w:r w:rsidRPr="009D56CF">
              <w:rPr>
                <w:rFonts w:cs="Arial"/>
                <w:color w:val="000000"/>
                <w:szCs w:val="24"/>
                <w:lang w:eastAsia="en-GB"/>
              </w:rPr>
              <w:t>2</w:t>
            </w:r>
            <w:r w:rsidR="00F47CCE" w:rsidRPr="009D56CF">
              <w:rPr>
                <w:rFonts w:cs="Arial"/>
                <w:color w:val="000000"/>
                <w:szCs w:val="24"/>
                <w:lang w:eastAsia="en-GB"/>
              </w:rPr>
              <w:t>,</w:t>
            </w:r>
            <w:r w:rsidRPr="009D56CF">
              <w:rPr>
                <w:rFonts w:cs="Arial"/>
                <w:color w:val="000000"/>
                <w:szCs w:val="24"/>
                <w:lang w:eastAsia="en-GB"/>
              </w:rPr>
              <w:t>167</w:t>
            </w:r>
          </w:p>
        </w:tc>
        <w:tc>
          <w:tcPr>
            <w:tcW w:w="487" w:type="pct"/>
            <w:tcBorders>
              <w:top w:val="nil"/>
              <w:left w:val="nil"/>
              <w:bottom w:val="single" w:sz="8" w:space="0" w:color="auto"/>
              <w:right w:val="single" w:sz="8" w:space="0" w:color="auto"/>
            </w:tcBorders>
            <w:vAlign w:val="bottom"/>
          </w:tcPr>
          <w:p w14:paraId="123E1FAE" w14:textId="14DAB946" w:rsidR="007D00DA" w:rsidRPr="009D56CF" w:rsidRDefault="007D00DA" w:rsidP="00D9246A">
            <w:pPr>
              <w:spacing w:line="240" w:lineRule="auto"/>
              <w:jc w:val="right"/>
              <w:rPr>
                <w:rFonts w:cs="Arial"/>
                <w:szCs w:val="24"/>
              </w:rPr>
            </w:pPr>
            <w:r w:rsidRPr="009D56CF">
              <w:rPr>
                <w:rFonts w:cs="Arial"/>
                <w:color w:val="000000"/>
                <w:szCs w:val="24"/>
                <w:lang w:eastAsia="en-GB"/>
              </w:rPr>
              <w:t>27.0%</w:t>
            </w:r>
          </w:p>
        </w:tc>
        <w:tc>
          <w:tcPr>
            <w:tcW w:w="517" w:type="pct"/>
          </w:tcPr>
          <w:p w14:paraId="2E36E8EE" w14:textId="052B54BB" w:rsidR="007D00DA" w:rsidRPr="009D56CF" w:rsidRDefault="007D00DA" w:rsidP="00D9246A">
            <w:pPr>
              <w:spacing w:line="240" w:lineRule="auto"/>
              <w:jc w:val="right"/>
              <w:rPr>
                <w:rFonts w:cs="Arial"/>
                <w:szCs w:val="24"/>
              </w:rPr>
            </w:pPr>
            <w:r w:rsidRPr="009D56CF">
              <w:rPr>
                <w:rFonts w:cs="Arial"/>
                <w:szCs w:val="24"/>
              </w:rPr>
              <w:t>3,017</w:t>
            </w:r>
          </w:p>
        </w:tc>
        <w:tc>
          <w:tcPr>
            <w:tcW w:w="395" w:type="pct"/>
            <w:vAlign w:val="bottom"/>
          </w:tcPr>
          <w:p w14:paraId="300D3823" w14:textId="50642D9E" w:rsidR="007D00DA" w:rsidRPr="009D56CF" w:rsidRDefault="007D00DA" w:rsidP="00D9246A">
            <w:pPr>
              <w:spacing w:line="240" w:lineRule="auto"/>
              <w:jc w:val="right"/>
              <w:rPr>
                <w:rFonts w:cs="Arial"/>
                <w:szCs w:val="24"/>
              </w:rPr>
            </w:pPr>
            <w:r w:rsidRPr="009D56CF">
              <w:rPr>
                <w:rFonts w:cs="Arial"/>
                <w:szCs w:val="24"/>
              </w:rPr>
              <w:t>38%</w:t>
            </w:r>
          </w:p>
        </w:tc>
      </w:tr>
      <w:tr w:rsidR="000636D6" w:rsidRPr="00595FE6" w14:paraId="4869BBEB" w14:textId="77777777" w:rsidTr="00C85DDE">
        <w:trPr>
          <w:trHeight w:val="170"/>
        </w:trPr>
        <w:tc>
          <w:tcPr>
            <w:tcW w:w="1410" w:type="pct"/>
            <w:vAlign w:val="bottom"/>
          </w:tcPr>
          <w:p w14:paraId="65C70034" w14:textId="77777777" w:rsidR="007D00DA" w:rsidRPr="00595FE6" w:rsidRDefault="007D00DA" w:rsidP="00D9246A">
            <w:pPr>
              <w:spacing w:line="240" w:lineRule="auto"/>
              <w:rPr>
                <w:rFonts w:cs="Arial"/>
                <w:szCs w:val="24"/>
              </w:rPr>
            </w:pPr>
            <w:r w:rsidRPr="00595FE6">
              <w:rPr>
                <w:rFonts w:cs="Arial"/>
                <w:color w:val="000000" w:themeColor="text1"/>
                <w:szCs w:val="24"/>
              </w:rPr>
              <w:t>Not eligible for free school meals (FSM)</w:t>
            </w:r>
          </w:p>
        </w:tc>
        <w:tc>
          <w:tcPr>
            <w:tcW w:w="487" w:type="pct"/>
            <w:tcBorders>
              <w:top w:val="nil"/>
              <w:left w:val="nil"/>
              <w:bottom w:val="single" w:sz="8" w:space="0" w:color="auto"/>
              <w:right w:val="single" w:sz="8" w:space="0" w:color="auto"/>
            </w:tcBorders>
            <w:vAlign w:val="bottom"/>
          </w:tcPr>
          <w:p w14:paraId="1E5FB6B7" w14:textId="2602665B" w:rsidR="007D00DA" w:rsidRPr="009D56CF" w:rsidRDefault="007D00DA" w:rsidP="00D9246A">
            <w:pPr>
              <w:spacing w:line="240" w:lineRule="auto"/>
              <w:jc w:val="right"/>
              <w:rPr>
                <w:rFonts w:cs="Arial"/>
                <w:szCs w:val="24"/>
              </w:rPr>
            </w:pPr>
            <w:r w:rsidRPr="009D56CF">
              <w:rPr>
                <w:rFonts w:cs="Arial"/>
                <w:color w:val="000000"/>
                <w:szCs w:val="24"/>
                <w:lang w:eastAsia="en-GB"/>
              </w:rPr>
              <w:t>22,534</w:t>
            </w:r>
          </w:p>
        </w:tc>
        <w:tc>
          <w:tcPr>
            <w:tcW w:w="633" w:type="pct"/>
            <w:tcBorders>
              <w:top w:val="nil"/>
              <w:left w:val="nil"/>
              <w:bottom w:val="single" w:sz="8" w:space="0" w:color="auto"/>
              <w:right w:val="single" w:sz="8" w:space="0" w:color="auto"/>
            </w:tcBorders>
            <w:vAlign w:val="bottom"/>
          </w:tcPr>
          <w:p w14:paraId="4129CC0F" w14:textId="451D862D" w:rsidR="007D00DA" w:rsidRPr="009D56CF" w:rsidRDefault="007D00DA" w:rsidP="00D9246A">
            <w:pPr>
              <w:spacing w:line="240" w:lineRule="auto"/>
              <w:jc w:val="right"/>
              <w:rPr>
                <w:rFonts w:cs="Arial"/>
                <w:szCs w:val="24"/>
              </w:rPr>
            </w:pPr>
            <w:r w:rsidRPr="009D56CF">
              <w:rPr>
                <w:rFonts w:cs="Arial"/>
                <w:color w:val="000000"/>
                <w:szCs w:val="24"/>
                <w:lang w:eastAsia="en-GB"/>
              </w:rPr>
              <w:t>921</w:t>
            </w:r>
          </w:p>
        </w:tc>
        <w:tc>
          <w:tcPr>
            <w:tcW w:w="536" w:type="pct"/>
            <w:tcBorders>
              <w:top w:val="nil"/>
              <w:left w:val="nil"/>
              <w:bottom w:val="single" w:sz="8" w:space="0" w:color="auto"/>
              <w:right w:val="single" w:sz="8" w:space="0" w:color="auto"/>
            </w:tcBorders>
            <w:vAlign w:val="bottom"/>
          </w:tcPr>
          <w:p w14:paraId="58F14C91" w14:textId="18B15360" w:rsidR="007D00DA" w:rsidRPr="009D56CF" w:rsidRDefault="007D00DA" w:rsidP="00D9246A">
            <w:pPr>
              <w:spacing w:line="240" w:lineRule="auto"/>
              <w:jc w:val="right"/>
              <w:rPr>
                <w:rFonts w:cs="Arial"/>
                <w:szCs w:val="24"/>
              </w:rPr>
            </w:pPr>
            <w:r w:rsidRPr="009D56CF">
              <w:rPr>
                <w:rFonts w:cs="Arial"/>
                <w:color w:val="000000"/>
                <w:szCs w:val="24"/>
                <w:lang w:eastAsia="en-GB"/>
              </w:rPr>
              <w:t>4.1%</w:t>
            </w:r>
          </w:p>
        </w:tc>
        <w:tc>
          <w:tcPr>
            <w:tcW w:w="535" w:type="pct"/>
            <w:tcBorders>
              <w:top w:val="nil"/>
              <w:left w:val="nil"/>
              <w:bottom w:val="single" w:sz="8" w:space="0" w:color="auto"/>
              <w:right w:val="single" w:sz="8" w:space="0" w:color="auto"/>
            </w:tcBorders>
            <w:vAlign w:val="bottom"/>
          </w:tcPr>
          <w:p w14:paraId="548C4664" w14:textId="7944C0C1" w:rsidR="007D00DA" w:rsidRPr="009D56CF" w:rsidRDefault="007D00DA" w:rsidP="00D9246A">
            <w:pPr>
              <w:spacing w:line="240" w:lineRule="auto"/>
              <w:jc w:val="right"/>
              <w:rPr>
                <w:rFonts w:cs="Arial"/>
                <w:szCs w:val="24"/>
              </w:rPr>
            </w:pPr>
            <w:r w:rsidRPr="009D56CF">
              <w:rPr>
                <w:rFonts w:cs="Arial"/>
                <w:color w:val="000000"/>
                <w:szCs w:val="24"/>
                <w:lang w:eastAsia="en-GB"/>
              </w:rPr>
              <w:t>3</w:t>
            </w:r>
            <w:r w:rsidR="00F47CCE" w:rsidRPr="009D56CF">
              <w:rPr>
                <w:rFonts w:cs="Arial"/>
                <w:color w:val="000000"/>
                <w:szCs w:val="24"/>
                <w:lang w:eastAsia="en-GB"/>
              </w:rPr>
              <w:t>,</w:t>
            </w:r>
            <w:r w:rsidRPr="009D56CF">
              <w:rPr>
                <w:rFonts w:cs="Arial"/>
                <w:color w:val="000000"/>
                <w:szCs w:val="24"/>
                <w:lang w:eastAsia="en-GB"/>
              </w:rPr>
              <w:t>325</w:t>
            </w:r>
          </w:p>
        </w:tc>
        <w:tc>
          <w:tcPr>
            <w:tcW w:w="487" w:type="pct"/>
            <w:tcBorders>
              <w:top w:val="nil"/>
              <w:left w:val="nil"/>
              <w:bottom w:val="single" w:sz="8" w:space="0" w:color="auto"/>
              <w:right w:val="single" w:sz="8" w:space="0" w:color="auto"/>
            </w:tcBorders>
            <w:vAlign w:val="bottom"/>
          </w:tcPr>
          <w:p w14:paraId="1AEEF653" w14:textId="380EE552" w:rsidR="007D00DA" w:rsidRPr="009D56CF" w:rsidRDefault="007D00DA" w:rsidP="00D9246A">
            <w:pPr>
              <w:spacing w:line="240" w:lineRule="auto"/>
              <w:jc w:val="right"/>
              <w:rPr>
                <w:rFonts w:cs="Arial"/>
                <w:szCs w:val="24"/>
              </w:rPr>
            </w:pPr>
            <w:r w:rsidRPr="009D56CF">
              <w:rPr>
                <w:rFonts w:cs="Arial"/>
                <w:color w:val="000000"/>
                <w:szCs w:val="24"/>
                <w:lang w:eastAsia="en-GB"/>
              </w:rPr>
              <w:t>14.8%</w:t>
            </w:r>
          </w:p>
        </w:tc>
        <w:tc>
          <w:tcPr>
            <w:tcW w:w="517" w:type="pct"/>
          </w:tcPr>
          <w:p w14:paraId="749DE77D" w14:textId="77777777" w:rsidR="00D82B04" w:rsidRDefault="00D82B04" w:rsidP="00D9246A">
            <w:pPr>
              <w:spacing w:line="240" w:lineRule="auto"/>
              <w:jc w:val="right"/>
              <w:rPr>
                <w:rFonts w:cs="Arial"/>
                <w:szCs w:val="24"/>
              </w:rPr>
            </w:pPr>
          </w:p>
          <w:p w14:paraId="4E5B824D" w14:textId="7D6DB3F6" w:rsidR="007D00DA" w:rsidRPr="009D56CF" w:rsidRDefault="007D00DA" w:rsidP="00D9246A">
            <w:pPr>
              <w:spacing w:line="240" w:lineRule="auto"/>
              <w:jc w:val="right"/>
              <w:rPr>
                <w:rFonts w:cs="Arial"/>
                <w:szCs w:val="24"/>
              </w:rPr>
            </w:pPr>
            <w:r w:rsidRPr="009D56CF">
              <w:rPr>
                <w:rFonts w:cs="Arial"/>
                <w:szCs w:val="24"/>
              </w:rPr>
              <w:t>4,246</w:t>
            </w:r>
          </w:p>
        </w:tc>
        <w:tc>
          <w:tcPr>
            <w:tcW w:w="395" w:type="pct"/>
            <w:vAlign w:val="bottom"/>
          </w:tcPr>
          <w:p w14:paraId="3C133875" w14:textId="494A9C50" w:rsidR="007D00DA" w:rsidRPr="009D56CF" w:rsidRDefault="007D00DA" w:rsidP="00D9246A">
            <w:pPr>
              <w:spacing w:line="240" w:lineRule="auto"/>
              <w:jc w:val="right"/>
              <w:rPr>
                <w:rFonts w:cs="Arial"/>
                <w:szCs w:val="24"/>
              </w:rPr>
            </w:pPr>
            <w:r w:rsidRPr="009D56CF">
              <w:rPr>
                <w:rFonts w:cs="Arial"/>
                <w:szCs w:val="24"/>
              </w:rPr>
              <w:t>19%</w:t>
            </w:r>
          </w:p>
        </w:tc>
      </w:tr>
      <w:tr w:rsidR="000636D6" w:rsidRPr="00595FE6" w14:paraId="7C499581" w14:textId="77777777" w:rsidTr="00C85DDE">
        <w:trPr>
          <w:trHeight w:val="170"/>
        </w:trPr>
        <w:tc>
          <w:tcPr>
            <w:tcW w:w="1410" w:type="pct"/>
            <w:tcBorders>
              <w:top w:val="single" w:sz="6" w:space="0" w:color="auto"/>
              <w:left w:val="single" w:sz="6" w:space="0" w:color="auto"/>
              <w:bottom w:val="single" w:sz="6" w:space="0" w:color="auto"/>
              <w:right w:val="single" w:sz="6" w:space="0" w:color="auto"/>
            </w:tcBorders>
            <w:vAlign w:val="bottom"/>
          </w:tcPr>
          <w:p w14:paraId="1B5AF0ED" w14:textId="77777777" w:rsidR="007D00DA" w:rsidRPr="00595FE6" w:rsidRDefault="007D00DA" w:rsidP="00D9246A">
            <w:pPr>
              <w:spacing w:line="240" w:lineRule="auto"/>
              <w:rPr>
                <w:rFonts w:cs="Arial"/>
                <w:color w:val="000000" w:themeColor="text1"/>
                <w:szCs w:val="24"/>
              </w:rPr>
            </w:pPr>
            <w:r w:rsidRPr="00595FE6">
              <w:rPr>
                <w:rFonts w:cs="Arial"/>
                <w:color w:val="000000" w:themeColor="text1"/>
                <w:szCs w:val="24"/>
              </w:rPr>
              <w:t>IDACI quintile 1 (most deprived)</w:t>
            </w:r>
          </w:p>
        </w:tc>
        <w:tc>
          <w:tcPr>
            <w:tcW w:w="487" w:type="pct"/>
            <w:tcBorders>
              <w:top w:val="nil"/>
              <w:left w:val="nil"/>
              <w:bottom w:val="single" w:sz="8" w:space="0" w:color="auto"/>
              <w:right w:val="single" w:sz="8" w:space="0" w:color="auto"/>
            </w:tcBorders>
            <w:vAlign w:val="bottom"/>
          </w:tcPr>
          <w:p w14:paraId="0AD983AD" w14:textId="2E803E3A" w:rsidR="007D00DA" w:rsidRPr="009D56CF" w:rsidRDefault="007D00DA" w:rsidP="00D9246A">
            <w:pPr>
              <w:spacing w:line="240" w:lineRule="auto"/>
              <w:jc w:val="right"/>
              <w:rPr>
                <w:rFonts w:cs="Arial"/>
                <w:szCs w:val="24"/>
              </w:rPr>
            </w:pPr>
            <w:r w:rsidRPr="009D56CF">
              <w:rPr>
                <w:rFonts w:cs="Arial"/>
                <w:color w:val="000000"/>
                <w:szCs w:val="24"/>
                <w:lang w:eastAsia="en-GB"/>
              </w:rPr>
              <w:t>6,053</w:t>
            </w:r>
          </w:p>
        </w:tc>
        <w:tc>
          <w:tcPr>
            <w:tcW w:w="633" w:type="pct"/>
            <w:tcBorders>
              <w:top w:val="nil"/>
              <w:left w:val="nil"/>
              <w:bottom w:val="single" w:sz="8" w:space="0" w:color="auto"/>
              <w:right w:val="single" w:sz="8" w:space="0" w:color="auto"/>
            </w:tcBorders>
            <w:vAlign w:val="bottom"/>
          </w:tcPr>
          <w:p w14:paraId="4834F36D" w14:textId="08DFFCD5" w:rsidR="007D00DA" w:rsidRPr="009D56CF" w:rsidRDefault="007D00DA" w:rsidP="00D9246A">
            <w:pPr>
              <w:spacing w:line="240" w:lineRule="auto"/>
              <w:jc w:val="right"/>
              <w:rPr>
                <w:rFonts w:cs="Arial"/>
                <w:szCs w:val="24"/>
              </w:rPr>
            </w:pPr>
            <w:r w:rsidRPr="009D56CF">
              <w:rPr>
                <w:rFonts w:cs="Arial"/>
                <w:color w:val="000000"/>
                <w:szCs w:val="24"/>
                <w:lang w:eastAsia="en-GB"/>
              </w:rPr>
              <w:t>537</w:t>
            </w:r>
          </w:p>
        </w:tc>
        <w:tc>
          <w:tcPr>
            <w:tcW w:w="536" w:type="pct"/>
            <w:tcBorders>
              <w:top w:val="nil"/>
              <w:left w:val="nil"/>
              <w:bottom w:val="single" w:sz="8" w:space="0" w:color="auto"/>
              <w:right w:val="single" w:sz="8" w:space="0" w:color="auto"/>
            </w:tcBorders>
            <w:vAlign w:val="bottom"/>
          </w:tcPr>
          <w:p w14:paraId="559D3393" w14:textId="13F32EFB" w:rsidR="007D00DA" w:rsidRPr="009D56CF" w:rsidRDefault="007D00DA" w:rsidP="00D9246A">
            <w:pPr>
              <w:spacing w:line="240" w:lineRule="auto"/>
              <w:jc w:val="right"/>
              <w:rPr>
                <w:rFonts w:cs="Arial"/>
                <w:szCs w:val="24"/>
              </w:rPr>
            </w:pPr>
            <w:r w:rsidRPr="009D56CF">
              <w:rPr>
                <w:rFonts w:cs="Arial"/>
                <w:color w:val="000000"/>
                <w:szCs w:val="24"/>
                <w:lang w:eastAsia="en-GB"/>
              </w:rPr>
              <w:t>8.9%</w:t>
            </w:r>
          </w:p>
        </w:tc>
        <w:tc>
          <w:tcPr>
            <w:tcW w:w="535" w:type="pct"/>
            <w:tcBorders>
              <w:top w:val="nil"/>
              <w:left w:val="nil"/>
              <w:bottom w:val="single" w:sz="8" w:space="0" w:color="auto"/>
              <w:right w:val="single" w:sz="8" w:space="0" w:color="auto"/>
            </w:tcBorders>
            <w:vAlign w:val="bottom"/>
          </w:tcPr>
          <w:p w14:paraId="49D54678" w14:textId="5DA3ADD0" w:rsidR="007D00DA" w:rsidRPr="009D56CF" w:rsidRDefault="007D00DA" w:rsidP="00D9246A">
            <w:pPr>
              <w:spacing w:line="240" w:lineRule="auto"/>
              <w:jc w:val="right"/>
              <w:rPr>
                <w:rFonts w:cs="Arial"/>
                <w:szCs w:val="24"/>
              </w:rPr>
            </w:pPr>
            <w:r w:rsidRPr="009D56CF">
              <w:rPr>
                <w:rFonts w:cs="Arial"/>
                <w:color w:val="000000"/>
                <w:szCs w:val="24"/>
                <w:lang w:eastAsia="en-GB"/>
              </w:rPr>
              <w:t>1</w:t>
            </w:r>
            <w:r w:rsidR="00F47CCE" w:rsidRPr="009D56CF">
              <w:rPr>
                <w:rFonts w:cs="Arial"/>
                <w:color w:val="000000"/>
                <w:szCs w:val="24"/>
                <w:lang w:eastAsia="en-GB"/>
              </w:rPr>
              <w:t>,</w:t>
            </w:r>
            <w:r w:rsidRPr="009D56CF">
              <w:rPr>
                <w:rFonts w:cs="Arial"/>
                <w:color w:val="000000"/>
                <w:szCs w:val="24"/>
                <w:lang w:eastAsia="en-GB"/>
              </w:rPr>
              <w:t>503</w:t>
            </w:r>
          </w:p>
        </w:tc>
        <w:tc>
          <w:tcPr>
            <w:tcW w:w="487" w:type="pct"/>
            <w:tcBorders>
              <w:top w:val="nil"/>
              <w:left w:val="nil"/>
              <w:bottom w:val="single" w:sz="8" w:space="0" w:color="auto"/>
              <w:right w:val="single" w:sz="8" w:space="0" w:color="auto"/>
            </w:tcBorders>
            <w:vAlign w:val="bottom"/>
          </w:tcPr>
          <w:p w14:paraId="0DA3EEA9" w14:textId="77EAA1CE" w:rsidR="007D00DA" w:rsidRPr="009D56CF" w:rsidRDefault="007D00DA" w:rsidP="00D9246A">
            <w:pPr>
              <w:spacing w:line="240" w:lineRule="auto"/>
              <w:jc w:val="right"/>
              <w:rPr>
                <w:rFonts w:cs="Arial"/>
                <w:szCs w:val="24"/>
              </w:rPr>
            </w:pPr>
            <w:r w:rsidRPr="009D56CF">
              <w:rPr>
                <w:rFonts w:cs="Arial"/>
                <w:color w:val="000000"/>
                <w:szCs w:val="24"/>
                <w:lang w:eastAsia="en-GB"/>
              </w:rPr>
              <w:t>24.8%</w:t>
            </w:r>
          </w:p>
        </w:tc>
        <w:tc>
          <w:tcPr>
            <w:tcW w:w="517" w:type="pct"/>
            <w:tcBorders>
              <w:top w:val="single" w:sz="6" w:space="0" w:color="auto"/>
              <w:left w:val="single" w:sz="6" w:space="0" w:color="auto"/>
              <w:bottom w:val="single" w:sz="6" w:space="0" w:color="auto"/>
              <w:right w:val="single" w:sz="6" w:space="0" w:color="auto"/>
            </w:tcBorders>
          </w:tcPr>
          <w:p w14:paraId="2E0E6356" w14:textId="48E17DA4" w:rsidR="007D00DA" w:rsidRPr="009D56CF" w:rsidRDefault="007D00DA" w:rsidP="00D9246A">
            <w:pPr>
              <w:spacing w:line="240" w:lineRule="auto"/>
              <w:jc w:val="right"/>
              <w:rPr>
                <w:rFonts w:cs="Arial"/>
                <w:szCs w:val="24"/>
              </w:rPr>
            </w:pPr>
            <w:r w:rsidRPr="009D56CF">
              <w:rPr>
                <w:rFonts w:cs="Arial"/>
                <w:szCs w:val="24"/>
              </w:rPr>
              <w:t>2,040</w:t>
            </w:r>
          </w:p>
        </w:tc>
        <w:tc>
          <w:tcPr>
            <w:tcW w:w="395" w:type="pct"/>
            <w:tcBorders>
              <w:top w:val="single" w:sz="6" w:space="0" w:color="auto"/>
              <w:left w:val="single" w:sz="6" w:space="0" w:color="auto"/>
              <w:bottom w:val="single" w:sz="6" w:space="0" w:color="auto"/>
              <w:right w:val="single" w:sz="6" w:space="0" w:color="auto"/>
            </w:tcBorders>
            <w:vAlign w:val="bottom"/>
          </w:tcPr>
          <w:p w14:paraId="0AD0834B" w14:textId="7A3DC07D" w:rsidR="007D00DA" w:rsidRPr="009D56CF" w:rsidRDefault="007D00DA" w:rsidP="00D9246A">
            <w:pPr>
              <w:spacing w:line="240" w:lineRule="auto"/>
              <w:jc w:val="right"/>
              <w:rPr>
                <w:rFonts w:cs="Arial"/>
                <w:szCs w:val="24"/>
              </w:rPr>
            </w:pPr>
            <w:r w:rsidRPr="009D56CF">
              <w:rPr>
                <w:rFonts w:cs="Arial"/>
                <w:szCs w:val="24"/>
              </w:rPr>
              <w:t>34%</w:t>
            </w:r>
          </w:p>
        </w:tc>
      </w:tr>
      <w:tr w:rsidR="000636D6" w:rsidRPr="00595FE6" w14:paraId="35F12E77" w14:textId="77777777" w:rsidTr="00C85DDE">
        <w:trPr>
          <w:trHeight w:val="170"/>
        </w:trPr>
        <w:tc>
          <w:tcPr>
            <w:tcW w:w="1410" w:type="pct"/>
            <w:tcBorders>
              <w:top w:val="single" w:sz="6" w:space="0" w:color="auto"/>
              <w:left w:val="single" w:sz="6" w:space="0" w:color="auto"/>
              <w:bottom w:val="single" w:sz="6" w:space="0" w:color="auto"/>
              <w:right w:val="single" w:sz="6" w:space="0" w:color="auto"/>
            </w:tcBorders>
            <w:vAlign w:val="bottom"/>
          </w:tcPr>
          <w:p w14:paraId="2DF97E16" w14:textId="77777777" w:rsidR="007D00DA" w:rsidRPr="00595FE6" w:rsidRDefault="007D00DA" w:rsidP="00D9246A">
            <w:pPr>
              <w:spacing w:line="240" w:lineRule="auto"/>
              <w:rPr>
                <w:rFonts w:cs="Arial"/>
                <w:color w:val="000000" w:themeColor="text1"/>
                <w:szCs w:val="24"/>
              </w:rPr>
            </w:pPr>
            <w:r w:rsidRPr="00595FE6">
              <w:rPr>
                <w:rFonts w:cs="Arial"/>
                <w:color w:val="000000" w:themeColor="text1"/>
                <w:szCs w:val="24"/>
              </w:rPr>
              <w:t>IDACI quintile 2</w:t>
            </w:r>
          </w:p>
        </w:tc>
        <w:tc>
          <w:tcPr>
            <w:tcW w:w="487" w:type="pct"/>
            <w:tcBorders>
              <w:top w:val="nil"/>
              <w:left w:val="nil"/>
              <w:bottom w:val="single" w:sz="8" w:space="0" w:color="auto"/>
              <w:right w:val="single" w:sz="8" w:space="0" w:color="auto"/>
            </w:tcBorders>
            <w:vAlign w:val="bottom"/>
          </w:tcPr>
          <w:p w14:paraId="5766CE29" w14:textId="7F4E6507" w:rsidR="007D00DA" w:rsidRPr="009D56CF" w:rsidRDefault="007D00DA" w:rsidP="00D9246A">
            <w:pPr>
              <w:spacing w:line="240" w:lineRule="auto"/>
              <w:jc w:val="right"/>
              <w:rPr>
                <w:rFonts w:cs="Arial"/>
                <w:szCs w:val="24"/>
              </w:rPr>
            </w:pPr>
            <w:r w:rsidRPr="009D56CF">
              <w:rPr>
                <w:rFonts w:cs="Arial"/>
                <w:color w:val="000000"/>
                <w:szCs w:val="24"/>
                <w:lang w:eastAsia="en-GB"/>
              </w:rPr>
              <w:t>5,840</w:t>
            </w:r>
          </w:p>
        </w:tc>
        <w:tc>
          <w:tcPr>
            <w:tcW w:w="633" w:type="pct"/>
            <w:tcBorders>
              <w:top w:val="nil"/>
              <w:left w:val="nil"/>
              <w:bottom w:val="single" w:sz="8" w:space="0" w:color="auto"/>
              <w:right w:val="single" w:sz="8" w:space="0" w:color="auto"/>
            </w:tcBorders>
            <w:vAlign w:val="bottom"/>
          </w:tcPr>
          <w:p w14:paraId="2B8B7388" w14:textId="7D86ADDB" w:rsidR="007D00DA" w:rsidRPr="009D56CF" w:rsidRDefault="007D00DA" w:rsidP="00D9246A">
            <w:pPr>
              <w:spacing w:line="240" w:lineRule="auto"/>
              <w:jc w:val="right"/>
              <w:rPr>
                <w:rFonts w:cs="Arial"/>
                <w:szCs w:val="24"/>
              </w:rPr>
            </w:pPr>
            <w:r w:rsidRPr="009D56CF">
              <w:rPr>
                <w:rFonts w:cs="Arial"/>
                <w:color w:val="000000"/>
                <w:szCs w:val="24"/>
                <w:lang w:eastAsia="en-GB"/>
              </w:rPr>
              <w:t>404</w:t>
            </w:r>
          </w:p>
        </w:tc>
        <w:tc>
          <w:tcPr>
            <w:tcW w:w="536" w:type="pct"/>
            <w:tcBorders>
              <w:top w:val="nil"/>
              <w:left w:val="nil"/>
              <w:bottom w:val="single" w:sz="8" w:space="0" w:color="auto"/>
              <w:right w:val="single" w:sz="8" w:space="0" w:color="auto"/>
            </w:tcBorders>
            <w:vAlign w:val="bottom"/>
          </w:tcPr>
          <w:p w14:paraId="1DFFCF44" w14:textId="32C8B58D" w:rsidR="007D00DA" w:rsidRPr="009D56CF" w:rsidRDefault="007D00DA" w:rsidP="00D9246A">
            <w:pPr>
              <w:spacing w:line="240" w:lineRule="auto"/>
              <w:jc w:val="right"/>
              <w:rPr>
                <w:rFonts w:cs="Arial"/>
                <w:szCs w:val="24"/>
              </w:rPr>
            </w:pPr>
            <w:r w:rsidRPr="009D56CF">
              <w:rPr>
                <w:rFonts w:cs="Arial"/>
                <w:color w:val="000000"/>
                <w:szCs w:val="24"/>
                <w:lang w:eastAsia="en-GB"/>
              </w:rPr>
              <w:t>6.9%</w:t>
            </w:r>
          </w:p>
        </w:tc>
        <w:tc>
          <w:tcPr>
            <w:tcW w:w="535" w:type="pct"/>
            <w:tcBorders>
              <w:top w:val="nil"/>
              <w:left w:val="nil"/>
              <w:bottom w:val="single" w:sz="8" w:space="0" w:color="auto"/>
              <w:right w:val="single" w:sz="8" w:space="0" w:color="auto"/>
            </w:tcBorders>
            <w:vAlign w:val="bottom"/>
          </w:tcPr>
          <w:p w14:paraId="0EFE5F7B" w14:textId="2D371D5D" w:rsidR="007D00DA" w:rsidRPr="009D56CF" w:rsidRDefault="007D00DA" w:rsidP="00D9246A">
            <w:pPr>
              <w:spacing w:line="240" w:lineRule="auto"/>
              <w:jc w:val="right"/>
              <w:rPr>
                <w:rFonts w:cs="Arial"/>
                <w:szCs w:val="24"/>
              </w:rPr>
            </w:pPr>
            <w:r w:rsidRPr="009D56CF">
              <w:rPr>
                <w:rFonts w:cs="Arial"/>
                <w:color w:val="000000"/>
                <w:szCs w:val="24"/>
                <w:lang w:eastAsia="en-GB"/>
              </w:rPr>
              <w:t>1</w:t>
            </w:r>
            <w:r w:rsidR="00A61614" w:rsidRPr="009D56CF">
              <w:rPr>
                <w:rFonts w:cs="Arial"/>
                <w:color w:val="000000"/>
                <w:szCs w:val="24"/>
                <w:lang w:eastAsia="en-GB"/>
              </w:rPr>
              <w:t>,</w:t>
            </w:r>
            <w:r w:rsidRPr="009D56CF">
              <w:rPr>
                <w:rFonts w:cs="Arial"/>
                <w:color w:val="000000"/>
                <w:szCs w:val="24"/>
                <w:lang w:eastAsia="en-GB"/>
              </w:rPr>
              <w:t>113</w:t>
            </w:r>
          </w:p>
        </w:tc>
        <w:tc>
          <w:tcPr>
            <w:tcW w:w="487" w:type="pct"/>
            <w:tcBorders>
              <w:top w:val="nil"/>
              <w:left w:val="nil"/>
              <w:bottom w:val="single" w:sz="8" w:space="0" w:color="auto"/>
              <w:right w:val="single" w:sz="8" w:space="0" w:color="auto"/>
            </w:tcBorders>
            <w:vAlign w:val="bottom"/>
          </w:tcPr>
          <w:p w14:paraId="468C6750" w14:textId="1990071C" w:rsidR="007D00DA" w:rsidRPr="009D56CF" w:rsidRDefault="007D00DA" w:rsidP="00D9246A">
            <w:pPr>
              <w:spacing w:line="240" w:lineRule="auto"/>
              <w:jc w:val="right"/>
              <w:rPr>
                <w:rFonts w:cs="Arial"/>
                <w:szCs w:val="24"/>
              </w:rPr>
            </w:pPr>
            <w:r w:rsidRPr="009D56CF">
              <w:rPr>
                <w:rFonts w:cs="Arial"/>
                <w:color w:val="000000"/>
                <w:szCs w:val="24"/>
                <w:lang w:eastAsia="en-GB"/>
              </w:rPr>
              <w:t>19.1%</w:t>
            </w:r>
          </w:p>
        </w:tc>
        <w:tc>
          <w:tcPr>
            <w:tcW w:w="517" w:type="pct"/>
            <w:tcBorders>
              <w:top w:val="single" w:sz="6" w:space="0" w:color="auto"/>
              <w:left w:val="single" w:sz="6" w:space="0" w:color="auto"/>
              <w:bottom w:val="single" w:sz="6" w:space="0" w:color="auto"/>
              <w:right w:val="single" w:sz="6" w:space="0" w:color="auto"/>
            </w:tcBorders>
          </w:tcPr>
          <w:p w14:paraId="27C4E144" w14:textId="03327D5C" w:rsidR="007D00DA" w:rsidRPr="009D56CF" w:rsidRDefault="007D00DA" w:rsidP="00D9246A">
            <w:pPr>
              <w:spacing w:line="240" w:lineRule="auto"/>
              <w:jc w:val="right"/>
              <w:rPr>
                <w:rFonts w:cs="Arial"/>
                <w:szCs w:val="24"/>
              </w:rPr>
            </w:pPr>
            <w:r w:rsidRPr="009D56CF">
              <w:rPr>
                <w:rFonts w:cs="Arial"/>
                <w:szCs w:val="24"/>
              </w:rPr>
              <w:t>1,517</w:t>
            </w:r>
          </w:p>
        </w:tc>
        <w:tc>
          <w:tcPr>
            <w:tcW w:w="395" w:type="pct"/>
            <w:tcBorders>
              <w:top w:val="single" w:sz="6" w:space="0" w:color="auto"/>
              <w:left w:val="single" w:sz="6" w:space="0" w:color="auto"/>
              <w:bottom w:val="single" w:sz="6" w:space="0" w:color="auto"/>
              <w:right w:val="single" w:sz="6" w:space="0" w:color="auto"/>
            </w:tcBorders>
            <w:vAlign w:val="bottom"/>
          </w:tcPr>
          <w:p w14:paraId="79BF2B68" w14:textId="0D203604" w:rsidR="007D00DA" w:rsidRPr="009D56CF" w:rsidRDefault="007D00DA" w:rsidP="00D9246A">
            <w:pPr>
              <w:spacing w:line="240" w:lineRule="auto"/>
              <w:jc w:val="right"/>
              <w:rPr>
                <w:rFonts w:cs="Arial"/>
                <w:szCs w:val="24"/>
              </w:rPr>
            </w:pPr>
            <w:r w:rsidRPr="009D56CF">
              <w:rPr>
                <w:rFonts w:cs="Arial"/>
                <w:szCs w:val="24"/>
              </w:rPr>
              <w:t>26%</w:t>
            </w:r>
          </w:p>
        </w:tc>
      </w:tr>
      <w:tr w:rsidR="000636D6" w:rsidRPr="00595FE6" w14:paraId="56D221A7" w14:textId="77777777" w:rsidTr="00C85DDE">
        <w:trPr>
          <w:trHeight w:val="170"/>
        </w:trPr>
        <w:tc>
          <w:tcPr>
            <w:tcW w:w="1410" w:type="pct"/>
            <w:tcBorders>
              <w:top w:val="single" w:sz="6" w:space="0" w:color="auto"/>
              <w:left w:val="single" w:sz="6" w:space="0" w:color="auto"/>
              <w:bottom w:val="single" w:sz="6" w:space="0" w:color="auto"/>
              <w:right w:val="single" w:sz="6" w:space="0" w:color="auto"/>
            </w:tcBorders>
            <w:vAlign w:val="bottom"/>
          </w:tcPr>
          <w:p w14:paraId="00906479" w14:textId="77777777" w:rsidR="007D00DA" w:rsidRPr="00595FE6" w:rsidRDefault="007D00DA" w:rsidP="00D9246A">
            <w:pPr>
              <w:spacing w:line="240" w:lineRule="auto"/>
              <w:rPr>
                <w:rFonts w:cs="Arial"/>
                <w:color w:val="000000" w:themeColor="text1"/>
                <w:szCs w:val="24"/>
              </w:rPr>
            </w:pPr>
            <w:r w:rsidRPr="00595FE6">
              <w:rPr>
                <w:rFonts w:cs="Arial"/>
                <w:color w:val="000000" w:themeColor="text1"/>
                <w:szCs w:val="24"/>
              </w:rPr>
              <w:t>IDACI quintile 3</w:t>
            </w:r>
          </w:p>
        </w:tc>
        <w:tc>
          <w:tcPr>
            <w:tcW w:w="487" w:type="pct"/>
            <w:tcBorders>
              <w:top w:val="nil"/>
              <w:left w:val="nil"/>
              <w:bottom w:val="single" w:sz="8" w:space="0" w:color="auto"/>
              <w:right w:val="single" w:sz="8" w:space="0" w:color="auto"/>
            </w:tcBorders>
            <w:vAlign w:val="bottom"/>
          </w:tcPr>
          <w:p w14:paraId="3E6B363F" w14:textId="456D707F" w:rsidR="007D00DA" w:rsidRPr="009D56CF" w:rsidRDefault="007D00DA" w:rsidP="00D9246A">
            <w:pPr>
              <w:spacing w:line="240" w:lineRule="auto"/>
              <w:jc w:val="right"/>
              <w:rPr>
                <w:rFonts w:cs="Arial"/>
                <w:szCs w:val="24"/>
              </w:rPr>
            </w:pPr>
            <w:r w:rsidRPr="009D56CF">
              <w:rPr>
                <w:rFonts w:cs="Arial"/>
                <w:color w:val="000000"/>
                <w:szCs w:val="24"/>
                <w:lang w:eastAsia="en-GB"/>
              </w:rPr>
              <w:t>6,685</w:t>
            </w:r>
          </w:p>
        </w:tc>
        <w:tc>
          <w:tcPr>
            <w:tcW w:w="633" w:type="pct"/>
            <w:tcBorders>
              <w:top w:val="nil"/>
              <w:left w:val="nil"/>
              <w:bottom w:val="single" w:sz="8" w:space="0" w:color="auto"/>
              <w:right w:val="single" w:sz="8" w:space="0" w:color="auto"/>
            </w:tcBorders>
            <w:vAlign w:val="bottom"/>
          </w:tcPr>
          <w:p w14:paraId="464DD986" w14:textId="1281A23D" w:rsidR="007D00DA" w:rsidRPr="009D56CF" w:rsidRDefault="007D00DA" w:rsidP="00D9246A">
            <w:pPr>
              <w:spacing w:line="240" w:lineRule="auto"/>
              <w:jc w:val="right"/>
              <w:rPr>
                <w:rFonts w:cs="Arial"/>
                <w:szCs w:val="24"/>
              </w:rPr>
            </w:pPr>
            <w:r w:rsidRPr="009D56CF">
              <w:rPr>
                <w:rFonts w:cs="Arial"/>
                <w:color w:val="000000"/>
                <w:szCs w:val="24"/>
                <w:lang w:eastAsia="en-GB"/>
              </w:rPr>
              <w:t>337</w:t>
            </w:r>
          </w:p>
        </w:tc>
        <w:tc>
          <w:tcPr>
            <w:tcW w:w="536" w:type="pct"/>
            <w:tcBorders>
              <w:top w:val="nil"/>
              <w:left w:val="nil"/>
              <w:bottom w:val="single" w:sz="8" w:space="0" w:color="auto"/>
              <w:right w:val="single" w:sz="8" w:space="0" w:color="auto"/>
            </w:tcBorders>
            <w:vAlign w:val="bottom"/>
          </w:tcPr>
          <w:p w14:paraId="320CE2E2" w14:textId="1239B96E" w:rsidR="007D00DA" w:rsidRPr="009D56CF" w:rsidRDefault="007D00DA" w:rsidP="00D9246A">
            <w:pPr>
              <w:spacing w:line="240" w:lineRule="auto"/>
              <w:jc w:val="right"/>
              <w:rPr>
                <w:rFonts w:cs="Arial"/>
                <w:szCs w:val="24"/>
              </w:rPr>
            </w:pPr>
            <w:r w:rsidRPr="009D56CF">
              <w:rPr>
                <w:rFonts w:cs="Arial"/>
                <w:color w:val="000000"/>
                <w:szCs w:val="24"/>
                <w:lang w:eastAsia="en-GB"/>
              </w:rPr>
              <w:t>5.0%</w:t>
            </w:r>
          </w:p>
        </w:tc>
        <w:tc>
          <w:tcPr>
            <w:tcW w:w="535" w:type="pct"/>
            <w:tcBorders>
              <w:top w:val="nil"/>
              <w:left w:val="nil"/>
              <w:bottom w:val="single" w:sz="8" w:space="0" w:color="auto"/>
              <w:right w:val="single" w:sz="8" w:space="0" w:color="auto"/>
            </w:tcBorders>
            <w:vAlign w:val="bottom"/>
          </w:tcPr>
          <w:p w14:paraId="04980997" w14:textId="366E370D" w:rsidR="007D00DA" w:rsidRPr="009D56CF" w:rsidRDefault="007D00DA" w:rsidP="00D9246A">
            <w:pPr>
              <w:spacing w:line="240" w:lineRule="auto"/>
              <w:jc w:val="right"/>
              <w:rPr>
                <w:rFonts w:cs="Arial"/>
                <w:szCs w:val="24"/>
              </w:rPr>
            </w:pPr>
            <w:r w:rsidRPr="009D56CF">
              <w:rPr>
                <w:rFonts w:cs="Arial"/>
                <w:color w:val="000000"/>
                <w:szCs w:val="24"/>
                <w:lang w:eastAsia="en-GB"/>
              </w:rPr>
              <w:t>1</w:t>
            </w:r>
            <w:r w:rsidR="00A61614" w:rsidRPr="009D56CF">
              <w:rPr>
                <w:rFonts w:cs="Arial"/>
                <w:color w:val="000000"/>
                <w:szCs w:val="24"/>
                <w:lang w:eastAsia="en-GB"/>
              </w:rPr>
              <w:t>,</w:t>
            </w:r>
            <w:r w:rsidRPr="009D56CF">
              <w:rPr>
                <w:rFonts w:cs="Arial"/>
                <w:color w:val="000000"/>
                <w:szCs w:val="24"/>
                <w:lang w:eastAsia="en-GB"/>
              </w:rPr>
              <w:t>113</w:t>
            </w:r>
          </w:p>
        </w:tc>
        <w:tc>
          <w:tcPr>
            <w:tcW w:w="487" w:type="pct"/>
            <w:tcBorders>
              <w:top w:val="nil"/>
              <w:left w:val="nil"/>
              <w:bottom w:val="single" w:sz="8" w:space="0" w:color="auto"/>
              <w:right w:val="single" w:sz="8" w:space="0" w:color="auto"/>
            </w:tcBorders>
            <w:vAlign w:val="bottom"/>
          </w:tcPr>
          <w:p w14:paraId="24DE9CB1" w14:textId="417E617C" w:rsidR="007D00DA" w:rsidRPr="009D56CF" w:rsidRDefault="007D00DA" w:rsidP="00D9246A">
            <w:pPr>
              <w:spacing w:line="240" w:lineRule="auto"/>
              <w:jc w:val="right"/>
              <w:rPr>
                <w:rFonts w:cs="Arial"/>
                <w:szCs w:val="24"/>
              </w:rPr>
            </w:pPr>
            <w:r w:rsidRPr="009D56CF">
              <w:rPr>
                <w:rFonts w:cs="Arial"/>
                <w:color w:val="000000"/>
                <w:szCs w:val="24"/>
                <w:lang w:eastAsia="en-GB"/>
              </w:rPr>
              <w:t>16.6%</w:t>
            </w:r>
          </w:p>
        </w:tc>
        <w:tc>
          <w:tcPr>
            <w:tcW w:w="517" w:type="pct"/>
            <w:tcBorders>
              <w:top w:val="single" w:sz="6" w:space="0" w:color="auto"/>
              <w:left w:val="single" w:sz="6" w:space="0" w:color="auto"/>
              <w:bottom w:val="single" w:sz="6" w:space="0" w:color="auto"/>
              <w:right w:val="single" w:sz="6" w:space="0" w:color="auto"/>
            </w:tcBorders>
          </w:tcPr>
          <w:p w14:paraId="20515668" w14:textId="14DD459E" w:rsidR="007D00DA" w:rsidRPr="009D56CF" w:rsidRDefault="007D00DA" w:rsidP="00D9246A">
            <w:pPr>
              <w:spacing w:line="240" w:lineRule="auto"/>
              <w:jc w:val="right"/>
              <w:rPr>
                <w:rFonts w:cs="Arial"/>
                <w:szCs w:val="24"/>
              </w:rPr>
            </w:pPr>
            <w:r w:rsidRPr="009D56CF">
              <w:rPr>
                <w:rFonts w:cs="Arial"/>
                <w:szCs w:val="24"/>
              </w:rPr>
              <w:t>1,450</w:t>
            </w:r>
          </w:p>
        </w:tc>
        <w:tc>
          <w:tcPr>
            <w:tcW w:w="395" w:type="pct"/>
            <w:tcBorders>
              <w:top w:val="single" w:sz="6" w:space="0" w:color="auto"/>
              <w:left w:val="single" w:sz="6" w:space="0" w:color="auto"/>
              <w:bottom w:val="single" w:sz="6" w:space="0" w:color="auto"/>
              <w:right w:val="single" w:sz="6" w:space="0" w:color="auto"/>
            </w:tcBorders>
            <w:vAlign w:val="bottom"/>
          </w:tcPr>
          <w:p w14:paraId="3368CECB" w14:textId="15455818" w:rsidR="007D00DA" w:rsidRPr="009D56CF" w:rsidRDefault="007D00DA" w:rsidP="00D9246A">
            <w:pPr>
              <w:spacing w:line="240" w:lineRule="auto"/>
              <w:jc w:val="right"/>
              <w:rPr>
                <w:rFonts w:cs="Arial"/>
                <w:szCs w:val="24"/>
              </w:rPr>
            </w:pPr>
            <w:r w:rsidRPr="009D56CF">
              <w:rPr>
                <w:rFonts w:cs="Arial"/>
                <w:szCs w:val="24"/>
              </w:rPr>
              <w:t>22%</w:t>
            </w:r>
          </w:p>
        </w:tc>
      </w:tr>
      <w:tr w:rsidR="000636D6" w:rsidRPr="00595FE6" w14:paraId="4870D24B" w14:textId="77777777" w:rsidTr="00C85DDE">
        <w:trPr>
          <w:trHeight w:val="170"/>
        </w:trPr>
        <w:tc>
          <w:tcPr>
            <w:tcW w:w="1410" w:type="pct"/>
            <w:tcBorders>
              <w:top w:val="single" w:sz="6" w:space="0" w:color="auto"/>
              <w:left w:val="single" w:sz="6" w:space="0" w:color="auto"/>
              <w:bottom w:val="single" w:sz="6" w:space="0" w:color="auto"/>
              <w:right w:val="single" w:sz="6" w:space="0" w:color="auto"/>
            </w:tcBorders>
            <w:vAlign w:val="bottom"/>
          </w:tcPr>
          <w:p w14:paraId="5661F0B0" w14:textId="77777777" w:rsidR="007D00DA" w:rsidRPr="00595FE6" w:rsidRDefault="007D00DA" w:rsidP="00D9246A">
            <w:pPr>
              <w:spacing w:line="240" w:lineRule="auto"/>
              <w:rPr>
                <w:rFonts w:cs="Arial"/>
                <w:color w:val="000000" w:themeColor="text1"/>
                <w:szCs w:val="24"/>
              </w:rPr>
            </w:pPr>
            <w:r w:rsidRPr="00595FE6">
              <w:rPr>
                <w:rFonts w:cs="Arial"/>
                <w:color w:val="000000" w:themeColor="text1"/>
                <w:szCs w:val="24"/>
              </w:rPr>
              <w:t>IDACI quintile 4</w:t>
            </w:r>
          </w:p>
        </w:tc>
        <w:tc>
          <w:tcPr>
            <w:tcW w:w="487" w:type="pct"/>
            <w:tcBorders>
              <w:top w:val="nil"/>
              <w:left w:val="nil"/>
              <w:bottom w:val="single" w:sz="8" w:space="0" w:color="auto"/>
              <w:right w:val="single" w:sz="8" w:space="0" w:color="auto"/>
            </w:tcBorders>
            <w:vAlign w:val="bottom"/>
          </w:tcPr>
          <w:p w14:paraId="065B74CB" w14:textId="286EA0E0" w:rsidR="007D00DA" w:rsidRPr="009D56CF" w:rsidRDefault="007D00DA" w:rsidP="00D9246A">
            <w:pPr>
              <w:spacing w:line="240" w:lineRule="auto"/>
              <w:jc w:val="right"/>
              <w:rPr>
                <w:rFonts w:cs="Arial"/>
                <w:szCs w:val="24"/>
              </w:rPr>
            </w:pPr>
            <w:r w:rsidRPr="009D56CF">
              <w:rPr>
                <w:rFonts w:cs="Arial"/>
                <w:color w:val="000000"/>
                <w:szCs w:val="24"/>
                <w:lang w:eastAsia="en-GB"/>
              </w:rPr>
              <w:t>7,175</w:t>
            </w:r>
          </w:p>
        </w:tc>
        <w:tc>
          <w:tcPr>
            <w:tcW w:w="633" w:type="pct"/>
            <w:tcBorders>
              <w:top w:val="nil"/>
              <w:left w:val="nil"/>
              <w:bottom w:val="single" w:sz="8" w:space="0" w:color="auto"/>
              <w:right w:val="single" w:sz="8" w:space="0" w:color="auto"/>
            </w:tcBorders>
            <w:vAlign w:val="bottom"/>
          </w:tcPr>
          <w:p w14:paraId="1EE983BA" w14:textId="371E6826" w:rsidR="007D00DA" w:rsidRPr="009D56CF" w:rsidRDefault="007D00DA" w:rsidP="00D9246A">
            <w:pPr>
              <w:spacing w:line="240" w:lineRule="auto"/>
              <w:jc w:val="right"/>
              <w:rPr>
                <w:rFonts w:cs="Arial"/>
                <w:szCs w:val="24"/>
              </w:rPr>
            </w:pPr>
            <w:r w:rsidRPr="009D56CF">
              <w:rPr>
                <w:rFonts w:cs="Arial"/>
                <w:color w:val="000000"/>
                <w:szCs w:val="24"/>
                <w:lang w:eastAsia="en-GB"/>
              </w:rPr>
              <w:t>313</w:t>
            </w:r>
          </w:p>
        </w:tc>
        <w:tc>
          <w:tcPr>
            <w:tcW w:w="536" w:type="pct"/>
            <w:tcBorders>
              <w:top w:val="nil"/>
              <w:left w:val="nil"/>
              <w:bottom w:val="single" w:sz="8" w:space="0" w:color="auto"/>
              <w:right w:val="single" w:sz="8" w:space="0" w:color="auto"/>
            </w:tcBorders>
            <w:vAlign w:val="bottom"/>
          </w:tcPr>
          <w:p w14:paraId="7D9C55F3" w14:textId="248E4B2E" w:rsidR="007D00DA" w:rsidRPr="009D56CF" w:rsidRDefault="007D00DA" w:rsidP="00D9246A">
            <w:pPr>
              <w:spacing w:line="240" w:lineRule="auto"/>
              <w:jc w:val="right"/>
              <w:rPr>
                <w:rFonts w:cs="Arial"/>
                <w:szCs w:val="24"/>
              </w:rPr>
            </w:pPr>
            <w:r w:rsidRPr="009D56CF">
              <w:rPr>
                <w:rFonts w:cs="Arial"/>
                <w:color w:val="000000"/>
                <w:szCs w:val="24"/>
                <w:lang w:eastAsia="en-GB"/>
              </w:rPr>
              <w:t>4.4%</w:t>
            </w:r>
          </w:p>
        </w:tc>
        <w:tc>
          <w:tcPr>
            <w:tcW w:w="535" w:type="pct"/>
            <w:tcBorders>
              <w:top w:val="nil"/>
              <w:left w:val="nil"/>
              <w:bottom w:val="single" w:sz="8" w:space="0" w:color="auto"/>
              <w:right w:val="single" w:sz="8" w:space="0" w:color="auto"/>
            </w:tcBorders>
            <w:vAlign w:val="bottom"/>
          </w:tcPr>
          <w:p w14:paraId="2B2D4515" w14:textId="3D42C564" w:rsidR="007D00DA" w:rsidRPr="009D56CF" w:rsidRDefault="007D00DA" w:rsidP="00D9246A">
            <w:pPr>
              <w:spacing w:line="240" w:lineRule="auto"/>
              <w:jc w:val="right"/>
              <w:rPr>
                <w:rFonts w:cs="Arial"/>
                <w:szCs w:val="24"/>
              </w:rPr>
            </w:pPr>
            <w:r w:rsidRPr="009D56CF">
              <w:rPr>
                <w:rFonts w:cs="Arial"/>
                <w:color w:val="000000"/>
                <w:szCs w:val="24"/>
                <w:lang w:eastAsia="en-GB"/>
              </w:rPr>
              <w:t>1</w:t>
            </w:r>
            <w:r w:rsidR="00A61614" w:rsidRPr="009D56CF">
              <w:rPr>
                <w:rFonts w:cs="Arial"/>
                <w:color w:val="000000"/>
                <w:szCs w:val="24"/>
                <w:lang w:eastAsia="en-GB"/>
              </w:rPr>
              <w:t>,</w:t>
            </w:r>
            <w:r w:rsidRPr="009D56CF">
              <w:rPr>
                <w:rFonts w:cs="Arial"/>
                <w:color w:val="000000"/>
                <w:szCs w:val="24"/>
                <w:lang w:eastAsia="en-GB"/>
              </w:rPr>
              <w:t>056</w:t>
            </w:r>
          </w:p>
        </w:tc>
        <w:tc>
          <w:tcPr>
            <w:tcW w:w="487" w:type="pct"/>
            <w:tcBorders>
              <w:top w:val="nil"/>
              <w:left w:val="nil"/>
              <w:bottom w:val="single" w:sz="8" w:space="0" w:color="auto"/>
              <w:right w:val="single" w:sz="8" w:space="0" w:color="auto"/>
            </w:tcBorders>
            <w:vAlign w:val="bottom"/>
          </w:tcPr>
          <w:p w14:paraId="140A2796" w14:textId="115B4CC8" w:rsidR="007D00DA" w:rsidRPr="009D56CF" w:rsidRDefault="007D00DA" w:rsidP="00D9246A">
            <w:pPr>
              <w:spacing w:line="240" w:lineRule="auto"/>
              <w:jc w:val="right"/>
              <w:rPr>
                <w:rFonts w:cs="Arial"/>
                <w:szCs w:val="24"/>
              </w:rPr>
            </w:pPr>
            <w:r w:rsidRPr="009D56CF">
              <w:rPr>
                <w:rFonts w:cs="Arial"/>
                <w:color w:val="000000"/>
                <w:szCs w:val="24"/>
                <w:lang w:eastAsia="en-GB"/>
              </w:rPr>
              <w:t>14.7%</w:t>
            </w:r>
          </w:p>
        </w:tc>
        <w:tc>
          <w:tcPr>
            <w:tcW w:w="517" w:type="pct"/>
            <w:tcBorders>
              <w:top w:val="single" w:sz="6" w:space="0" w:color="auto"/>
              <w:left w:val="single" w:sz="6" w:space="0" w:color="auto"/>
              <w:bottom w:val="single" w:sz="6" w:space="0" w:color="auto"/>
              <w:right w:val="single" w:sz="6" w:space="0" w:color="auto"/>
            </w:tcBorders>
          </w:tcPr>
          <w:p w14:paraId="4F09882F" w14:textId="4F3F5BD7" w:rsidR="007D00DA" w:rsidRPr="009D56CF" w:rsidRDefault="007D00DA" w:rsidP="00D9246A">
            <w:pPr>
              <w:spacing w:line="240" w:lineRule="auto"/>
              <w:jc w:val="right"/>
              <w:rPr>
                <w:rFonts w:cs="Arial"/>
                <w:szCs w:val="24"/>
              </w:rPr>
            </w:pPr>
            <w:r w:rsidRPr="009D56CF">
              <w:rPr>
                <w:rFonts w:cs="Arial"/>
                <w:szCs w:val="24"/>
              </w:rPr>
              <w:t>1,369</w:t>
            </w:r>
          </w:p>
        </w:tc>
        <w:tc>
          <w:tcPr>
            <w:tcW w:w="395" w:type="pct"/>
            <w:tcBorders>
              <w:top w:val="single" w:sz="6" w:space="0" w:color="auto"/>
              <w:left w:val="single" w:sz="6" w:space="0" w:color="auto"/>
              <w:bottom w:val="single" w:sz="6" w:space="0" w:color="auto"/>
              <w:right w:val="single" w:sz="6" w:space="0" w:color="auto"/>
            </w:tcBorders>
            <w:vAlign w:val="bottom"/>
          </w:tcPr>
          <w:p w14:paraId="719A530B" w14:textId="23B0C1DA" w:rsidR="007D00DA" w:rsidRPr="009D56CF" w:rsidRDefault="007D00DA" w:rsidP="00D9246A">
            <w:pPr>
              <w:spacing w:line="240" w:lineRule="auto"/>
              <w:jc w:val="right"/>
              <w:rPr>
                <w:rFonts w:cs="Arial"/>
                <w:szCs w:val="24"/>
              </w:rPr>
            </w:pPr>
            <w:r w:rsidRPr="009D56CF">
              <w:rPr>
                <w:rFonts w:cs="Arial"/>
                <w:szCs w:val="24"/>
              </w:rPr>
              <w:t>19%</w:t>
            </w:r>
          </w:p>
        </w:tc>
      </w:tr>
      <w:tr w:rsidR="000636D6" w:rsidRPr="00595FE6" w14:paraId="71EFFE39" w14:textId="77777777" w:rsidTr="00C85DDE">
        <w:trPr>
          <w:trHeight w:val="170"/>
        </w:trPr>
        <w:tc>
          <w:tcPr>
            <w:tcW w:w="1410" w:type="pct"/>
            <w:tcBorders>
              <w:top w:val="single" w:sz="6" w:space="0" w:color="auto"/>
              <w:left w:val="single" w:sz="6" w:space="0" w:color="auto"/>
              <w:bottom w:val="single" w:sz="6" w:space="0" w:color="auto"/>
              <w:right w:val="single" w:sz="6" w:space="0" w:color="auto"/>
            </w:tcBorders>
            <w:vAlign w:val="bottom"/>
          </w:tcPr>
          <w:p w14:paraId="2B40667B" w14:textId="77777777" w:rsidR="007D00DA" w:rsidRPr="00595FE6" w:rsidRDefault="007D00DA" w:rsidP="00D9246A">
            <w:pPr>
              <w:spacing w:line="240" w:lineRule="auto"/>
              <w:rPr>
                <w:rFonts w:cs="Arial"/>
                <w:color w:val="000000" w:themeColor="text1"/>
                <w:szCs w:val="24"/>
              </w:rPr>
            </w:pPr>
            <w:r w:rsidRPr="00595FE6">
              <w:rPr>
                <w:rFonts w:cs="Arial"/>
                <w:color w:val="000000" w:themeColor="text1"/>
                <w:szCs w:val="24"/>
              </w:rPr>
              <w:t>IDACI quintile 5 (least deprived)</w:t>
            </w:r>
          </w:p>
        </w:tc>
        <w:tc>
          <w:tcPr>
            <w:tcW w:w="487" w:type="pct"/>
            <w:tcBorders>
              <w:top w:val="nil"/>
              <w:left w:val="nil"/>
              <w:bottom w:val="single" w:sz="8" w:space="0" w:color="auto"/>
              <w:right w:val="single" w:sz="8" w:space="0" w:color="auto"/>
            </w:tcBorders>
            <w:vAlign w:val="bottom"/>
          </w:tcPr>
          <w:p w14:paraId="60A8515A" w14:textId="769D5EE9" w:rsidR="007D00DA" w:rsidRPr="009D56CF" w:rsidRDefault="007D00DA" w:rsidP="00D9246A">
            <w:pPr>
              <w:spacing w:line="240" w:lineRule="auto"/>
              <w:jc w:val="right"/>
              <w:rPr>
                <w:rFonts w:cs="Arial"/>
                <w:szCs w:val="24"/>
              </w:rPr>
            </w:pPr>
            <w:r w:rsidRPr="009D56CF">
              <w:rPr>
                <w:rFonts w:cs="Arial"/>
                <w:color w:val="000000"/>
                <w:szCs w:val="24"/>
                <w:lang w:eastAsia="en-GB"/>
              </w:rPr>
              <w:t>4,718</w:t>
            </w:r>
          </w:p>
        </w:tc>
        <w:tc>
          <w:tcPr>
            <w:tcW w:w="633" w:type="pct"/>
            <w:tcBorders>
              <w:top w:val="nil"/>
              <w:left w:val="nil"/>
              <w:bottom w:val="single" w:sz="8" w:space="0" w:color="auto"/>
              <w:right w:val="single" w:sz="8" w:space="0" w:color="auto"/>
            </w:tcBorders>
            <w:vAlign w:val="bottom"/>
          </w:tcPr>
          <w:p w14:paraId="18E130D3" w14:textId="0E4F01B7" w:rsidR="007D00DA" w:rsidRPr="009D56CF" w:rsidRDefault="007D00DA" w:rsidP="00D9246A">
            <w:pPr>
              <w:spacing w:line="240" w:lineRule="auto"/>
              <w:jc w:val="right"/>
              <w:rPr>
                <w:rFonts w:cs="Arial"/>
                <w:szCs w:val="24"/>
              </w:rPr>
            </w:pPr>
            <w:r w:rsidRPr="009D56CF">
              <w:rPr>
                <w:rFonts w:cs="Arial"/>
                <w:color w:val="000000"/>
                <w:szCs w:val="24"/>
                <w:lang w:eastAsia="en-GB"/>
              </w:rPr>
              <w:t>172</w:t>
            </w:r>
          </w:p>
        </w:tc>
        <w:tc>
          <w:tcPr>
            <w:tcW w:w="536" w:type="pct"/>
            <w:tcBorders>
              <w:top w:val="nil"/>
              <w:left w:val="nil"/>
              <w:bottom w:val="single" w:sz="8" w:space="0" w:color="auto"/>
              <w:right w:val="single" w:sz="8" w:space="0" w:color="auto"/>
            </w:tcBorders>
            <w:vAlign w:val="bottom"/>
          </w:tcPr>
          <w:p w14:paraId="3445CD47" w14:textId="080180B5" w:rsidR="007D00DA" w:rsidRPr="009D56CF" w:rsidRDefault="007D00DA" w:rsidP="00D9246A">
            <w:pPr>
              <w:spacing w:line="240" w:lineRule="auto"/>
              <w:jc w:val="right"/>
              <w:rPr>
                <w:rFonts w:cs="Arial"/>
                <w:szCs w:val="24"/>
              </w:rPr>
            </w:pPr>
            <w:r w:rsidRPr="009D56CF">
              <w:rPr>
                <w:rFonts w:cs="Arial"/>
                <w:color w:val="000000"/>
                <w:szCs w:val="24"/>
                <w:lang w:eastAsia="en-GB"/>
              </w:rPr>
              <w:t>3.6%</w:t>
            </w:r>
          </w:p>
        </w:tc>
        <w:tc>
          <w:tcPr>
            <w:tcW w:w="535" w:type="pct"/>
            <w:tcBorders>
              <w:top w:val="nil"/>
              <w:left w:val="nil"/>
              <w:bottom w:val="single" w:sz="8" w:space="0" w:color="auto"/>
              <w:right w:val="single" w:sz="8" w:space="0" w:color="auto"/>
            </w:tcBorders>
            <w:vAlign w:val="bottom"/>
          </w:tcPr>
          <w:p w14:paraId="7F972B60" w14:textId="3CB34E36" w:rsidR="007D00DA" w:rsidRPr="009D56CF" w:rsidRDefault="007D00DA" w:rsidP="00D9246A">
            <w:pPr>
              <w:spacing w:line="240" w:lineRule="auto"/>
              <w:jc w:val="right"/>
              <w:rPr>
                <w:rFonts w:cs="Arial"/>
                <w:szCs w:val="24"/>
              </w:rPr>
            </w:pPr>
            <w:r w:rsidRPr="009D56CF">
              <w:rPr>
                <w:rFonts w:cs="Arial"/>
                <w:color w:val="000000"/>
                <w:szCs w:val="24"/>
                <w:lang w:eastAsia="en-GB"/>
              </w:rPr>
              <w:t>695</w:t>
            </w:r>
          </w:p>
        </w:tc>
        <w:tc>
          <w:tcPr>
            <w:tcW w:w="487" w:type="pct"/>
            <w:tcBorders>
              <w:top w:val="nil"/>
              <w:left w:val="nil"/>
              <w:bottom w:val="single" w:sz="8" w:space="0" w:color="auto"/>
              <w:right w:val="single" w:sz="8" w:space="0" w:color="auto"/>
            </w:tcBorders>
            <w:vAlign w:val="bottom"/>
          </w:tcPr>
          <w:p w14:paraId="74411409" w14:textId="45CC38C5" w:rsidR="007D00DA" w:rsidRPr="009D56CF" w:rsidRDefault="007D00DA" w:rsidP="00D9246A">
            <w:pPr>
              <w:spacing w:line="240" w:lineRule="auto"/>
              <w:jc w:val="right"/>
              <w:rPr>
                <w:rFonts w:cs="Arial"/>
                <w:szCs w:val="24"/>
              </w:rPr>
            </w:pPr>
            <w:r w:rsidRPr="009D56CF">
              <w:rPr>
                <w:rFonts w:cs="Arial"/>
                <w:color w:val="000000"/>
                <w:szCs w:val="24"/>
                <w:lang w:eastAsia="en-GB"/>
              </w:rPr>
              <w:t>14.7%</w:t>
            </w:r>
          </w:p>
        </w:tc>
        <w:tc>
          <w:tcPr>
            <w:tcW w:w="517" w:type="pct"/>
            <w:tcBorders>
              <w:top w:val="single" w:sz="6" w:space="0" w:color="auto"/>
              <w:left w:val="single" w:sz="6" w:space="0" w:color="auto"/>
              <w:bottom w:val="single" w:sz="6" w:space="0" w:color="auto"/>
              <w:right w:val="single" w:sz="6" w:space="0" w:color="auto"/>
            </w:tcBorders>
          </w:tcPr>
          <w:p w14:paraId="3640F8D1" w14:textId="7EF8EC2C" w:rsidR="007D00DA" w:rsidRPr="009D56CF" w:rsidRDefault="007D00DA" w:rsidP="00D9246A">
            <w:pPr>
              <w:spacing w:line="240" w:lineRule="auto"/>
              <w:jc w:val="right"/>
              <w:rPr>
                <w:rFonts w:cs="Arial"/>
                <w:szCs w:val="24"/>
              </w:rPr>
            </w:pPr>
            <w:r w:rsidRPr="009D56CF">
              <w:rPr>
                <w:rFonts w:cs="Arial"/>
                <w:szCs w:val="24"/>
              </w:rPr>
              <w:t>867</w:t>
            </w:r>
          </w:p>
        </w:tc>
        <w:tc>
          <w:tcPr>
            <w:tcW w:w="395" w:type="pct"/>
            <w:tcBorders>
              <w:top w:val="single" w:sz="6" w:space="0" w:color="auto"/>
              <w:left w:val="single" w:sz="6" w:space="0" w:color="auto"/>
              <w:bottom w:val="single" w:sz="6" w:space="0" w:color="auto"/>
              <w:right w:val="single" w:sz="6" w:space="0" w:color="auto"/>
            </w:tcBorders>
            <w:vAlign w:val="bottom"/>
          </w:tcPr>
          <w:p w14:paraId="74E0DFA0" w14:textId="6F8757D2" w:rsidR="007D00DA" w:rsidRPr="009D56CF" w:rsidRDefault="007D00DA" w:rsidP="00D9246A">
            <w:pPr>
              <w:spacing w:line="240" w:lineRule="auto"/>
              <w:jc w:val="right"/>
              <w:rPr>
                <w:rFonts w:cs="Arial"/>
                <w:szCs w:val="24"/>
              </w:rPr>
            </w:pPr>
            <w:r w:rsidRPr="009D56CF">
              <w:rPr>
                <w:rFonts w:cs="Arial"/>
                <w:szCs w:val="24"/>
              </w:rPr>
              <w:t>18%</w:t>
            </w:r>
          </w:p>
        </w:tc>
      </w:tr>
      <w:tr w:rsidR="000636D6" w:rsidRPr="00595FE6" w14:paraId="08637639" w14:textId="77777777" w:rsidTr="00C85DDE">
        <w:trPr>
          <w:trHeight w:val="170"/>
        </w:trPr>
        <w:tc>
          <w:tcPr>
            <w:tcW w:w="1410" w:type="pct"/>
            <w:tcBorders>
              <w:top w:val="single" w:sz="6" w:space="0" w:color="auto"/>
              <w:left w:val="single" w:sz="6" w:space="0" w:color="auto"/>
              <w:bottom w:val="single" w:sz="6" w:space="0" w:color="auto"/>
              <w:right w:val="single" w:sz="6" w:space="0" w:color="auto"/>
            </w:tcBorders>
            <w:vAlign w:val="bottom"/>
          </w:tcPr>
          <w:p w14:paraId="1EF8CFB6" w14:textId="77777777" w:rsidR="007D00DA" w:rsidRPr="00595FE6" w:rsidRDefault="007D00DA" w:rsidP="00D9246A">
            <w:pPr>
              <w:spacing w:line="240" w:lineRule="auto"/>
              <w:rPr>
                <w:rFonts w:cs="Arial"/>
                <w:color w:val="000000" w:themeColor="text1"/>
                <w:szCs w:val="24"/>
              </w:rPr>
            </w:pPr>
            <w:r w:rsidRPr="00595FE6">
              <w:rPr>
                <w:rFonts w:cs="Arial"/>
                <w:color w:val="000000" w:themeColor="text1"/>
                <w:szCs w:val="24"/>
              </w:rPr>
              <w:t>Black or Racially Minoritised pupils</w:t>
            </w:r>
          </w:p>
        </w:tc>
        <w:tc>
          <w:tcPr>
            <w:tcW w:w="487" w:type="pct"/>
            <w:tcBorders>
              <w:top w:val="nil"/>
              <w:left w:val="nil"/>
              <w:bottom w:val="single" w:sz="8" w:space="0" w:color="auto"/>
              <w:right w:val="single" w:sz="8" w:space="0" w:color="auto"/>
            </w:tcBorders>
            <w:vAlign w:val="bottom"/>
          </w:tcPr>
          <w:p w14:paraId="4A454E76" w14:textId="46AABE86" w:rsidR="007D00DA" w:rsidRPr="009D56CF" w:rsidRDefault="007D00DA" w:rsidP="00D9246A">
            <w:pPr>
              <w:spacing w:line="240" w:lineRule="auto"/>
              <w:jc w:val="right"/>
              <w:rPr>
                <w:rFonts w:cs="Arial"/>
                <w:szCs w:val="24"/>
              </w:rPr>
            </w:pPr>
            <w:r w:rsidRPr="009D56CF">
              <w:rPr>
                <w:rFonts w:cs="Arial"/>
                <w:color w:val="000000"/>
                <w:szCs w:val="24"/>
                <w:lang w:eastAsia="en-GB"/>
              </w:rPr>
              <w:t>9,831</w:t>
            </w:r>
          </w:p>
        </w:tc>
        <w:tc>
          <w:tcPr>
            <w:tcW w:w="633" w:type="pct"/>
            <w:tcBorders>
              <w:top w:val="nil"/>
              <w:left w:val="nil"/>
              <w:bottom w:val="single" w:sz="8" w:space="0" w:color="auto"/>
              <w:right w:val="single" w:sz="8" w:space="0" w:color="auto"/>
            </w:tcBorders>
            <w:vAlign w:val="bottom"/>
          </w:tcPr>
          <w:p w14:paraId="56684961" w14:textId="1F5BF62B" w:rsidR="007D00DA" w:rsidRPr="009D56CF" w:rsidRDefault="007D00DA" w:rsidP="00D9246A">
            <w:pPr>
              <w:spacing w:line="240" w:lineRule="auto"/>
              <w:jc w:val="right"/>
              <w:rPr>
                <w:rFonts w:cs="Arial"/>
                <w:szCs w:val="24"/>
              </w:rPr>
            </w:pPr>
            <w:r w:rsidRPr="009D56CF">
              <w:rPr>
                <w:rFonts w:cs="Arial"/>
                <w:color w:val="000000"/>
                <w:szCs w:val="24"/>
                <w:lang w:eastAsia="en-GB"/>
              </w:rPr>
              <w:t>509</w:t>
            </w:r>
          </w:p>
        </w:tc>
        <w:tc>
          <w:tcPr>
            <w:tcW w:w="536" w:type="pct"/>
            <w:tcBorders>
              <w:top w:val="nil"/>
              <w:left w:val="nil"/>
              <w:bottom w:val="single" w:sz="8" w:space="0" w:color="auto"/>
              <w:right w:val="single" w:sz="8" w:space="0" w:color="auto"/>
            </w:tcBorders>
            <w:vAlign w:val="bottom"/>
          </w:tcPr>
          <w:p w14:paraId="5FDFDA6F" w14:textId="25FFA125" w:rsidR="007D00DA" w:rsidRPr="009D56CF" w:rsidRDefault="007D00DA" w:rsidP="00D9246A">
            <w:pPr>
              <w:spacing w:line="240" w:lineRule="auto"/>
              <w:jc w:val="right"/>
              <w:rPr>
                <w:rFonts w:cs="Arial"/>
                <w:szCs w:val="24"/>
              </w:rPr>
            </w:pPr>
            <w:r w:rsidRPr="009D56CF">
              <w:rPr>
                <w:rFonts w:cs="Arial"/>
                <w:color w:val="000000"/>
                <w:szCs w:val="24"/>
                <w:lang w:eastAsia="en-GB"/>
              </w:rPr>
              <w:t>5.2%</w:t>
            </w:r>
          </w:p>
        </w:tc>
        <w:tc>
          <w:tcPr>
            <w:tcW w:w="535" w:type="pct"/>
            <w:tcBorders>
              <w:top w:val="nil"/>
              <w:left w:val="nil"/>
              <w:bottom w:val="single" w:sz="8" w:space="0" w:color="auto"/>
              <w:right w:val="single" w:sz="8" w:space="0" w:color="auto"/>
            </w:tcBorders>
            <w:vAlign w:val="bottom"/>
          </w:tcPr>
          <w:p w14:paraId="1261C630" w14:textId="459B54BC" w:rsidR="007D00DA" w:rsidRPr="009D56CF" w:rsidRDefault="007D00DA" w:rsidP="00D9246A">
            <w:pPr>
              <w:spacing w:line="240" w:lineRule="auto"/>
              <w:jc w:val="right"/>
              <w:rPr>
                <w:rFonts w:cs="Arial"/>
                <w:szCs w:val="24"/>
              </w:rPr>
            </w:pPr>
            <w:r w:rsidRPr="009D56CF">
              <w:rPr>
                <w:rFonts w:cs="Arial"/>
                <w:color w:val="000000"/>
                <w:szCs w:val="24"/>
                <w:lang w:eastAsia="en-GB"/>
              </w:rPr>
              <w:t>1</w:t>
            </w:r>
            <w:r w:rsidR="00A61614" w:rsidRPr="009D56CF">
              <w:rPr>
                <w:rFonts w:cs="Arial"/>
                <w:color w:val="000000"/>
                <w:szCs w:val="24"/>
                <w:lang w:eastAsia="en-GB"/>
              </w:rPr>
              <w:t>,</w:t>
            </w:r>
            <w:r w:rsidRPr="009D56CF">
              <w:rPr>
                <w:rFonts w:cs="Arial"/>
                <w:color w:val="000000"/>
                <w:szCs w:val="24"/>
                <w:lang w:eastAsia="en-GB"/>
              </w:rPr>
              <w:t>403</w:t>
            </w:r>
          </w:p>
        </w:tc>
        <w:tc>
          <w:tcPr>
            <w:tcW w:w="487" w:type="pct"/>
            <w:tcBorders>
              <w:top w:val="nil"/>
              <w:left w:val="nil"/>
              <w:bottom w:val="single" w:sz="8" w:space="0" w:color="auto"/>
              <w:right w:val="single" w:sz="8" w:space="0" w:color="auto"/>
            </w:tcBorders>
            <w:vAlign w:val="bottom"/>
          </w:tcPr>
          <w:p w14:paraId="4406EFDE" w14:textId="582ECEA8" w:rsidR="007D00DA" w:rsidRPr="009D56CF" w:rsidRDefault="007D00DA" w:rsidP="00D9246A">
            <w:pPr>
              <w:spacing w:line="240" w:lineRule="auto"/>
              <w:jc w:val="right"/>
              <w:rPr>
                <w:rFonts w:cs="Arial"/>
                <w:szCs w:val="24"/>
              </w:rPr>
            </w:pPr>
            <w:r w:rsidRPr="009D56CF">
              <w:rPr>
                <w:rFonts w:cs="Arial"/>
                <w:color w:val="000000"/>
                <w:szCs w:val="24"/>
                <w:lang w:eastAsia="en-GB"/>
              </w:rPr>
              <w:t>14.3%</w:t>
            </w:r>
          </w:p>
        </w:tc>
        <w:tc>
          <w:tcPr>
            <w:tcW w:w="517" w:type="pct"/>
            <w:tcBorders>
              <w:top w:val="single" w:sz="6" w:space="0" w:color="auto"/>
              <w:left w:val="single" w:sz="6" w:space="0" w:color="auto"/>
              <w:bottom w:val="single" w:sz="6" w:space="0" w:color="auto"/>
              <w:right w:val="single" w:sz="6" w:space="0" w:color="auto"/>
            </w:tcBorders>
          </w:tcPr>
          <w:p w14:paraId="64B37B25" w14:textId="3DE474FF" w:rsidR="007D00DA" w:rsidRPr="009D56CF" w:rsidRDefault="007D00DA" w:rsidP="00D9246A">
            <w:pPr>
              <w:spacing w:line="240" w:lineRule="auto"/>
              <w:jc w:val="right"/>
              <w:rPr>
                <w:rFonts w:cs="Arial"/>
                <w:szCs w:val="24"/>
              </w:rPr>
            </w:pPr>
            <w:r w:rsidRPr="009D56CF">
              <w:rPr>
                <w:rFonts w:cs="Arial"/>
                <w:szCs w:val="24"/>
              </w:rPr>
              <w:t>1,912</w:t>
            </w:r>
          </w:p>
        </w:tc>
        <w:tc>
          <w:tcPr>
            <w:tcW w:w="395" w:type="pct"/>
            <w:tcBorders>
              <w:top w:val="single" w:sz="6" w:space="0" w:color="auto"/>
              <w:left w:val="single" w:sz="6" w:space="0" w:color="auto"/>
              <w:bottom w:val="single" w:sz="6" w:space="0" w:color="auto"/>
              <w:right w:val="single" w:sz="6" w:space="0" w:color="auto"/>
            </w:tcBorders>
            <w:vAlign w:val="bottom"/>
          </w:tcPr>
          <w:p w14:paraId="29CBBECD" w14:textId="0DADEEEC" w:rsidR="007D00DA" w:rsidRPr="009D56CF" w:rsidRDefault="007D00DA" w:rsidP="00D9246A">
            <w:pPr>
              <w:spacing w:line="240" w:lineRule="auto"/>
              <w:jc w:val="right"/>
              <w:rPr>
                <w:rFonts w:cs="Arial"/>
                <w:szCs w:val="24"/>
              </w:rPr>
            </w:pPr>
            <w:r w:rsidRPr="009D56CF">
              <w:rPr>
                <w:rFonts w:cs="Arial"/>
                <w:szCs w:val="24"/>
              </w:rPr>
              <w:t>19%</w:t>
            </w:r>
          </w:p>
        </w:tc>
      </w:tr>
      <w:tr w:rsidR="000636D6" w:rsidRPr="00595FE6" w14:paraId="6E09CCA2" w14:textId="77777777" w:rsidTr="00C85DDE">
        <w:trPr>
          <w:trHeight w:val="170"/>
        </w:trPr>
        <w:tc>
          <w:tcPr>
            <w:tcW w:w="1410" w:type="pct"/>
            <w:tcBorders>
              <w:top w:val="single" w:sz="6" w:space="0" w:color="auto"/>
              <w:left w:val="single" w:sz="6" w:space="0" w:color="auto"/>
              <w:bottom w:val="single" w:sz="6" w:space="0" w:color="auto"/>
              <w:right w:val="single" w:sz="6" w:space="0" w:color="auto"/>
            </w:tcBorders>
            <w:vAlign w:val="bottom"/>
          </w:tcPr>
          <w:p w14:paraId="6ABB2193" w14:textId="77777777" w:rsidR="007D00DA" w:rsidRPr="00595FE6" w:rsidRDefault="007D00DA" w:rsidP="00D9246A">
            <w:pPr>
              <w:spacing w:line="240" w:lineRule="auto"/>
              <w:rPr>
                <w:rFonts w:cs="Arial"/>
                <w:color w:val="000000" w:themeColor="text1"/>
                <w:szCs w:val="24"/>
              </w:rPr>
            </w:pPr>
            <w:r w:rsidRPr="00595FE6">
              <w:rPr>
                <w:rFonts w:cs="Arial"/>
                <w:color w:val="000000" w:themeColor="text1"/>
                <w:szCs w:val="24"/>
              </w:rPr>
              <w:t>White British or not stated</w:t>
            </w:r>
          </w:p>
        </w:tc>
        <w:tc>
          <w:tcPr>
            <w:tcW w:w="487" w:type="pct"/>
            <w:tcBorders>
              <w:top w:val="nil"/>
              <w:left w:val="nil"/>
              <w:bottom w:val="single" w:sz="8" w:space="0" w:color="auto"/>
              <w:right w:val="single" w:sz="8" w:space="0" w:color="auto"/>
            </w:tcBorders>
            <w:vAlign w:val="bottom"/>
          </w:tcPr>
          <w:p w14:paraId="2803FF70" w14:textId="16BAF467" w:rsidR="007D00DA" w:rsidRPr="009D56CF" w:rsidRDefault="007D00DA" w:rsidP="00D9246A">
            <w:pPr>
              <w:spacing w:line="240" w:lineRule="auto"/>
              <w:jc w:val="right"/>
              <w:rPr>
                <w:rFonts w:cs="Arial"/>
                <w:szCs w:val="24"/>
              </w:rPr>
            </w:pPr>
            <w:r w:rsidRPr="009D56CF">
              <w:rPr>
                <w:rFonts w:cs="Arial"/>
                <w:color w:val="000000"/>
                <w:szCs w:val="24"/>
                <w:lang w:eastAsia="en-GB"/>
              </w:rPr>
              <w:t>20,735</w:t>
            </w:r>
          </w:p>
        </w:tc>
        <w:tc>
          <w:tcPr>
            <w:tcW w:w="633" w:type="pct"/>
            <w:tcBorders>
              <w:top w:val="nil"/>
              <w:left w:val="nil"/>
              <w:bottom w:val="single" w:sz="8" w:space="0" w:color="auto"/>
              <w:right w:val="single" w:sz="8" w:space="0" w:color="auto"/>
            </w:tcBorders>
            <w:vAlign w:val="bottom"/>
          </w:tcPr>
          <w:p w14:paraId="6817D2B3" w14:textId="1E9D2587" w:rsidR="007D00DA" w:rsidRPr="009D56CF" w:rsidRDefault="007D00DA" w:rsidP="00D9246A">
            <w:pPr>
              <w:spacing w:line="240" w:lineRule="auto"/>
              <w:jc w:val="right"/>
              <w:rPr>
                <w:rFonts w:cs="Arial"/>
                <w:szCs w:val="24"/>
              </w:rPr>
            </w:pPr>
            <w:r w:rsidRPr="009D56CF">
              <w:rPr>
                <w:rFonts w:cs="Arial"/>
                <w:color w:val="000000"/>
                <w:szCs w:val="24"/>
                <w:lang w:eastAsia="en-GB"/>
              </w:rPr>
              <w:t>1</w:t>
            </w:r>
            <w:r w:rsidR="009D56CF" w:rsidRPr="009D56CF">
              <w:rPr>
                <w:rFonts w:cs="Arial"/>
                <w:color w:val="000000"/>
                <w:szCs w:val="24"/>
                <w:lang w:eastAsia="en-GB"/>
              </w:rPr>
              <w:t>,</w:t>
            </w:r>
            <w:r w:rsidRPr="009D56CF">
              <w:rPr>
                <w:rFonts w:cs="Arial"/>
                <w:color w:val="000000"/>
                <w:szCs w:val="24"/>
                <w:lang w:eastAsia="en-GB"/>
              </w:rPr>
              <w:t>262</w:t>
            </w:r>
          </w:p>
        </w:tc>
        <w:tc>
          <w:tcPr>
            <w:tcW w:w="536" w:type="pct"/>
            <w:tcBorders>
              <w:top w:val="nil"/>
              <w:left w:val="nil"/>
              <w:bottom w:val="single" w:sz="8" w:space="0" w:color="auto"/>
              <w:right w:val="single" w:sz="8" w:space="0" w:color="auto"/>
            </w:tcBorders>
            <w:vAlign w:val="bottom"/>
          </w:tcPr>
          <w:p w14:paraId="3C6B28E8" w14:textId="0B5B7CA3" w:rsidR="007D00DA" w:rsidRPr="009D56CF" w:rsidRDefault="007D00DA" w:rsidP="00D9246A">
            <w:pPr>
              <w:spacing w:line="240" w:lineRule="auto"/>
              <w:jc w:val="right"/>
              <w:rPr>
                <w:rFonts w:cs="Arial"/>
                <w:szCs w:val="24"/>
              </w:rPr>
            </w:pPr>
            <w:r w:rsidRPr="009D56CF">
              <w:rPr>
                <w:rFonts w:cs="Arial"/>
                <w:color w:val="000000"/>
                <w:szCs w:val="24"/>
                <w:lang w:eastAsia="en-GB"/>
              </w:rPr>
              <w:t>6.1%</w:t>
            </w:r>
          </w:p>
        </w:tc>
        <w:tc>
          <w:tcPr>
            <w:tcW w:w="535" w:type="pct"/>
            <w:tcBorders>
              <w:top w:val="nil"/>
              <w:left w:val="nil"/>
              <w:bottom w:val="single" w:sz="8" w:space="0" w:color="auto"/>
              <w:right w:val="single" w:sz="8" w:space="0" w:color="auto"/>
            </w:tcBorders>
            <w:vAlign w:val="bottom"/>
          </w:tcPr>
          <w:p w14:paraId="3DED92BE" w14:textId="730E8E1B" w:rsidR="007D00DA" w:rsidRPr="009D56CF" w:rsidRDefault="007D00DA" w:rsidP="00D9246A">
            <w:pPr>
              <w:spacing w:line="240" w:lineRule="auto"/>
              <w:jc w:val="right"/>
              <w:rPr>
                <w:rFonts w:cs="Arial"/>
                <w:szCs w:val="24"/>
              </w:rPr>
            </w:pPr>
            <w:r w:rsidRPr="009D56CF">
              <w:rPr>
                <w:rFonts w:cs="Arial"/>
                <w:color w:val="000000"/>
                <w:szCs w:val="24"/>
                <w:lang w:eastAsia="en-GB"/>
              </w:rPr>
              <w:t>4</w:t>
            </w:r>
            <w:r w:rsidR="00A61614" w:rsidRPr="009D56CF">
              <w:rPr>
                <w:rFonts w:cs="Arial"/>
                <w:color w:val="000000"/>
                <w:szCs w:val="24"/>
                <w:lang w:eastAsia="en-GB"/>
              </w:rPr>
              <w:t>,</w:t>
            </w:r>
            <w:r w:rsidRPr="009D56CF">
              <w:rPr>
                <w:rFonts w:cs="Arial"/>
                <w:color w:val="000000"/>
                <w:szCs w:val="24"/>
                <w:lang w:eastAsia="en-GB"/>
              </w:rPr>
              <w:t>089</w:t>
            </w:r>
          </w:p>
        </w:tc>
        <w:tc>
          <w:tcPr>
            <w:tcW w:w="487" w:type="pct"/>
            <w:tcBorders>
              <w:top w:val="nil"/>
              <w:left w:val="nil"/>
              <w:bottom w:val="single" w:sz="8" w:space="0" w:color="auto"/>
              <w:right w:val="single" w:sz="8" w:space="0" w:color="auto"/>
            </w:tcBorders>
            <w:vAlign w:val="bottom"/>
          </w:tcPr>
          <w:p w14:paraId="4B58659F" w14:textId="7268839E" w:rsidR="007D00DA" w:rsidRPr="009D56CF" w:rsidRDefault="007D00DA" w:rsidP="00D9246A">
            <w:pPr>
              <w:spacing w:line="240" w:lineRule="auto"/>
              <w:jc w:val="right"/>
              <w:rPr>
                <w:rFonts w:cs="Arial"/>
                <w:szCs w:val="24"/>
              </w:rPr>
            </w:pPr>
            <w:r w:rsidRPr="009D56CF">
              <w:rPr>
                <w:rFonts w:cs="Arial"/>
                <w:color w:val="000000"/>
                <w:szCs w:val="24"/>
                <w:lang w:eastAsia="en-GB"/>
              </w:rPr>
              <w:t>19.7%</w:t>
            </w:r>
          </w:p>
        </w:tc>
        <w:tc>
          <w:tcPr>
            <w:tcW w:w="517" w:type="pct"/>
            <w:tcBorders>
              <w:top w:val="single" w:sz="6" w:space="0" w:color="auto"/>
              <w:left w:val="single" w:sz="6" w:space="0" w:color="auto"/>
              <w:bottom w:val="single" w:sz="6" w:space="0" w:color="auto"/>
              <w:right w:val="single" w:sz="6" w:space="0" w:color="auto"/>
            </w:tcBorders>
          </w:tcPr>
          <w:p w14:paraId="696FADED" w14:textId="775B6CC0" w:rsidR="007D00DA" w:rsidRPr="009D56CF" w:rsidRDefault="007D00DA" w:rsidP="00D9246A">
            <w:pPr>
              <w:spacing w:line="240" w:lineRule="auto"/>
              <w:jc w:val="right"/>
              <w:rPr>
                <w:rFonts w:cs="Arial"/>
                <w:szCs w:val="24"/>
              </w:rPr>
            </w:pPr>
            <w:r w:rsidRPr="009D56CF">
              <w:rPr>
                <w:rFonts w:cs="Arial"/>
                <w:szCs w:val="24"/>
              </w:rPr>
              <w:t>5,351</w:t>
            </w:r>
          </w:p>
        </w:tc>
        <w:tc>
          <w:tcPr>
            <w:tcW w:w="395" w:type="pct"/>
            <w:tcBorders>
              <w:top w:val="single" w:sz="6" w:space="0" w:color="auto"/>
              <w:left w:val="single" w:sz="6" w:space="0" w:color="auto"/>
              <w:bottom w:val="single" w:sz="6" w:space="0" w:color="auto"/>
              <w:right w:val="single" w:sz="6" w:space="0" w:color="auto"/>
            </w:tcBorders>
            <w:vAlign w:val="bottom"/>
          </w:tcPr>
          <w:p w14:paraId="760D0F1D" w14:textId="7C33C73F" w:rsidR="007D00DA" w:rsidRPr="009D56CF" w:rsidRDefault="007D00DA" w:rsidP="00D9246A">
            <w:pPr>
              <w:spacing w:line="240" w:lineRule="auto"/>
              <w:jc w:val="right"/>
              <w:rPr>
                <w:rFonts w:cs="Arial"/>
                <w:szCs w:val="24"/>
              </w:rPr>
            </w:pPr>
            <w:r w:rsidRPr="009D56CF">
              <w:rPr>
                <w:rFonts w:cs="Arial"/>
                <w:szCs w:val="24"/>
              </w:rPr>
              <w:t>26%</w:t>
            </w:r>
          </w:p>
        </w:tc>
      </w:tr>
      <w:tr w:rsidR="000636D6" w:rsidRPr="00595FE6" w14:paraId="543AA96E" w14:textId="77777777" w:rsidTr="00C85DDE">
        <w:trPr>
          <w:trHeight w:val="170"/>
        </w:trPr>
        <w:tc>
          <w:tcPr>
            <w:tcW w:w="1410" w:type="pct"/>
            <w:tcBorders>
              <w:top w:val="single" w:sz="6" w:space="0" w:color="auto"/>
              <w:left w:val="single" w:sz="6" w:space="0" w:color="auto"/>
              <w:bottom w:val="single" w:sz="6" w:space="0" w:color="auto"/>
              <w:right w:val="single" w:sz="6" w:space="0" w:color="auto"/>
            </w:tcBorders>
            <w:vAlign w:val="bottom"/>
          </w:tcPr>
          <w:p w14:paraId="08FC61DC" w14:textId="77777777" w:rsidR="007D00DA" w:rsidRPr="00595FE6" w:rsidRDefault="007D00DA" w:rsidP="00D9246A">
            <w:pPr>
              <w:spacing w:line="240" w:lineRule="auto"/>
              <w:rPr>
                <w:rFonts w:cs="Arial"/>
                <w:szCs w:val="24"/>
              </w:rPr>
            </w:pPr>
            <w:r w:rsidRPr="00595FE6">
              <w:rPr>
                <w:rFonts w:cs="Arial"/>
                <w:color w:val="000000" w:themeColor="text1"/>
                <w:szCs w:val="24"/>
              </w:rPr>
              <w:t>English as an additional language (EAL)</w:t>
            </w:r>
          </w:p>
        </w:tc>
        <w:tc>
          <w:tcPr>
            <w:tcW w:w="487" w:type="pct"/>
            <w:tcBorders>
              <w:top w:val="nil"/>
              <w:left w:val="nil"/>
              <w:bottom w:val="single" w:sz="8" w:space="0" w:color="auto"/>
              <w:right w:val="single" w:sz="8" w:space="0" w:color="auto"/>
            </w:tcBorders>
            <w:vAlign w:val="bottom"/>
          </w:tcPr>
          <w:p w14:paraId="5542E3E7" w14:textId="2E8E4414" w:rsidR="007D00DA" w:rsidRPr="009D56CF" w:rsidRDefault="007D00DA" w:rsidP="00D9246A">
            <w:pPr>
              <w:spacing w:line="240" w:lineRule="auto"/>
              <w:jc w:val="right"/>
              <w:rPr>
                <w:rFonts w:cs="Arial"/>
                <w:szCs w:val="24"/>
              </w:rPr>
            </w:pPr>
            <w:r w:rsidRPr="009D56CF">
              <w:rPr>
                <w:rFonts w:cs="Arial"/>
                <w:color w:val="000000"/>
                <w:szCs w:val="24"/>
                <w:lang w:eastAsia="en-GB"/>
              </w:rPr>
              <w:t>5006</w:t>
            </w:r>
          </w:p>
        </w:tc>
        <w:tc>
          <w:tcPr>
            <w:tcW w:w="633" w:type="pct"/>
            <w:tcBorders>
              <w:top w:val="nil"/>
              <w:left w:val="nil"/>
              <w:bottom w:val="single" w:sz="8" w:space="0" w:color="auto"/>
              <w:right w:val="single" w:sz="8" w:space="0" w:color="auto"/>
            </w:tcBorders>
            <w:vAlign w:val="bottom"/>
          </w:tcPr>
          <w:p w14:paraId="6A982B51" w14:textId="22D67A86" w:rsidR="007D00DA" w:rsidRPr="009D56CF" w:rsidRDefault="007D00DA" w:rsidP="00D9246A">
            <w:pPr>
              <w:spacing w:line="240" w:lineRule="auto"/>
              <w:jc w:val="right"/>
              <w:rPr>
                <w:rFonts w:cs="Arial"/>
                <w:szCs w:val="24"/>
              </w:rPr>
            </w:pPr>
            <w:r w:rsidRPr="009D56CF">
              <w:rPr>
                <w:rFonts w:cs="Arial"/>
                <w:color w:val="000000"/>
                <w:szCs w:val="24"/>
                <w:lang w:eastAsia="en-GB"/>
              </w:rPr>
              <w:t>251</w:t>
            </w:r>
          </w:p>
        </w:tc>
        <w:tc>
          <w:tcPr>
            <w:tcW w:w="536" w:type="pct"/>
            <w:tcBorders>
              <w:top w:val="nil"/>
              <w:left w:val="nil"/>
              <w:bottom w:val="single" w:sz="8" w:space="0" w:color="auto"/>
              <w:right w:val="single" w:sz="8" w:space="0" w:color="auto"/>
            </w:tcBorders>
            <w:vAlign w:val="bottom"/>
          </w:tcPr>
          <w:p w14:paraId="022DEA7D" w14:textId="1927368E" w:rsidR="007D00DA" w:rsidRPr="009D56CF" w:rsidRDefault="007D00DA" w:rsidP="00D9246A">
            <w:pPr>
              <w:spacing w:line="240" w:lineRule="auto"/>
              <w:jc w:val="right"/>
              <w:rPr>
                <w:rFonts w:cs="Arial"/>
                <w:szCs w:val="24"/>
              </w:rPr>
            </w:pPr>
            <w:r w:rsidRPr="009D56CF">
              <w:rPr>
                <w:rFonts w:cs="Arial"/>
                <w:color w:val="000000"/>
                <w:szCs w:val="24"/>
                <w:lang w:eastAsia="en-GB"/>
              </w:rPr>
              <w:t>5.0%</w:t>
            </w:r>
          </w:p>
        </w:tc>
        <w:tc>
          <w:tcPr>
            <w:tcW w:w="535" w:type="pct"/>
            <w:tcBorders>
              <w:top w:val="nil"/>
              <w:left w:val="nil"/>
              <w:bottom w:val="single" w:sz="8" w:space="0" w:color="auto"/>
              <w:right w:val="single" w:sz="8" w:space="0" w:color="auto"/>
            </w:tcBorders>
            <w:vAlign w:val="bottom"/>
          </w:tcPr>
          <w:p w14:paraId="57D92625" w14:textId="1064B131" w:rsidR="007D00DA" w:rsidRPr="009D56CF" w:rsidRDefault="007D00DA" w:rsidP="00D9246A">
            <w:pPr>
              <w:spacing w:line="240" w:lineRule="auto"/>
              <w:jc w:val="right"/>
              <w:rPr>
                <w:rFonts w:cs="Arial"/>
                <w:szCs w:val="24"/>
              </w:rPr>
            </w:pPr>
            <w:r w:rsidRPr="009D56CF">
              <w:rPr>
                <w:rFonts w:cs="Arial"/>
                <w:color w:val="000000"/>
                <w:szCs w:val="24"/>
                <w:lang w:eastAsia="en-GB"/>
              </w:rPr>
              <w:t>625</w:t>
            </w:r>
          </w:p>
        </w:tc>
        <w:tc>
          <w:tcPr>
            <w:tcW w:w="487" w:type="pct"/>
            <w:tcBorders>
              <w:top w:val="nil"/>
              <w:left w:val="nil"/>
              <w:bottom w:val="single" w:sz="8" w:space="0" w:color="auto"/>
              <w:right w:val="single" w:sz="8" w:space="0" w:color="auto"/>
            </w:tcBorders>
            <w:vAlign w:val="bottom"/>
          </w:tcPr>
          <w:p w14:paraId="5F816983" w14:textId="01EE62D8" w:rsidR="007D00DA" w:rsidRPr="009D56CF" w:rsidRDefault="007D00DA" w:rsidP="00D9246A">
            <w:pPr>
              <w:spacing w:line="240" w:lineRule="auto"/>
              <w:jc w:val="right"/>
              <w:rPr>
                <w:rFonts w:cs="Arial"/>
                <w:szCs w:val="24"/>
              </w:rPr>
            </w:pPr>
            <w:r w:rsidRPr="009D56CF">
              <w:rPr>
                <w:rFonts w:cs="Arial"/>
                <w:color w:val="000000"/>
                <w:szCs w:val="24"/>
                <w:lang w:eastAsia="en-GB"/>
              </w:rPr>
              <w:t>12.5%</w:t>
            </w:r>
          </w:p>
        </w:tc>
        <w:tc>
          <w:tcPr>
            <w:tcW w:w="517" w:type="pct"/>
            <w:tcBorders>
              <w:top w:val="single" w:sz="6" w:space="0" w:color="auto"/>
              <w:left w:val="single" w:sz="6" w:space="0" w:color="auto"/>
              <w:bottom w:val="single" w:sz="6" w:space="0" w:color="auto"/>
              <w:right w:val="single" w:sz="6" w:space="0" w:color="auto"/>
            </w:tcBorders>
          </w:tcPr>
          <w:p w14:paraId="273AAF10" w14:textId="77777777" w:rsidR="00D82B04" w:rsidRDefault="00D82B04" w:rsidP="00D9246A">
            <w:pPr>
              <w:spacing w:line="240" w:lineRule="auto"/>
              <w:jc w:val="right"/>
              <w:rPr>
                <w:rFonts w:cs="Arial"/>
                <w:szCs w:val="24"/>
              </w:rPr>
            </w:pPr>
          </w:p>
          <w:p w14:paraId="01797DF6" w14:textId="68C6A1D1" w:rsidR="007D00DA" w:rsidRPr="009D56CF" w:rsidRDefault="007D00DA" w:rsidP="00D9246A">
            <w:pPr>
              <w:spacing w:line="240" w:lineRule="auto"/>
              <w:jc w:val="right"/>
              <w:rPr>
                <w:rFonts w:cs="Arial"/>
                <w:szCs w:val="24"/>
              </w:rPr>
            </w:pPr>
            <w:r w:rsidRPr="009D56CF">
              <w:rPr>
                <w:rFonts w:cs="Arial"/>
                <w:szCs w:val="24"/>
              </w:rPr>
              <w:t>877</w:t>
            </w:r>
          </w:p>
        </w:tc>
        <w:tc>
          <w:tcPr>
            <w:tcW w:w="395" w:type="pct"/>
            <w:tcBorders>
              <w:top w:val="single" w:sz="6" w:space="0" w:color="auto"/>
              <w:left w:val="single" w:sz="6" w:space="0" w:color="auto"/>
              <w:bottom w:val="single" w:sz="6" w:space="0" w:color="auto"/>
              <w:right w:val="single" w:sz="6" w:space="0" w:color="auto"/>
            </w:tcBorders>
            <w:vAlign w:val="bottom"/>
          </w:tcPr>
          <w:p w14:paraId="36898185" w14:textId="38787DA9" w:rsidR="007D00DA" w:rsidRPr="009D56CF" w:rsidRDefault="007D00DA" w:rsidP="00D9246A">
            <w:pPr>
              <w:spacing w:line="240" w:lineRule="auto"/>
              <w:jc w:val="right"/>
              <w:rPr>
                <w:rFonts w:cs="Arial"/>
                <w:szCs w:val="24"/>
              </w:rPr>
            </w:pPr>
            <w:r w:rsidRPr="009D56CF">
              <w:rPr>
                <w:rFonts w:cs="Arial"/>
                <w:szCs w:val="24"/>
              </w:rPr>
              <w:t>18%</w:t>
            </w:r>
          </w:p>
        </w:tc>
      </w:tr>
      <w:tr w:rsidR="000636D6" w:rsidRPr="00595FE6" w14:paraId="63C766FC" w14:textId="77777777" w:rsidTr="00C85DDE">
        <w:trPr>
          <w:trHeight w:val="170"/>
        </w:trPr>
        <w:tc>
          <w:tcPr>
            <w:tcW w:w="1410" w:type="pct"/>
            <w:vAlign w:val="bottom"/>
          </w:tcPr>
          <w:p w14:paraId="6982B0D5" w14:textId="77777777" w:rsidR="007D00DA" w:rsidRPr="00595FE6" w:rsidRDefault="007D00DA" w:rsidP="00D9246A">
            <w:pPr>
              <w:spacing w:line="240" w:lineRule="auto"/>
              <w:rPr>
                <w:rFonts w:cs="Arial"/>
                <w:szCs w:val="24"/>
              </w:rPr>
            </w:pPr>
            <w:r w:rsidRPr="00595FE6">
              <w:rPr>
                <w:rFonts w:cs="Arial"/>
                <w:color w:val="000000" w:themeColor="text1"/>
                <w:szCs w:val="24"/>
              </w:rPr>
              <w:t>Not English as an additional language (EAL)</w:t>
            </w:r>
          </w:p>
        </w:tc>
        <w:tc>
          <w:tcPr>
            <w:tcW w:w="487" w:type="pct"/>
            <w:tcBorders>
              <w:top w:val="nil"/>
              <w:left w:val="nil"/>
              <w:bottom w:val="single" w:sz="8" w:space="0" w:color="auto"/>
              <w:right w:val="single" w:sz="8" w:space="0" w:color="auto"/>
            </w:tcBorders>
            <w:vAlign w:val="bottom"/>
          </w:tcPr>
          <w:p w14:paraId="55C6CD58" w14:textId="49CDDA6B" w:rsidR="007D00DA" w:rsidRPr="009D56CF" w:rsidRDefault="007D00DA" w:rsidP="00D9246A">
            <w:pPr>
              <w:spacing w:line="240" w:lineRule="auto"/>
              <w:jc w:val="right"/>
              <w:rPr>
                <w:rFonts w:cs="Arial"/>
                <w:szCs w:val="24"/>
              </w:rPr>
            </w:pPr>
            <w:r w:rsidRPr="009D56CF">
              <w:rPr>
                <w:rFonts w:cs="Arial"/>
                <w:color w:val="000000"/>
                <w:szCs w:val="24"/>
                <w:lang w:eastAsia="en-GB"/>
              </w:rPr>
              <w:t>25</w:t>
            </w:r>
            <w:r w:rsidR="00F47CCE" w:rsidRPr="009D56CF">
              <w:rPr>
                <w:rFonts w:cs="Arial"/>
                <w:color w:val="000000"/>
                <w:szCs w:val="24"/>
                <w:lang w:eastAsia="en-GB"/>
              </w:rPr>
              <w:t>,</w:t>
            </w:r>
            <w:r w:rsidRPr="009D56CF">
              <w:rPr>
                <w:rFonts w:cs="Arial"/>
                <w:color w:val="000000"/>
                <w:szCs w:val="24"/>
                <w:lang w:eastAsia="en-GB"/>
              </w:rPr>
              <w:t>560</w:t>
            </w:r>
          </w:p>
        </w:tc>
        <w:tc>
          <w:tcPr>
            <w:tcW w:w="633" w:type="pct"/>
            <w:tcBorders>
              <w:top w:val="nil"/>
              <w:left w:val="nil"/>
              <w:bottom w:val="single" w:sz="8" w:space="0" w:color="auto"/>
              <w:right w:val="single" w:sz="8" w:space="0" w:color="auto"/>
            </w:tcBorders>
            <w:vAlign w:val="bottom"/>
          </w:tcPr>
          <w:p w14:paraId="425824F3" w14:textId="2B1C870E" w:rsidR="007D00DA" w:rsidRPr="009D56CF" w:rsidRDefault="007D00DA" w:rsidP="00D9246A">
            <w:pPr>
              <w:spacing w:line="240" w:lineRule="auto"/>
              <w:jc w:val="right"/>
              <w:rPr>
                <w:rFonts w:cs="Arial"/>
                <w:szCs w:val="24"/>
              </w:rPr>
            </w:pPr>
            <w:r w:rsidRPr="009D56CF">
              <w:rPr>
                <w:rFonts w:cs="Arial"/>
                <w:color w:val="000000"/>
                <w:szCs w:val="24"/>
                <w:lang w:eastAsia="en-GB"/>
              </w:rPr>
              <w:t>1</w:t>
            </w:r>
            <w:r w:rsidR="009D56CF" w:rsidRPr="009D56CF">
              <w:rPr>
                <w:rFonts w:cs="Arial"/>
                <w:color w:val="000000"/>
                <w:szCs w:val="24"/>
                <w:lang w:eastAsia="en-GB"/>
              </w:rPr>
              <w:t>,</w:t>
            </w:r>
            <w:r w:rsidRPr="009D56CF">
              <w:rPr>
                <w:rFonts w:cs="Arial"/>
                <w:color w:val="000000"/>
                <w:szCs w:val="24"/>
                <w:lang w:eastAsia="en-GB"/>
              </w:rPr>
              <w:t>520</w:t>
            </w:r>
          </w:p>
        </w:tc>
        <w:tc>
          <w:tcPr>
            <w:tcW w:w="536" w:type="pct"/>
            <w:tcBorders>
              <w:top w:val="nil"/>
              <w:left w:val="nil"/>
              <w:bottom w:val="single" w:sz="8" w:space="0" w:color="auto"/>
              <w:right w:val="single" w:sz="8" w:space="0" w:color="auto"/>
            </w:tcBorders>
            <w:vAlign w:val="bottom"/>
          </w:tcPr>
          <w:p w14:paraId="46C08D5F" w14:textId="7C59B094" w:rsidR="007D00DA" w:rsidRPr="009D56CF" w:rsidRDefault="007D00DA" w:rsidP="00D9246A">
            <w:pPr>
              <w:spacing w:line="240" w:lineRule="auto"/>
              <w:jc w:val="right"/>
              <w:rPr>
                <w:rFonts w:cs="Arial"/>
                <w:szCs w:val="24"/>
              </w:rPr>
            </w:pPr>
            <w:r w:rsidRPr="009D56CF">
              <w:rPr>
                <w:rFonts w:cs="Arial"/>
                <w:color w:val="000000"/>
                <w:szCs w:val="24"/>
                <w:lang w:eastAsia="en-GB"/>
              </w:rPr>
              <w:t>5.9%</w:t>
            </w:r>
          </w:p>
        </w:tc>
        <w:tc>
          <w:tcPr>
            <w:tcW w:w="535" w:type="pct"/>
            <w:tcBorders>
              <w:top w:val="nil"/>
              <w:left w:val="nil"/>
              <w:bottom w:val="single" w:sz="8" w:space="0" w:color="auto"/>
              <w:right w:val="single" w:sz="8" w:space="0" w:color="auto"/>
            </w:tcBorders>
            <w:vAlign w:val="bottom"/>
          </w:tcPr>
          <w:p w14:paraId="09AB6CB1" w14:textId="106E8B89" w:rsidR="007D00DA" w:rsidRPr="009D56CF" w:rsidRDefault="007D00DA" w:rsidP="00D9246A">
            <w:pPr>
              <w:spacing w:line="240" w:lineRule="auto"/>
              <w:jc w:val="right"/>
              <w:rPr>
                <w:rFonts w:cs="Arial"/>
                <w:szCs w:val="24"/>
              </w:rPr>
            </w:pPr>
            <w:r w:rsidRPr="009D56CF">
              <w:rPr>
                <w:rFonts w:cs="Arial"/>
                <w:color w:val="000000"/>
                <w:szCs w:val="24"/>
                <w:lang w:eastAsia="en-GB"/>
              </w:rPr>
              <w:t>4</w:t>
            </w:r>
            <w:r w:rsidR="00A61614" w:rsidRPr="009D56CF">
              <w:rPr>
                <w:rFonts w:cs="Arial"/>
                <w:color w:val="000000"/>
                <w:szCs w:val="24"/>
                <w:lang w:eastAsia="en-GB"/>
              </w:rPr>
              <w:t>,</w:t>
            </w:r>
            <w:r w:rsidRPr="009D56CF">
              <w:rPr>
                <w:rFonts w:cs="Arial"/>
                <w:color w:val="000000"/>
                <w:szCs w:val="24"/>
                <w:lang w:eastAsia="en-GB"/>
              </w:rPr>
              <w:t>867</w:t>
            </w:r>
          </w:p>
        </w:tc>
        <w:tc>
          <w:tcPr>
            <w:tcW w:w="487" w:type="pct"/>
            <w:tcBorders>
              <w:top w:val="nil"/>
              <w:left w:val="nil"/>
              <w:bottom w:val="single" w:sz="8" w:space="0" w:color="auto"/>
              <w:right w:val="single" w:sz="8" w:space="0" w:color="auto"/>
            </w:tcBorders>
            <w:vAlign w:val="bottom"/>
          </w:tcPr>
          <w:p w14:paraId="55121D73" w14:textId="55DDA90D" w:rsidR="007D00DA" w:rsidRPr="009D56CF" w:rsidRDefault="007D00DA" w:rsidP="00D9246A">
            <w:pPr>
              <w:spacing w:line="240" w:lineRule="auto"/>
              <w:jc w:val="right"/>
              <w:rPr>
                <w:rFonts w:cs="Arial"/>
                <w:szCs w:val="24"/>
              </w:rPr>
            </w:pPr>
            <w:r w:rsidRPr="009D56CF">
              <w:rPr>
                <w:rFonts w:cs="Arial"/>
                <w:color w:val="000000"/>
                <w:szCs w:val="24"/>
                <w:lang w:eastAsia="en-GB"/>
              </w:rPr>
              <w:t>19.0%</w:t>
            </w:r>
          </w:p>
        </w:tc>
        <w:tc>
          <w:tcPr>
            <w:tcW w:w="517" w:type="pct"/>
          </w:tcPr>
          <w:p w14:paraId="5ED28194" w14:textId="77777777" w:rsidR="00D82B04" w:rsidRDefault="00D82B04" w:rsidP="00D9246A">
            <w:pPr>
              <w:spacing w:line="240" w:lineRule="auto"/>
              <w:jc w:val="right"/>
              <w:rPr>
                <w:rFonts w:cs="Arial"/>
                <w:szCs w:val="24"/>
              </w:rPr>
            </w:pPr>
          </w:p>
          <w:p w14:paraId="63B2C250" w14:textId="115AAE04" w:rsidR="007D00DA" w:rsidRPr="009D56CF" w:rsidRDefault="00DD098C" w:rsidP="00D9246A">
            <w:pPr>
              <w:spacing w:line="240" w:lineRule="auto"/>
              <w:jc w:val="right"/>
              <w:rPr>
                <w:rFonts w:cs="Arial"/>
                <w:szCs w:val="24"/>
              </w:rPr>
            </w:pPr>
            <w:r>
              <w:rPr>
                <w:rFonts w:cs="Arial"/>
                <w:szCs w:val="24"/>
              </w:rPr>
              <w:t>6,386</w:t>
            </w:r>
          </w:p>
        </w:tc>
        <w:tc>
          <w:tcPr>
            <w:tcW w:w="395" w:type="pct"/>
            <w:vAlign w:val="bottom"/>
          </w:tcPr>
          <w:p w14:paraId="63FC5EA2" w14:textId="51CA9494" w:rsidR="007D00DA" w:rsidRPr="009D56CF" w:rsidRDefault="007D00DA" w:rsidP="00D9246A">
            <w:pPr>
              <w:spacing w:line="240" w:lineRule="auto"/>
              <w:jc w:val="right"/>
              <w:rPr>
                <w:rFonts w:cs="Arial"/>
                <w:szCs w:val="24"/>
              </w:rPr>
            </w:pPr>
            <w:r w:rsidRPr="009D56CF">
              <w:rPr>
                <w:rFonts w:cs="Arial"/>
                <w:szCs w:val="24"/>
              </w:rPr>
              <w:t>25%</w:t>
            </w:r>
          </w:p>
        </w:tc>
      </w:tr>
    </w:tbl>
    <w:p w14:paraId="73C6AE3B" w14:textId="32E89D5C" w:rsidR="00B646D9" w:rsidRPr="00754C0A" w:rsidRDefault="00F96DEF" w:rsidP="00B646D9">
      <w:pPr>
        <w:spacing w:line="240" w:lineRule="auto"/>
        <w:rPr>
          <w:rFonts w:cs="Arial"/>
          <w:color w:val="000000" w:themeColor="text1"/>
          <w:szCs w:val="24"/>
        </w:rPr>
      </w:pPr>
      <w:r w:rsidRPr="00754C0A">
        <w:rPr>
          <w:rFonts w:cs="Arial"/>
          <w:color w:val="000000" w:themeColor="text1"/>
          <w:szCs w:val="24"/>
        </w:rPr>
        <w:t xml:space="preserve">Source: Brighton </w:t>
      </w:r>
      <w:r w:rsidR="00FF71E8" w:rsidRPr="00612B12">
        <w:rPr>
          <w:rFonts w:cs="Arial"/>
          <w:iCs/>
          <w:color w:val="000000" w:themeColor="text1"/>
          <w:szCs w:val="24"/>
        </w:rPr>
        <w:t>and</w:t>
      </w:r>
      <w:r w:rsidRPr="00754C0A">
        <w:rPr>
          <w:rFonts w:cs="Arial"/>
          <w:color w:val="000000" w:themeColor="text1"/>
          <w:szCs w:val="24"/>
        </w:rPr>
        <w:t xml:space="preserve"> Hove </w:t>
      </w:r>
      <w:r w:rsidR="00F048C8">
        <w:rPr>
          <w:rFonts w:cs="Arial"/>
          <w:color w:val="000000" w:themeColor="text1"/>
          <w:szCs w:val="24"/>
        </w:rPr>
        <w:t>S</w:t>
      </w:r>
      <w:r w:rsidR="00754C0A">
        <w:rPr>
          <w:rFonts w:cs="Arial"/>
          <w:color w:val="000000" w:themeColor="text1"/>
          <w:szCs w:val="24"/>
        </w:rPr>
        <w:t>chools</w:t>
      </w:r>
      <w:r w:rsidR="00FF71E8">
        <w:rPr>
          <w:rFonts w:cs="Arial"/>
          <w:iCs/>
          <w:color w:val="000000" w:themeColor="text1"/>
          <w:szCs w:val="24"/>
        </w:rPr>
        <w:t xml:space="preserve"> Census</w:t>
      </w:r>
      <w:r w:rsidR="00FF71E8" w:rsidRPr="00612B12">
        <w:rPr>
          <w:rFonts w:cs="Arial"/>
          <w:iCs/>
          <w:color w:val="000000" w:themeColor="text1"/>
          <w:szCs w:val="24"/>
        </w:rPr>
        <w:t>,</w:t>
      </w:r>
      <w:r w:rsidRPr="00754C0A">
        <w:rPr>
          <w:rFonts w:cs="Arial"/>
          <w:color w:val="000000" w:themeColor="text1"/>
          <w:szCs w:val="24"/>
        </w:rPr>
        <w:t xml:space="preserve"> January 2025</w:t>
      </w:r>
    </w:p>
    <w:p w14:paraId="5747CF16" w14:textId="77777777" w:rsidR="00EA5B7F" w:rsidRDefault="00EA5B7F" w:rsidP="005E3F9C">
      <w:pPr>
        <w:spacing w:line="240" w:lineRule="auto"/>
        <w:rPr>
          <w:rFonts w:cs="Arial"/>
          <w:b/>
          <w:bCs/>
          <w:noProof/>
          <w:color w:val="086876"/>
          <w:szCs w:val="24"/>
        </w:rPr>
      </w:pPr>
    </w:p>
    <w:p w14:paraId="7EFBBC8B" w14:textId="5709D610" w:rsidR="00B15037" w:rsidRDefault="00B15037" w:rsidP="005E3F9C">
      <w:pPr>
        <w:spacing w:line="240" w:lineRule="auto"/>
        <w:rPr>
          <w:rFonts w:cs="Arial"/>
          <w:b/>
          <w:bCs/>
          <w:noProof/>
          <w:color w:val="086876"/>
          <w:szCs w:val="24"/>
        </w:rPr>
        <w:sectPr w:rsidR="00B15037" w:rsidSect="00EA5B7F">
          <w:footnotePr>
            <w:numFmt w:val="lowerLetter"/>
          </w:footnotePr>
          <w:endnotePr>
            <w:numFmt w:val="decimal"/>
          </w:endnotePr>
          <w:pgSz w:w="16838" w:h="11906" w:orient="landscape"/>
          <w:pgMar w:top="1418" w:right="1134" w:bottom="1134" w:left="1134" w:header="709" w:footer="709" w:gutter="0"/>
          <w:cols w:space="708"/>
          <w:docGrid w:linePitch="360"/>
        </w:sectPr>
      </w:pPr>
    </w:p>
    <w:p w14:paraId="78015E96" w14:textId="39CFD35B" w:rsidR="00FB6593" w:rsidRDefault="00FB6593" w:rsidP="00D9246A">
      <w:pPr>
        <w:spacing w:line="240" w:lineRule="auto"/>
        <w:rPr>
          <w:rFonts w:cs="Arial"/>
          <w:b/>
          <w:bCs/>
          <w:noProof/>
          <w:color w:val="086876"/>
          <w:szCs w:val="24"/>
        </w:rPr>
      </w:pPr>
    </w:p>
    <w:p w14:paraId="40810EFA" w14:textId="70E1B15B" w:rsidR="00F17775" w:rsidRPr="00FA2F8F" w:rsidRDefault="00F17775" w:rsidP="00D9246A">
      <w:pPr>
        <w:spacing w:line="240" w:lineRule="auto"/>
        <w:rPr>
          <w:b/>
          <w:color w:val="A65588"/>
        </w:rPr>
      </w:pPr>
      <w:r w:rsidRPr="00FA2F8F">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14</w:t>
      </w:r>
      <w:r w:rsidR="00CA2D43">
        <w:rPr>
          <w:b/>
          <w:color w:val="A65588"/>
        </w:rPr>
        <w:fldChar w:fldCharType="end"/>
      </w:r>
      <w:r w:rsidRPr="00FA2F8F">
        <w:rPr>
          <w:b/>
          <w:color w:val="A65588"/>
        </w:rPr>
        <w:t xml:space="preserve">: </w:t>
      </w:r>
      <w:r w:rsidRPr="00FA2F8F">
        <w:rPr>
          <w:b/>
          <w:bCs/>
          <w:color w:val="A65588"/>
        </w:rPr>
        <w:t xml:space="preserve">Percentage of pupils with </w:t>
      </w:r>
      <w:r w:rsidRPr="00FA2F8F">
        <w:rPr>
          <w:b/>
          <w:color w:val="A65588"/>
        </w:rPr>
        <w:t xml:space="preserve">special educational needs </w:t>
      </w:r>
      <w:r w:rsidR="00FA2F8F">
        <w:rPr>
          <w:b/>
          <w:bCs/>
          <w:color w:val="A65588"/>
        </w:rPr>
        <w:t>(</w:t>
      </w:r>
      <w:r w:rsidRPr="00FA2F8F">
        <w:rPr>
          <w:b/>
          <w:bCs/>
          <w:color w:val="A65588"/>
        </w:rPr>
        <w:t>SEN</w:t>
      </w:r>
      <w:r w:rsidR="00FA2F8F">
        <w:rPr>
          <w:b/>
          <w:bCs/>
          <w:color w:val="A65588"/>
        </w:rPr>
        <w:t xml:space="preserve">), </w:t>
      </w:r>
      <w:r>
        <w:rPr>
          <w:b/>
          <w:color w:val="A65588"/>
        </w:rPr>
        <w:t xml:space="preserve">by </w:t>
      </w:r>
      <w:r w:rsidR="00FA2F8F">
        <w:rPr>
          <w:b/>
          <w:bCs/>
          <w:color w:val="A65588"/>
        </w:rPr>
        <w:t>pupil</w:t>
      </w:r>
      <w:r w:rsidRPr="00FA2F8F">
        <w:rPr>
          <w:b/>
          <w:color w:val="A65588"/>
        </w:rPr>
        <w:t xml:space="preserve"> characteristics</w:t>
      </w:r>
      <w:r>
        <w:rPr>
          <w:b/>
          <w:color w:val="A65588"/>
        </w:rPr>
        <w:t>,</w:t>
      </w:r>
      <w:r w:rsidRPr="00FA2F8F">
        <w:rPr>
          <w:b/>
          <w:color w:val="A65588"/>
        </w:rPr>
        <w:t xml:space="preserve"> Brighton &amp; Hove </w:t>
      </w:r>
      <w:r w:rsidR="00C07FBC" w:rsidRPr="00FA2F8F">
        <w:rPr>
          <w:b/>
          <w:color w:val="A65588"/>
        </w:rPr>
        <w:t>s</w:t>
      </w:r>
      <w:r w:rsidRPr="00FA2F8F">
        <w:rPr>
          <w:b/>
          <w:color w:val="A65588"/>
        </w:rPr>
        <w:t>chools, January 2025</w:t>
      </w:r>
    </w:p>
    <w:p w14:paraId="0998B47B" w14:textId="193D9DC6" w:rsidR="00040673" w:rsidRPr="00F17775" w:rsidRDefault="00040673" w:rsidP="00D9246A">
      <w:pPr>
        <w:spacing w:line="240" w:lineRule="auto"/>
        <w:rPr>
          <w:lang w:eastAsia="en-GB"/>
        </w:rPr>
      </w:pPr>
      <w:r w:rsidRPr="00040673">
        <w:rPr>
          <w:noProof/>
          <w:lang w:eastAsia="en-GB"/>
        </w:rPr>
        <w:drawing>
          <wp:inline distT="0" distB="0" distL="0" distR="0" wp14:anchorId="6BDA6794" wp14:editId="6A10C9F4">
            <wp:extent cx="5939790" cy="2768600"/>
            <wp:effectExtent l="0" t="0" r="3810" b="0"/>
            <wp:docPr id="158722705" name="Picture 1" descr="Column chart showing the percentage of pupils with SEN by different characteristics in Brighton &amp; Hove Schools, January 2025.&#10;&#10;28% of male pupils have SEN compared to 19% of females. 38% of the pupils eligible for free school meals (FSM) have SEN, compared to 19% of pupils who are not eligible for free school meals. There are more pupils with SEN in the most deprived quintile (34%) compared to the least deprived quintile (18%). White British pupils or pupils with ethnicity not stated have a higher percentage of SEN (26%) compared to Black or Racially Minoritised pupils (19%). 18% of the pupils who have English as an additional language have SEN, compared to 25% of pupils who do not have English as an additional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22705" name="Picture 1" descr="Column chart showing the percentage of pupils with SEN by different characteristics in Brighton &amp; Hove Schools, January 2025.&#10;&#10;28% of male pupils have SEN compared to 19% of females. 38% of the pupils eligible for free school meals (FSM) have SEN, compared to 19% of pupils who are not eligible for free school meals. There are more pupils with SEN in the most deprived quintile (34%) compared to the least deprived quintile (18%). White British pupils or pupils with ethnicity not stated have a higher percentage of SEN (26%) compared to Black or Racially Minoritised pupils (19%). 18% of the pupils who have English as an additional language have SEN, compared to 25% of pupils who do not have English as an additional language."/>
                    <pic:cNvPicPr/>
                  </pic:nvPicPr>
                  <pic:blipFill>
                    <a:blip r:embed="rId65"/>
                    <a:stretch>
                      <a:fillRect/>
                    </a:stretch>
                  </pic:blipFill>
                  <pic:spPr>
                    <a:xfrm>
                      <a:off x="0" y="0"/>
                      <a:ext cx="5939790" cy="2768600"/>
                    </a:xfrm>
                    <a:prstGeom prst="rect">
                      <a:avLst/>
                    </a:prstGeom>
                  </pic:spPr>
                </pic:pic>
              </a:graphicData>
            </a:graphic>
          </wp:inline>
        </w:drawing>
      </w:r>
    </w:p>
    <w:p w14:paraId="6A6D7660" w14:textId="3C23FECF" w:rsidR="00A6498D" w:rsidRPr="00C07FBC" w:rsidRDefault="00754C0A" w:rsidP="00D9246A">
      <w:pPr>
        <w:keepNext/>
        <w:spacing w:line="240" w:lineRule="auto"/>
        <w:rPr>
          <w:b/>
          <w:bCs/>
        </w:rPr>
      </w:pPr>
      <w:r w:rsidRPr="00FA2F8F">
        <w:rPr>
          <w:b/>
        </w:rPr>
        <w:t>Source:</w:t>
      </w:r>
      <w:r>
        <w:t xml:space="preserve"> </w:t>
      </w:r>
      <w:r w:rsidR="00A6498D" w:rsidRPr="00612B12">
        <w:rPr>
          <w:rFonts w:cs="Arial"/>
          <w:color w:val="000000" w:themeColor="text1"/>
          <w:szCs w:val="24"/>
        </w:rPr>
        <w:t xml:space="preserve">Brighton </w:t>
      </w:r>
      <w:r w:rsidR="00FF71E8" w:rsidRPr="00612B12">
        <w:rPr>
          <w:rFonts w:cs="Arial"/>
          <w:iCs/>
          <w:color w:val="000000" w:themeColor="text1"/>
          <w:szCs w:val="24"/>
        </w:rPr>
        <w:t>and</w:t>
      </w:r>
      <w:r w:rsidR="00A6498D" w:rsidRPr="00612B12">
        <w:rPr>
          <w:rFonts w:cs="Arial"/>
          <w:color w:val="000000" w:themeColor="text1"/>
          <w:szCs w:val="24"/>
        </w:rPr>
        <w:t xml:space="preserve"> Hove </w:t>
      </w:r>
      <w:r w:rsidR="00F048C8" w:rsidRPr="00612B12">
        <w:rPr>
          <w:rFonts w:cs="Arial"/>
          <w:color w:val="000000" w:themeColor="text1"/>
          <w:szCs w:val="24"/>
        </w:rPr>
        <w:t>S</w:t>
      </w:r>
      <w:r w:rsidR="00A6498D" w:rsidRPr="00612B12">
        <w:rPr>
          <w:rFonts w:cs="Arial"/>
          <w:color w:val="000000" w:themeColor="text1"/>
          <w:szCs w:val="24"/>
        </w:rPr>
        <w:t>chool</w:t>
      </w:r>
      <w:r w:rsidR="00C07FBC" w:rsidRPr="00612B12">
        <w:rPr>
          <w:rFonts w:cs="Arial"/>
          <w:color w:val="000000" w:themeColor="text1"/>
          <w:szCs w:val="24"/>
        </w:rPr>
        <w:t>s</w:t>
      </w:r>
      <w:r w:rsidR="00FF71E8">
        <w:rPr>
          <w:rFonts w:cs="Arial"/>
          <w:iCs/>
          <w:color w:val="000000" w:themeColor="text1"/>
          <w:szCs w:val="24"/>
        </w:rPr>
        <w:t xml:space="preserve"> Census</w:t>
      </w:r>
      <w:r w:rsidR="00FF71E8" w:rsidRPr="00612B12">
        <w:rPr>
          <w:rFonts w:cs="Arial"/>
          <w:iCs/>
          <w:color w:val="000000" w:themeColor="text1"/>
          <w:szCs w:val="24"/>
        </w:rPr>
        <w:t>,</w:t>
      </w:r>
      <w:r w:rsidR="00A6498D" w:rsidRPr="00612B12">
        <w:rPr>
          <w:rFonts w:cs="Arial"/>
          <w:color w:val="000000" w:themeColor="text1"/>
          <w:szCs w:val="24"/>
        </w:rPr>
        <w:t xml:space="preserve"> January 2025</w:t>
      </w:r>
    </w:p>
    <w:p w14:paraId="40EA5E81" w14:textId="66ED0709" w:rsidR="006F68B8" w:rsidRPr="00FA2F8F" w:rsidRDefault="006F68B8" w:rsidP="00D9246A">
      <w:pPr>
        <w:spacing w:line="240" w:lineRule="auto"/>
        <w:rPr>
          <w:b/>
          <w:color w:val="A65588"/>
        </w:rPr>
      </w:pPr>
      <w:r w:rsidRPr="00FA2F8F">
        <w:rPr>
          <w:b/>
          <w:color w:val="A65588"/>
        </w:rPr>
        <w:t xml:space="preserve">Table </w:t>
      </w:r>
      <w:r w:rsidR="001F7135" w:rsidRPr="00FA2F8F">
        <w:rPr>
          <w:b/>
          <w:color w:val="A65588"/>
        </w:rPr>
        <w:fldChar w:fldCharType="begin"/>
      </w:r>
      <w:r w:rsidR="001F7135" w:rsidRPr="00FA2F8F">
        <w:rPr>
          <w:b/>
          <w:color w:val="A65588"/>
        </w:rPr>
        <w:instrText xml:space="preserve"> SEQ Table \* ARABIC </w:instrText>
      </w:r>
      <w:r w:rsidR="001F7135" w:rsidRPr="00FA2F8F">
        <w:rPr>
          <w:b/>
          <w:color w:val="A65588"/>
        </w:rPr>
        <w:fldChar w:fldCharType="separate"/>
      </w:r>
      <w:r w:rsidR="009A41AE">
        <w:rPr>
          <w:b/>
          <w:noProof/>
          <w:color w:val="A65588"/>
        </w:rPr>
        <w:t>7</w:t>
      </w:r>
      <w:r w:rsidR="001F7135" w:rsidRPr="00FA2F8F">
        <w:rPr>
          <w:b/>
          <w:color w:val="A65588"/>
        </w:rPr>
        <w:fldChar w:fldCharType="end"/>
      </w:r>
      <w:r w:rsidRPr="00FA2F8F">
        <w:rPr>
          <w:b/>
          <w:color w:val="A65588"/>
        </w:rPr>
        <w:t xml:space="preserve">: </w:t>
      </w:r>
      <w:r w:rsidRPr="00FA2F8F">
        <w:rPr>
          <w:b/>
          <w:bCs/>
          <w:color w:val="A65588"/>
        </w:rPr>
        <w:t xml:space="preserve">Percentage of pupils </w:t>
      </w:r>
      <w:r w:rsidRPr="00FA2F8F">
        <w:rPr>
          <w:b/>
          <w:color w:val="A65588"/>
        </w:rPr>
        <w:t xml:space="preserve">with </w:t>
      </w:r>
      <w:r w:rsidR="00FA2F8F" w:rsidRPr="00FA2F8F">
        <w:rPr>
          <w:b/>
          <w:bCs/>
          <w:color w:val="A65588"/>
        </w:rPr>
        <w:t xml:space="preserve">special educational needs </w:t>
      </w:r>
      <w:r w:rsidR="00FA2F8F">
        <w:rPr>
          <w:b/>
          <w:bCs/>
          <w:color w:val="A65588"/>
        </w:rPr>
        <w:t>(</w:t>
      </w:r>
      <w:r w:rsidRPr="00FA2F8F">
        <w:rPr>
          <w:b/>
          <w:color w:val="A65588"/>
        </w:rPr>
        <w:t>SEN</w:t>
      </w:r>
      <w:r w:rsidR="00FA2F8F">
        <w:rPr>
          <w:b/>
          <w:bCs/>
          <w:color w:val="A65588"/>
        </w:rPr>
        <w:t>)</w:t>
      </w:r>
      <w:r w:rsidRPr="00FA2F8F">
        <w:rPr>
          <w:b/>
          <w:color w:val="A65588"/>
        </w:rPr>
        <w:t xml:space="preserve"> by ethnicity, Brighton &amp; Hove January 2025</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828"/>
        <w:gridCol w:w="1985"/>
        <w:gridCol w:w="1858"/>
        <w:gridCol w:w="2667"/>
      </w:tblGrid>
      <w:tr w:rsidR="00B646D9" w:rsidRPr="00595FE6" w14:paraId="71042614" w14:textId="77777777" w:rsidTr="002A7EEB">
        <w:tc>
          <w:tcPr>
            <w:tcW w:w="1514" w:type="pct"/>
            <w:shd w:val="clear" w:color="auto" w:fill="086876"/>
            <w:vAlign w:val="bottom"/>
          </w:tcPr>
          <w:p w14:paraId="519D421A" w14:textId="77777777" w:rsidR="00B646D9" w:rsidRPr="00595FE6" w:rsidRDefault="00B646D9" w:rsidP="00D9246A">
            <w:pPr>
              <w:spacing w:line="240" w:lineRule="auto"/>
              <w:rPr>
                <w:rFonts w:cs="Arial"/>
                <w:b/>
                <w:bCs/>
                <w:color w:val="FFFFFF" w:themeColor="background1"/>
                <w:szCs w:val="24"/>
              </w:rPr>
            </w:pPr>
            <w:r w:rsidRPr="00595FE6">
              <w:rPr>
                <w:rFonts w:cs="Arial"/>
                <w:color w:val="000000" w:themeColor="text1"/>
                <w:szCs w:val="24"/>
              </w:rPr>
              <w:t> </w:t>
            </w:r>
          </w:p>
        </w:tc>
        <w:tc>
          <w:tcPr>
            <w:tcW w:w="1063" w:type="pct"/>
            <w:shd w:val="clear" w:color="auto" w:fill="086876"/>
            <w:vAlign w:val="center"/>
          </w:tcPr>
          <w:p w14:paraId="18FDBAC9" w14:textId="77777777" w:rsidR="00B646D9" w:rsidRPr="00595FE6" w:rsidRDefault="00B646D9" w:rsidP="00D9246A">
            <w:pPr>
              <w:spacing w:line="240" w:lineRule="auto"/>
              <w:jc w:val="center"/>
              <w:rPr>
                <w:rFonts w:cs="Arial"/>
                <w:b/>
                <w:bCs/>
                <w:color w:val="FFFFFF" w:themeColor="background1"/>
                <w:szCs w:val="24"/>
              </w:rPr>
            </w:pPr>
            <w:r w:rsidRPr="00595FE6">
              <w:rPr>
                <w:rFonts w:cs="Arial"/>
                <w:b/>
                <w:bCs/>
                <w:color w:val="FFFFFF" w:themeColor="background1"/>
                <w:szCs w:val="24"/>
              </w:rPr>
              <w:t>Number of pupils with SEN</w:t>
            </w:r>
          </w:p>
        </w:tc>
        <w:tc>
          <w:tcPr>
            <w:tcW w:w="995" w:type="pct"/>
            <w:shd w:val="clear" w:color="auto" w:fill="086876"/>
            <w:vAlign w:val="center"/>
          </w:tcPr>
          <w:p w14:paraId="58F3749B" w14:textId="77777777" w:rsidR="00B646D9" w:rsidRPr="00595FE6" w:rsidRDefault="00B646D9" w:rsidP="00D9246A">
            <w:pPr>
              <w:spacing w:line="240" w:lineRule="auto"/>
              <w:jc w:val="center"/>
              <w:rPr>
                <w:rFonts w:cs="Arial"/>
                <w:b/>
                <w:bCs/>
                <w:color w:val="FFFFFF" w:themeColor="background1"/>
                <w:szCs w:val="24"/>
              </w:rPr>
            </w:pPr>
            <w:r w:rsidRPr="00595FE6">
              <w:rPr>
                <w:rFonts w:cs="Arial"/>
                <w:b/>
                <w:bCs/>
                <w:color w:val="FFFFFF" w:themeColor="background1"/>
                <w:szCs w:val="24"/>
              </w:rPr>
              <w:t>Total number of pupils</w:t>
            </w:r>
          </w:p>
        </w:tc>
        <w:tc>
          <w:tcPr>
            <w:tcW w:w="1428" w:type="pct"/>
            <w:shd w:val="clear" w:color="auto" w:fill="086876"/>
            <w:vAlign w:val="center"/>
          </w:tcPr>
          <w:p w14:paraId="0ECD3202" w14:textId="77777777" w:rsidR="00B646D9" w:rsidRPr="00595FE6" w:rsidRDefault="00B646D9" w:rsidP="00D9246A">
            <w:pPr>
              <w:spacing w:line="240" w:lineRule="auto"/>
              <w:jc w:val="center"/>
              <w:rPr>
                <w:rFonts w:cs="Arial"/>
                <w:b/>
                <w:bCs/>
                <w:color w:val="FFFFFF" w:themeColor="background1"/>
                <w:szCs w:val="24"/>
              </w:rPr>
            </w:pPr>
            <w:r w:rsidRPr="00595FE6">
              <w:rPr>
                <w:rFonts w:cs="Arial"/>
                <w:b/>
                <w:bCs/>
                <w:color w:val="FFFFFF" w:themeColor="background1"/>
                <w:szCs w:val="24"/>
              </w:rPr>
              <w:t>% with SEN</w:t>
            </w:r>
          </w:p>
        </w:tc>
      </w:tr>
      <w:tr w:rsidR="00B646D9" w:rsidRPr="00595FE6" w14:paraId="65E6E73C" w14:textId="77777777" w:rsidTr="002A7EEB">
        <w:tc>
          <w:tcPr>
            <w:tcW w:w="1514" w:type="pct"/>
            <w:vAlign w:val="bottom"/>
          </w:tcPr>
          <w:p w14:paraId="4735C5AD" w14:textId="77777777" w:rsidR="00B646D9" w:rsidRPr="00595FE6" w:rsidRDefault="00B646D9" w:rsidP="00D9246A">
            <w:pPr>
              <w:spacing w:line="240" w:lineRule="auto"/>
              <w:rPr>
                <w:rFonts w:cs="Arial"/>
                <w:color w:val="000000" w:themeColor="text1"/>
                <w:szCs w:val="24"/>
              </w:rPr>
            </w:pPr>
            <w:r w:rsidRPr="00595FE6">
              <w:rPr>
                <w:rFonts w:cs="Arial"/>
                <w:color w:val="000000" w:themeColor="text1"/>
                <w:szCs w:val="24"/>
              </w:rPr>
              <w:t>Asian or Asian British</w:t>
            </w:r>
          </w:p>
        </w:tc>
        <w:tc>
          <w:tcPr>
            <w:tcW w:w="1063" w:type="pct"/>
            <w:vAlign w:val="bottom"/>
          </w:tcPr>
          <w:p w14:paraId="74ED53CA" w14:textId="77777777" w:rsidR="00B646D9" w:rsidRPr="00595FE6" w:rsidRDefault="00B646D9" w:rsidP="00D9246A">
            <w:pPr>
              <w:spacing w:line="240" w:lineRule="auto"/>
              <w:jc w:val="right"/>
              <w:rPr>
                <w:rFonts w:cs="Arial"/>
                <w:color w:val="000000" w:themeColor="text1"/>
                <w:szCs w:val="24"/>
              </w:rPr>
            </w:pPr>
            <w:r w:rsidRPr="00595FE6">
              <w:rPr>
                <w:rFonts w:cs="Arial"/>
                <w:color w:val="000000" w:themeColor="text1"/>
                <w:szCs w:val="24"/>
              </w:rPr>
              <w:t>297</w:t>
            </w:r>
          </w:p>
        </w:tc>
        <w:tc>
          <w:tcPr>
            <w:tcW w:w="995" w:type="pct"/>
            <w:vAlign w:val="bottom"/>
          </w:tcPr>
          <w:p w14:paraId="4FB45355" w14:textId="77777777" w:rsidR="00B646D9" w:rsidRPr="00595FE6" w:rsidRDefault="00B646D9" w:rsidP="00D9246A">
            <w:pPr>
              <w:spacing w:line="240" w:lineRule="auto"/>
              <w:jc w:val="right"/>
              <w:rPr>
                <w:rFonts w:cs="Arial"/>
                <w:color w:val="000000" w:themeColor="text1"/>
                <w:szCs w:val="24"/>
              </w:rPr>
            </w:pPr>
            <w:r w:rsidRPr="00595FE6">
              <w:rPr>
                <w:rFonts w:cs="Arial"/>
                <w:color w:val="000000" w:themeColor="text1"/>
                <w:szCs w:val="24"/>
              </w:rPr>
              <w:t>1,751</w:t>
            </w:r>
          </w:p>
        </w:tc>
        <w:tc>
          <w:tcPr>
            <w:tcW w:w="1428" w:type="pct"/>
            <w:vAlign w:val="bottom"/>
          </w:tcPr>
          <w:p w14:paraId="53EDD3E5" w14:textId="77777777" w:rsidR="00B646D9" w:rsidRPr="00595FE6" w:rsidRDefault="00B646D9" w:rsidP="00D9246A">
            <w:pPr>
              <w:spacing w:line="240" w:lineRule="auto"/>
              <w:jc w:val="right"/>
              <w:rPr>
                <w:rFonts w:cs="Arial"/>
                <w:szCs w:val="24"/>
              </w:rPr>
            </w:pPr>
            <w:r w:rsidRPr="00595FE6">
              <w:rPr>
                <w:rFonts w:cs="Arial"/>
                <w:szCs w:val="24"/>
              </w:rPr>
              <w:t>17%</w:t>
            </w:r>
          </w:p>
        </w:tc>
      </w:tr>
      <w:tr w:rsidR="00B646D9" w:rsidRPr="00595FE6" w14:paraId="08C63CF0" w14:textId="77777777" w:rsidTr="002A7EEB">
        <w:tc>
          <w:tcPr>
            <w:tcW w:w="1514" w:type="pct"/>
            <w:vAlign w:val="bottom"/>
          </w:tcPr>
          <w:p w14:paraId="6641C9FA" w14:textId="77777777" w:rsidR="00B646D9" w:rsidRPr="00595FE6" w:rsidRDefault="00B646D9" w:rsidP="00D9246A">
            <w:pPr>
              <w:spacing w:line="240" w:lineRule="auto"/>
              <w:rPr>
                <w:rFonts w:cs="Arial"/>
                <w:color w:val="000000" w:themeColor="text1"/>
                <w:szCs w:val="24"/>
              </w:rPr>
            </w:pPr>
            <w:r w:rsidRPr="00595FE6">
              <w:rPr>
                <w:rFonts w:cs="Arial"/>
                <w:color w:val="000000" w:themeColor="text1"/>
                <w:szCs w:val="24"/>
              </w:rPr>
              <w:t>Black or Black British</w:t>
            </w:r>
          </w:p>
        </w:tc>
        <w:tc>
          <w:tcPr>
            <w:tcW w:w="1063" w:type="pct"/>
            <w:vAlign w:val="bottom"/>
          </w:tcPr>
          <w:p w14:paraId="04EE6C37" w14:textId="77777777" w:rsidR="00B646D9" w:rsidRPr="00595FE6" w:rsidRDefault="00B646D9" w:rsidP="00D9246A">
            <w:pPr>
              <w:spacing w:line="240" w:lineRule="auto"/>
              <w:jc w:val="right"/>
              <w:rPr>
                <w:rFonts w:cs="Arial"/>
                <w:color w:val="000000" w:themeColor="text1"/>
                <w:szCs w:val="24"/>
              </w:rPr>
            </w:pPr>
            <w:r w:rsidRPr="00595FE6">
              <w:rPr>
                <w:rFonts w:cs="Arial"/>
                <w:color w:val="000000" w:themeColor="text1"/>
                <w:szCs w:val="24"/>
              </w:rPr>
              <w:t>167</w:t>
            </w:r>
          </w:p>
        </w:tc>
        <w:tc>
          <w:tcPr>
            <w:tcW w:w="995" w:type="pct"/>
            <w:vAlign w:val="bottom"/>
          </w:tcPr>
          <w:p w14:paraId="49BA3F24" w14:textId="77777777" w:rsidR="00B646D9" w:rsidRPr="00595FE6" w:rsidRDefault="00B646D9" w:rsidP="00D9246A">
            <w:pPr>
              <w:spacing w:line="240" w:lineRule="auto"/>
              <w:jc w:val="right"/>
              <w:rPr>
                <w:rFonts w:cs="Arial"/>
                <w:color w:val="000000" w:themeColor="text1"/>
                <w:szCs w:val="24"/>
              </w:rPr>
            </w:pPr>
            <w:r w:rsidRPr="00595FE6">
              <w:rPr>
                <w:rFonts w:cs="Arial"/>
                <w:color w:val="000000" w:themeColor="text1"/>
                <w:szCs w:val="24"/>
              </w:rPr>
              <w:t>914</w:t>
            </w:r>
          </w:p>
        </w:tc>
        <w:tc>
          <w:tcPr>
            <w:tcW w:w="1428" w:type="pct"/>
            <w:vAlign w:val="bottom"/>
          </w:tcPr>
          <w:p w14:paraId="091514A9" w14:textId="77777777" w:rsidR="00B646D9" w:rsidRPr="00595FE6" w:rsidRDefault="00B646D9" w:rsidP="00D9246A">
            <w:pPr>
              <w:spacing w:line="240" w:lineRule="auto"/>
              <w:jc w:val="right"/>
              <w:rPr>
                <w:rFonts w:cs="Arial"/>
                <w:szCs w:val="24"/>
              </w:rPr>
            </w:pPr>
            <w:r w:rsidRPr="00595FE6">
              <w:rPr>
                <w:rFonts w:cs="Arial"/>
                <w:szCs w:val="24"/>
              </w:rPr>
              <w:t>18%</w:t>
            </w:r>
          </w:p>
        </w:tc>
      </w:tr>
      <w:tr w:rsidR="00B646D9" w:rsidRPr="00595FE6" w14:paraId="04306CDC" w14:textId="77777777" w:rsidTr="002A7EEB">
        <w:tc>
          <w:tcPr>
            <w:tcW w:w="1514" w:type="pct"/>
            <w:tcBorders>
              <w:top w:val="single" w:sz="6" w:space="0" w:color="auto"/>
              <w:left w:val="single" w:sz="6" w:space="0" w:color="auto"/>
              <w:bottom w:val="single" w:sz="6" w:space="0" w:color="auto"/>
              <w:right w:val="single" w:sz="6" w:space="0" w:color="auto"/>
            </w:tcBorders>
            <w:vAlign w:val="bottom"/>
          </w:tcPr>
          <w:p w14:paraId="381C76BD" w14:textId="77777777" w:rsidR="00B646D9" w:rsidRPr="00595FE6" w:rsidRDefault="00B646D9" w:rsidP="00D9246A">
            <w:pPr>
              <w:spacing w:line="240" w:lineRule="auto"/>
              <w:rPr>
                <w:rFonts w:cs="Arial"/>
                <w:color w:val="000000" w:themeColor="text1"/>
                <w:szCs w:val="24"/>
              </w:rPr>
            </w:pPr>
            <w:r w:rsidRPr="00595FE6">
              <w:rPr>
                <w:rFonts w:cs="Arial"/>
                <w:color w:val="000000" w:themeColor="text1"/>
                <w:szCs w:val="24"/>
              </w:rPr>
              <w:t>Mixed/multiple ethnicity</w:t>
            </w:r>
          </w:p>
        </w:tc>
        <w:tc>
          <w:tcPr>
            <w:tcW w:w="1063" w:type="pct"/>
            <w:tcBorders>
              <w:top w:val="single" w:sz="6" w:space="0" w:color="auto"/>
              <w:left w:val="single" w:sz="6" w:space="0" w:color="auto"/>
              <w:bottom w:val="single" w:sz="6" w:space="0" w:color="auto"/>
              <w:right w:val="single" w:sz="6" w:space="0" w:color="auto"/>
            </w:tcBorders>
            <w:vAlign w:val="bottom"/>
          </w:tcPr>
          <w:p w14:paraId="3704094D" w14:textId="77777777" w:rsidR="00B646D9" w:rsidRPr="00595FE6" w:rsidRDefault="00B646D9" w:rsidP="00D9246A">
            <w:pPr>
              <w:spacing w:line="240" w:lineRule="auto"/>
              <w:jc w:val="right"/>
              <w:rPr>
                <w:rFonts w:cs="Arial"/>
                <w:color w:val="000000" w:themeColor="text1"/>
                <w:szCs w:val="24"/>
              </w:rPr>
            </w:pPr>
            <w:r w:rsidRPr="00595FE6">
              <w:rPr>
                <w:rFonts w:cs="Arial"/>
                <w:color w:val="000000" w:themeColor="text1"/>
                <w:szCs w:val="24"/>
              </w:rPr>
              <w:t>758</w:t>
            </w:r>
          </w:p>
        </w:tc>
        <w:tc>
          <w:tcPr>
            <w:tcW w:w="995" w:type="pct"/>
            <w:tcBorders>
              <w:top w:val="single" w:sz="6" w:space="0" w:color="auto"/>
              <w:left w:val="single" w:sz="6" w:space="0" w:color="auto"/>
              <w:bottom w:val="single" w:sz="6" w:space="0" w:color="auto"/>
              <w:right w:val="single" w:sz="6" w:space="0" w:color="auto"/>
            </w:tcBorders>
            <w:vAlign w:val="bottom"/>
          </w:tcPr>
          <w:p w14:paraId="30E5A43E" w14:textId="77777777" w:rsidR="00B646D9" w:rsidRPr="00595FE6" w:rsidRDefault="00B646D9" w:rsidP="00D9246A">
            <w:pPr>
              <w:spacing w:line="240" w:lineRule="auto"/>
              <w:jc w:val="right"/>
              <w:rPr>
                <w:rFonts w:cs="Arial"/>
                <w:color w:val="000000" w:themeColor="text1"/>
                <w:szCs w:val="24"/>
              </w:rPr>
            </w:pPr>
            <w:r w:rsidRPr="00595FE6">
              <w:rPr>
                <w:rFonts w:cs="Arial"/>
                <w:color w:val="000000" w:themeColor="text1"/>
                <w:szCs w:val="24"/>
              </w:rPr>
              <w:t>3,307</w:t>
            </w:r>
          </w:p>
        </w:tc>
        <w:tc>
          <w:tcPr>
            <w:tcW w:w="1428" w:type="pct"/>
            <w:tcBorders>
              <w:top w:val="single" w:sz="6" w:space="0" w:color="auto"/>
              <w:left w:val="single" w:sz="6" w:space="0" w:color="auto"/>
              <w:bottom w:val="single" w:sz="6" w:space="0" w:color="auto"/>
              <w:right w:val="single" w:sz="6" w:space="0" w:color="auto"/>
            </w:tcBorders>
            <w:vAlign w:val="bottom"/>
          </w:tcPr>
          <w:p w14:paraId="74DAAD1F" w14:textId="77777777" w:rsidR="00B646D9" w:rsidRPr="00595FE6" w:rsidRDefault="00B646D9" w:rsidP="00D9246A">
            <w:pPr>
              <w:spacing w:line="240" w:lineRule="auto"/>
              <w:jc w:val="right"/>
              <w:rPr>
                <w:rFonts w:cs="Arial"/>
                <w:color w:val="000000" w:themeColor="text1"/>
                <w:szCs w:val="24"/>
              </w:rPr>
            </w:pPr>
            <w:r w:rsidRPr="00595FE6">
              <w:rPr>
                <w:rFonts w:cs="Arial"/>
                <w:szCs w:val="24"/>
              </w:rPr>
              <w:t>23%</w:t>
            </w:r>
          </w:p>
        </w:tc>
      </w:tr>
      <w:tr w:rsidR="00B646D9" w:rsidRPr="00595FE6" w14:paraId="1123022A" w14:textId="77777777" w:rsidTr="002A7EEB">
        <w:tc>
          <w:tcPr>
            <w:tcW w:w="1514" w:type="pct"/>
            <w:tcBorders>
              <w:top w:val="single" w:sz="6" w:space="0" w:color="auto"/>
              <w:left w:val="single" w:sz="6" w:space="0" w:color="auto"/>
              <w:bottom w:val="single" w:sz="6" w:space="0" w:color="auto"/>
              <w:right w:val="single" w:sz="6" w:space="0" w:color="auto"/>
            </w:tcBorders>
            <w:vAlign w:val="bottom"/>
          </w:tcPr>
          <w:p w14:paraId="50CCEB4B" w14:textId="77777777" w:rsidR="00B646D9" w:rsidRPr="00595FE6" w:rsidRDefault="00B646D9" w:rsidP="00D9246A">
            <w:pPr>
              <w:spacing w:line="240" w:lineRule="auto"/>
              <w:rPr>
                <w:rFonts w:cs="Arial"/>
                <w:color w:val="000000" w:themeColor="text1"/>
                <w:szCs w:val="24"/>
              </w:rPr>
            </w:pPr>
            <w:r w:rsidRPr="00595FE6">
              <w:rPr>
                <w:rFonts w:cs="Arial"/>
                <w:color w:val="000000" w:themeColor="text1"/>
                <w:szCs w:val="24"/>
              </w:rPr>
              <w:t>White British</w:t>
            </w:r>
          </w:p>
        </w:tc>
        <w:tc>
          <w:tcPr>
            <w:tcW w:w="1063" w:type="pct"/>
            <w:tcBorders>
              <w:top w:val="single" w:sz="6" w:space="0" w:color="auto"/>
              <w:left w:val="single" w:sz="6" w:space="0" w:color="auto"/>
              <w:bottom w:val="single" w:sz="6" w:space="0" w:color="auto"/>
              <w:right w:val="single" w:sz="6" w:space="0" w:color="auto"/>
            </w:tcBorders>
            <w:vAlign w:val="bottom"/>
          </w:tcPr>
          <w:p w14:paraId="606B7F00" w14:textId="77777777" w:rsidR="00B646D9" w:rsidRPr="00595FE6" w:rsidRDefault="00B646D9" w:rsidP="00D9246A">
            <w:pPr>
              <w:spacing w:line="240" w:lineRule="auto"/>
              <w:jc w:val="right"/>
              <w:rPr>
                <w:rFonts w:cs="Arial"/>
                <w:color w:val="000000" w:themeColor="text1"/>
                <w:szCs w:val="24"/>
              </w:rPr>
            </w:pPr>
            <w:r w:rsidRPr="00595FE6">
              <w:rPr>
                <w:rFonts w:cs="Arial"/>
                <w:color w:val="000000" w:themeColor="text1"/>
                <w:szCs w:val="24"/>
              </w:rPr>
              <w:t>5289</w:t>
            </w:r>
          </w:p>
        </w:tc>
        <w:tc>
          <w:tcPr>
            <w:tcW w:w="995" w:type="pct"/>
            <w:tcBorders>
              <w:top w:val="single" w:sz="6" w:space="0" w:color="auto"/>
              <w:left w:val="single" w:sz="6" w:space="0" w:color="auto"/>
              <w:bottom w:val="single" w:sz="6" w:space="0" w:color="auto"/>
              <w:right w:val="single" w:sz="6" w:space="0" w:color="auto"/>
            </w:tcBorders>
            <w:vAlign w:val="bottom"/>
          </w:tcPr>
          <w:p w14:paraId="16F40C47" w14:textId="77777777" w:rsidR="00B646D9" w:rsidRPr="00595FE6" w:rsidRDefault="00B646D9" w:rsidP="00D9246A">
            <w:pPr>
              <w:spacing w:line="240" w:lineRule="auto"/>
              <w:jc w:val="right"/>
              <w:rPr>
                <w:rFonts w:cs="Arial"/>
                <w:color w:val="000000" w:themeColor="text1"/>
                <w:szCs w:val="24"/>
              </w:rPr>
            </w:pPr>
            <w:r w:rsidRPr="00595FE6">
              <w:rPr>
                <w:rFonts w:cs="Arial"/>
                <w:color w:val="000000" w:themeColor="text1"/>
                <w:szCs w:val="24"/>
              </w:rPr>
              <w:t>20,443</w:t>
            </w:r>
          </w:p>
        </w:tc>
        <w:tc>
          <w:tcPr>
            <w:tcW w:w="1428" w:type="pct"/>
            <w:tcBorders>
              <w:top w:val="single" w:sz="6" w:space="0" w:color="auto"/>
              <w:left w:val="single" w:sz="6" w:space="0" w:color="auto"/>
              <w:bottom w:val="single" w:sz="6" w:space="0" w:color="auto"/>
              <w:right w:val="single" w:sz="6" w:space="0" w:color="auto"/>
            </w:tcBorders>
            <w:vAlign w:val="bottom"/>
          </w:tcPr>
          <w:p w14:paraId="2B87BB23" w14:textId="77777777" w:rsidR="00B646D9" w:rsidRPr="00595FE6" w:rsidRDefault="00B646D9" w:rsidP="00D9246A">
            <w:pPr>
              <w:spacing w:line="240" w:lineRule="auto"/>
              <w:jc w:val="right"/>
              <w:rPr>
                <w:rFonts w:cs="Arial"/>
                <w:color w:val="000000" w:themeColor="text1"/>
                <w:szCs w:val="24"/>
              </w:rPr>
            </w:pPr>
            <w:r w:rsidRPr="00595FE6">
              <w:rPr>
                <w:rFonts w:cs="Arial"/>
                <w:szCs w:val="24"/>
              </w:rPr>
              <w:t>26%</w:t>
            </w:r>
          </w:p>
        </w:tc>
      </w:tr>
      <w:tr w:rsidR="00B646D9" w:rsidRPr="00595FE6" w14:paraId="48176A47" w14:textId="77777777" w:rsidTr="002A7EEB">
        <w:tc>
          <w:tcPr>
            <w:tcW w:w="1514" w:type="pct"/>
            <w:tcBorders>
              <w:top w:val="single" w:sz="6" w:space="0" w:color="auto"/>
              <w:left w:val="single" w:sz="6" w:space="0" w:color="auto"/>
              <w:bottom w:val="single" w:sz="6" w:space="0" w:color="auto"/>
              <w:right w:val="single" w:sz="6" w:space="0" w:color="auto"/>
            </w:tcBorders>
            <w:vAlign w:val="bottom"/>
          </w:tcPr>
          <w:p w14:paraId="0716AD93" w14:textId="77777777" w:rsidR="00B646D9" w:rsidRPr="00595FE6" w:rsidRDefault="00B646D9" w:rsidP="00D9246A">
            <w:pPr>
              <w:spacing w:line="240" w:lineRule="auto"/>
              <w:rPr>
                <w:rFonts w:cs="Arial"/>
                <w:color w:val="000000" w:themeColor="text1"/>
                <w:szCs w:val="24"/>
              </w:rPr>
            </w:pPr>
            <w:r w:rsidRPr="00595FE6">
              <w:rPr>
                <w:rFonts w:cs="Arial"/>
                <w:color w:val="000000" w:themeColor="text1"/>
                <w:szCs w:val="24"/>
              </w:rPr>
              <w:t>White Gypsy, Roma or Irish Traveller</w:t>
            </w:r>
          </w:p>
        </w:tc>
        <w:tc>
          <w:tcPr>
            <w:tcW w:w="1063" w:type="pct"/>
            <w:tcBorders>
              <w:top w:val="single" w:sz="6" w:space="0" w:color="auto"/>
              <w:left w:val="single" w:sz="6" w:space="0" w:color="auto"/>
              <w:bottom w:val="single" w:sz="6" w:space="0" w:color="auto"/>
              <w:right w:val="single" w:sz="6" w:space="0" w:color="auto"/>
            </w:tcBorders>
            <w:vAlign w:val="bottom"/>
          </w:tcPr>
          <w:p w14:paraId="0C0D893E" w14:textId="77777777" w:rsidR="00B646D9" w:rsidRPr="00595FE6" w:rsidRDefault="00B646D9" w:rsidP="00D9246A">
            <w:pPr>
              <w:spacing w:line="240" w:lineRule="auto"/>
              <w:jc w:val="right"/>
              <w:rPr>
                <w:rFonts w:cs="Arial"/>
                <w:color w:val="000000" w:themeColor="text1"/>
                <w:szCs w:val="24"/>
              </w:rPr>
            </w:pPr>
            <w:r w:rsidRPr="00595FE6">
              <w:rPr>
                <w:rFonts w:cs="Arial"/>
                <w:color w:val="000000" w:themeColor="text1"/>
                <w:szCs w:val="24"/>
              </w:rPr>
              <w:t>22</w:t>
            </w:r>
          </w:p>
        </w:tc>
        <w:tc>
          <w:tcPr>
            <w:tcW w:w="995" w:type="pct"/>
            <w:tcBorders>
              <w:top w:val="single" w:sz="6" w:space="0" w:color="auto"/>
              <w:left w:val="single" w:sz="6" w:space="0" w:color="auto"/>
              <w:bottom w:val="single" w:sz="6" w:space="0" w:color="auto"/>
              <w:right w:val="single" w:sz="6" w:space="0" w:color="auto"/>
            </w:tcBorders>
            <w:vAlign w:val="bottom"/>
          </w:tcPr>
          <w:p w14:paraId="7E56C2C5" w14:textId="77777777" w:rsidR="00B646D9" w:rsidRPr="00595FE6" w:rsidRDefault="00B646D9" w:rsidP="00D9246A">
            <w:pPr>
              <w:spacing w:line="240" w:lineRule="auto"/>
              <w:jc w:val="right"/>
              <w:rPr>
                <w:rFonts w:cs="Arial"/>
                <w:color w:val="000000" w:themeColor="text1"/>
                <w:szCs w:val="24"/>
              </w:rPr>
            </w:pPr>
            <w:r w:rsidRPr="00595FE6">
              <w:rPr>
                <w:rFonts w:cs="Arial"/>
                <w:color w:val="000000" w:themeColor="text1"/>
                <w:szCs w:val="24"/>
              </w:rPr>
              <w:t>48</w:t>
            </w:r>
          </w:p>
        </w:tc>
        <w:tc>
          <w:tcPr>
            <w:tcW w:w="1428" w:type="pct"/>
            <w:tcBorders>
              <w:top w:val="single" w:sz="6" w:space="0" w:color="auto"/>
              <w:left w:val="single" w:sz="6" w:space="0" w:color="auto"/>
              <w:bottom w:val="single" w:sz="6" w:space="0" w:color="auto"/>
              <w:right w:val="single" w:sz="6" w:space="0" w:color="auto"/>
            </w:tcBorders>
            <w:vAlign w:val="bottom"/>
          </w:tcPr>
          <w:p w14:paraId="617B090F" w14:textId="77777777" w:rsidR="00B646D9" w:rsidRPr="00595FE6" w:rsidRDefault="00B646D9" w:rsidP="00D9246A">
            <w:pPr>
              <w:spacing w:line="240" w:lineRule="auto"/>
              <w:jc w:val="right"/>
              <w:rPr>
                <w:rFonts w:cs="Arial"/>
                <w:color w:val="000000" w:themeColor="text1"/>
                <w:szCs w:val="24"/>
              </w:rPr>
            </w:pPr>
            <w:r w:rsidRPr="00595FE6">
              <w:rPr>
                <w:rFonts w:cs="Arial"/>
                <w:szCs w:val="24"/>
              </w:rPr>
              <w:t>46%</w:t>
            </w:r>
          </w:p>
        </w:tc>
      </w:tr>
      <w:tr w:rsidR="00B646D9" w:rsidRPr="00595FE6" w14:paraId="6472688B" w14:textId="77777777" w:rsidTr="002A7EEB">
        <w:tc>
          <w:tcPr>
            <w:tcW w:w="1514" w:type="pct"/>
            <w:tcBorders>
              <w:top w:val="single" w:sz="6" w:space="0" w:color="auto"/>
              <w:left w:val="single" w:sz="6" w:space="0" w:color="auto"/>
              <w:bottom w:val="single" w:sz="6" w:space="0" w:color="auto"/>
              <w:right w:val="single" w:sz="6" w:space="0" w:color="auto"/>
            </w:tcBorders>
            <w:vAlign w:val="bottom"/>
          </w:tcPr>
          <w:p w14:paraId="4554F9DD" w14:textId="77777777" w:rsidR="00B646D9" w:rsidRPr="00595FE6" w:rsidRDefault="00B646D9" w:rsidP="00D9246A">
            <w:pPr>
              <w:spacing w:line="240" w:lineRule="auto"/>
              <w:rPr>
                <w:rFonts w:cs="Arial"/>
                <w:color w:val="000000" w:themeColor="text1"/>
                <w:szCs w:val="24"/>
              </w:rPr>
            </w:pPr>
            <w:r w:rsidRPr="00595FE6">
              <w:rPr>
                <w:rFonts w:cs="Arial"/>
                <w:color w:val="000000" w:themeColor="text1"/>
                <w:szCs w:val="24"/>
              </w:rPr>
              <w:t>White Irish or White other</w:t>
            </w:r>
          </w:p>
        </w:tc>
        <w:tc>
          <w:tcPr>
            <w:tcW w:w="1063" w:type="pct"/>
            <w:tcBorders>
              <w:top w:val="single" w:sz="6" w:space="0" w:color="auto"/>
              <w:left w:val="single" w:sz="6" w:space="0" w:color="auto"/>
              <w:bottom w:val="single" w:sz="6" w:space="0" w:color="auto"/>
              <w:right w:val="single" w:sz="6" w:space="0" w:color="auto"/>
            </w:tcBorders>
            <w:vAlign w:val="bottom"/>
          </w:tcPr>
          <w:p w14:paraId="6802657B" w14:textId="77777777" w:rsidR="00B646D9" w:rsidRPr="00595FE6" w:rsidRDefault="00B646D9" w:rsidP="00D9246A">
            <w:pPr>
              <w:spacing w:line="240" w:lineRule="auto"/>
              <w:jc w:val="right"/>
              <w:rPr>
                <w:rFonts w:cs="Arial"/>
                <w:color w:val="000000" w:themeColor="text1"/>
                <w:szCs w:val="24"/>
              </w:rPr>
            </w:pPr>
            <w:r w:rsidRPr="00595FE6">
              <w:rPr>
                <w:rFonts w:cs="Arial"/>
                <w:color w:val="000000" w:themeColor="text1"/>
                <w:szCs w:val="24"/>
              </w:rPr>
              <w:t>476</w:t>
            </w:r>
          </w:p>
        </w:tc>
        <w:tc>
          <w:tcPr>
            <w:tcW w:w="995" w:type="pct"/>
            <w:tcBorders>
              <w:top w:val="single" w:sz="6" w:space="0" w:color="auto"/>
              <w:left w:val="single" w:sz="6" w:space="0" w:color="auto"/>
              <w:bottom w:val="single" w:sz="6" w:space="0" w:color="auto"/>
              <w:right w:val="single" w:sz="6" w:space="0" w:color="auto"/>
            </w:tcBorders>
            <w:vAlign w:val="bottom"/>
          </w:tcPr>
          <w:p w14:paraId="3EFC037D" w14:textId="77777777" w:rsidR="00B646D9" w:rsidRPr="00595FE6" w:rsidRDefault="00B646D9" w:rsidP="00D9246A">
            <w:pPr>
              <w:spacing w:line="240" w:lineRule="auto"/>
              <w:jc w:val="right"/>
              <w:rPr>
                <w:rFonts w:cs="Arial"/>
                <w:color w:val="000000" w:themeColor="text1"/>
                <w:szCs w:val="24"/>
              </w:rPr>
            </w:pPr>
            <w:r w:rsidRPr="00595FE6">
              <w:rPr>
                <w:rFonts w:cs="Arial"/>
                <w:color w:val="000000" w:themeColor="text1"/>
                <w:szCs w:val="24"/>
              </w:rPr>
              <w:t>2,800</w:t>
            </w:r>
          </w:p>
        </w:tc>
        <w:tc>
          <w:tcPr>
            <w:tcW w:w="1428" w:type="pct"/>
            <w:tcBorders>
              <w:top w:val="single" w:sz="6" w:space="0" w:color="auto"/>
              <w:left w:val="single" w:sz="6" w:space="0" w:color="auto"/>
              <w:bottom w:val="single" w:sz="6" w:space="0" w:color="auto"/>
              <w:right w:val="single" w:sz="6" w:space="0" w:color="auto"/>
            </w:tcBorders>
            <w:vAlign w:val="bottom"/>
          </w:tcPr>
          <w:p w14:paraId="651EAA26" w14:textId="77777777" w:rsidR="00B646D9" w:rsidRPr="00595FE6" w:rsidRDefault="00B646D9" w:rsidP="00D9246A">
            <w:pPr>
              <w:spacing w:line="240" w:lineRule="auto"/>
              <w:jc w:val="right"/>
              <w:rPr>
                <w:rFonts w:cs="Arial"/>
                <w:color w:val="000000" w:themeColor="text1"/>
                <w:szCs w:val="24"/>
              </w:rPr>
            </w:pPr>
            <w:r w:rsidRPr="00595FE6">
              <w:rPr>
                <w:rFonts w:cs="Arial"/>
                <w:szCs w:val="24"/>
              </w:rPr>
              <w:t>17%</w:t>
            </w:r>
          </w:p>
        </w:tc>
      </w:tr>
      <w:tr w:rsidR="00B646D9" w:rsidRPr="00595FE6" w14:paraId="7EC0D651" w14:textId="77777777" w:rsidTr="002A7EEB">
        <w:tc>
          <w:tcPr>
            <w:tcW w:w="1514" w:type="pct"/>
            <w:tcBorders>
              <w:top w:val="single" w:sz="6" w:space="0" w:color="auto"/>
              <w:left w:val="single" w:sz="6" w:space="0" w:color="auto"/>
              <w:bottom w:val="single" w:sz="6" w:space="0" w:color="auto"/>
              <w:right w:val="single" w:sz="6" w:space="0" w:color="auto"/>
            </w:tcBorders>
            <w:vAlign w:val="bottom"/>
          </w:tcPr>
          <w:p w14:paraId="14217630" w14:textId="77777777" w:rsidR="00B646D9" w:rsidRPr="00595FE6" w:rsidRDefault="00B646D9" w:rsidP="00D9246A">
            <w:pPr>
              <w:spacing w:line="240" w:lineRule="auto"/>
              <w:rPr>
                <w:rFonts w:cs="Arial"/>
                <w:color w:val="000000" w:themeColor="text1"/>
                <w:szCs w:val="24"/>
              </w:rPr>
            </w:pPr>
            <w:r w:rsidRPr="00595FE6">
              <w:rPr>
                <w:rFonts w:cs="Arial"/>
                <w:color w:val="000000" w:themeColor="text1"/>
                <w:szCs w:val="24"/>
              </w:rPr>
              <w:t>Arab</w:t>
            </w:r>
          </w:p>
        </w:tc>
        <w:tc>
          <w:tcPr>
            <w:tcW w:w="1063" w:type="pct"/>
            <w:tcBorders>
              <w:top w:val="single" w:sz="6" w:space="0" w:color="auto"/>
              <w:left w:val="single" w:sz="6" w:space="0" w:color="auto"/>
              <w:bottom w:val="single" w:sz="6" w:space="0" w:color="auto"/>
              <w:right w:val="single" w:sz="6" w:space="0" w:color="auto"/>
            </w:tcBorders>
            <w:vAlign w:val="bottom"/>
          </w:tcPr>
          <w:p w14:paraId="62BFD32C" w14:textId="77777777" w:rsidR="00B646D9" w:rsidRPr="00595FE6" w:rsidRDefault="00B646D9" w:rsidP="00D9246A">
            <w:pPr>
              <w:spacing w:line="240" w:lineRule="auto"/>
              <w:jc w:val="right"/>
              <w:rPr>
                <w:rFonts w:cs="Arial"/>
                <w:color w:val="000000" w:themeColor="text1"/>
                <w:szCs w:val="24"/>
              </w:rPr>
            </w:pPr>
            <w:r w:rsidRPr="00595FE6">
              <w:rPr>
                <w:rFonts w:cs="Arial"/>
                <w:color w:val="000000" w:themeColor="text1"/>
                <w:szCs w:val="24"/>
              </w:rPr>
              <w:t>108</w:t>
            </w:r>
          </w:p>
        </w:tc>
        <w:tc>
          <w:tcPr>
            <w:tcW w:w="995" w:type="pct"/>
            <w:tcBorders>
              <w:top w:val="single" w:sz="6" w:space="0" w:color="auto"/>
              <w:left w:val="single" w:sz="6" w:space="0" w:color="auto"/>
              <w:bottom w:val="single" w:sz="6" w:space="0" w:color="auto"/>
              <w:right w:val="single" w:sz="6" w:space="0" w:color="auto"/>
            </w:tcBorders>
            <w:vAlign w:val="bottom"/>
          </w:tcPr>
          <w:p w14:paraId="7415209D" w14:textId="77777777" w:rsidR="00B646D9" w:rsidRPr="00595FE6" w:rsidRDefault="00B646D9" w:rsidP="00D9246A">
            <w:pPr>
              <w:spacing w:line="240" w:lineRule="auto"/>
              <w:jc w:val="right"/>
              <w:rPr>
                <w:rFonts w:cs="Arial"/>
                <w:color w:val="000000" w:themeColor="text1"/>
                <w:szCs w:val="24"/>
              </w:rPr>
            </w:pPr>
            <w:r w:rsidRPr="00595FE6">
              <w:rPr>
                <w:rFonts w:cs="Arial"/>
                <w:color w:val="000000" w:themeColor="text1"/>
                <w:szCs w:val="24"/>
              </w:rPr>
              <w:t>573</w:t>
            </w:r>
          </w:p>
        </w:tc>
        <w:tc>
          <w:tcPr>
            <w:tcW w:w="1428" w:type="pct"/>
            <w:tcBorders>
              <w:top w:val="single" w:sz="6" w:space="0" w:color="auto"/>
              <w:left w:val="single" w:sz="6" w:space="0" w:color="auto"/>
              <w:bottom w:val="single" w:sz="6" w:space="0" w:color="auto"/>
              <w:right w:val="single" w:sz="6" w:space="0" w:color="auto"/>
            </w:tcBorders>
            <w:vAlign w:val="bottom"/>
          </w:tcPr>
          <w:p w14:paraId="69911ADF" w14:textId="77777777" w:rsidR="00B646D9" w:rsidRPr="00595FE6" w:rsidRDefault="00B646D9" w:rsidP="00D9246A">
            <w:pPr>
              <w:spacing w:line="240" w:lineRule="auto"/>
              <w:jc w:val="right"/>
              <w:rPr>
                <w:rFonts w:cs="Arial"/>
                <w:color w:val="000000" w:themeColor="text1"/>
                <w:szCs w:val="24"/>
              </w:rPr>
            </w:pPr>
            <w:r w:rsidRPr="00595FE6">
              <w:rPr>
                <w:rFonts w:cs="Arial"/>
                <w:szCs w:val="24"/>
              </w:rPr>
              <w:t>19%</w:t>
            </w:r>
          </w:p>
        </w:tc>
      </w:tr>
      <w:tr w:rsidR="00B646D9" w:rsidRPr="00595FE6" w14:paraId="2C97B9F0" w14:textId="77777777" w:rsidTr="002A7EEB">
        <w:tc>
          <w:tcPr>
            <w:tcW w:w="1514" w:type="pct"/>
            <w:tcBorders>
              <w:top w:val="single" w:sz="6" w:space="0" w:color="auto"/>
              <w:left w:val="single" w:sz="6" w:space="0" w:color="auto"/>
              <w:bottom w:val="single" w:sz="6" w:space="0" w:color="auto"/>
              <w:right w:val="single" w:sz="6" w:space="0" w:color="auto"/>
            </w:tcBorders>
            <w:vAlign w:val="bottom"/>
          </w:tcPr>
          <w:p w14:paraId="46EAE48D" w14:textId="77777777" w:rsidR="00B646D9" w:rsidRPr="00595FE6" w:rsidRDefault="00B646D9" w:rsidP="00D9246A">
            <w:pPr>
              <w:spacing w:line="240" w:lineRule="auto"/>
              <w:rPr>
                <w:rFonts w:cs="Arial"/>
                <w:color w:val="000000" w:themeColor="text1"/>
                <w:szCs w:val="24"/>
              </w:rPr>
            </w:pPr>
            <w:r w:rsidRPr="00595FE6">
              <w:rPr>
                <w:rFonts w:cs="Arial"/>
                <w:color w:val="000000" w:themeColor="text1"/>
                <w:szCs w:val="24"/>
              </w:rPr>
              <w:t>Other ethnic group</w:t>
            </w:r>
          </w:p>
        </w:tc>
        <w:tc>
          <w:tcPr>
            <w:tcW w:w="1063" w:type="pct"/>
            <w:tcBorders>
              <w:top w:val="single" w:sz="6" w:space="0" w:color="auto"/>
              <w:left w:val="single" w:sz="6" w:space="0" w:color="auto"/>
              <w:bottom w:val="single" w:sz="6" w:space="0" w:color="auto"/>
              <w:right w:val="single" w:sz="6" w:space="0" w:color="auto"/>
            </w:tcBorders>
            <w:vAlign w:val="bottom"/>
          </w:tcPr>
          <w:p w14:paraId="3C4ECA44" w14:textId="77777777" w:rsidR="00B646D9" w:rsidRPr="00595FE6" w:rsidRDefault="00B646D9" w:rsidP="00D9246A">
            <w:pPr>
              <w:spacing w:line="240" w:lineRule="auto"/>
              <w:jc w:val="right"/>
              <w:rPr>
                <w:rFonts w:cs="Arial"/>
                <w:color w:val="000000" w:themeColor="text1"/>
                <w:szCs w:val="24"/>
              </w:rPr>
            </w:pPr>
            <w:r w:rsidRPr="00595FE6">
              <w:rPr>
                <w:rFonts w:cs="Arial"/>
                <w:color w:val="000000" w:themeColor="text1"/>
                <w:szCs w:val="24"/>
              </w:rPr>
              <w:t>84</w:t>
            </w:r>
          </w:p>
        </w:tc>
        <w:tc>
          <w:tcPr>
            <w:tcW w:w="995" w:type="pct"/>
            <w:tcBorders>
              <w:top w:val="single" w:sz="6" w:space="0" w:color="auto"/>
              <w:left w:val="single" w:sz="6" w:space="0" w:color="auto"/>
              <w:bottom w:val="single" w:sz="6" w:space="0" w:color="auto"/>
              <w:right w:val="single" w:sz="6" w:space="0" w:color="auto"/>
            </w:tcBorders>
            <w:vAlign w:val="bottom"/>
          </w:tcPr>
          <w:p w14:paraId="35B272C3" w14:textId="77777777" w:rsidR="00B646D9" w:rsidRPr="00595FE6" w:rsidRDefault="00B646D9" w:rsidP="00D9246A">
            <w:pPr>
              <w:spacing w:line="240" w:lineRule="auto"/>
              <w:jc w:val="right"/>
              <w:rPr>
                <w:rFonts w:cs="Arial"/>
                <w:color w:val="000000" w:themeColor="text1"/>
                <w:szCs w:val="24"/>
              </w:rPr>
            </w:pPr>
            <w:r w:rsidRPr="00595FE6">
              <w:rPr>
                <w:rFonts w:cs="Arial"/>
                <w:color w:val="000000" w:themeColor="text1"/>
                <w:szCs w:val="24"/>
              </w:rPr>
              <w:t>438</w:t>
            </w:r>
          </w:p>
        </w:tc>
        <w:tc>
          <w:tcPr>
            <w:tcW w:w="1428" w:type="pct"/>
            <w:tcBorders>
              <w:top w:val="single" w:sz="6" w:space="0" w:color="auto"/>
              <w:left w:val="single" w:sz="6" w:space="0" w:color="auto"/>
              <w:bottom w:val="single" w:sz="6" w:space="0" w:color="auto"/>
              <w:right w:val="single" w:sz="6" w:space="0" w:color="auto"/>
            </w:tcBorders>
            <w:vAlign w:val="bottom"/>
          </w:tcPr>
          <w:p w14:paraId="19E97770" w14:textId="77777777" w:rsidR="00B646D9" w:rsidRPr="00595FE6" w:rsidRDefault="00B646D9" w:rsidP="00D9246A">
            <w:pPr>
              <w:spacing w:line="240" w:lineRule="auto"/>
              <w:jc w:val="right"/>
              <w:rPr>
                <w:rFonts w:cs="Arial"/>
                <w:color w:val="000000" w:themeColor="text1"/>
                <w:szCs w:val="24"/>
              </w:rPr>
            </w:pPr>
            <w:r w:rsidRPr="00595FE6">
              <w:rPr>
                <w:rFonts w:cs="Arial"/>
                <w:szCs w:val="24"/>
              </w:rPr>
              <w:t>19%</w:t>
            </w:r>
          </w:p>
        </w:tc>
      </w:tr>
    </w:tbl>
    <w:p w14:paraId="0CCADB96" w14:textId="4B1CF414" w:rsidR="00134D48" w:rsidRPr="00F96DEF" w:rsidRDefault="00134D48" w:rsidP="00D9246A">
      <w:pPr>
        <w:keepNext/>
        <w:spacing w:line="240" w:lineRule="auto"/>
        <w:rPr>
          <w:rFonts w:cs="Arial"/>
          <w:color w:val="000000" w:themeColor="text1"/>
          <w:szCs w:val="24"/>
        </w:rPr>
      </w:pPr>
      <w:r w:rsidRPr="00FA2F8F">
        <w:rPr>
          <w:rFonts w:cs="Arial"/>
          <w:b/>
          <w:color w:val="000000" w:themeColor="text1"/>
          <w:szCs w:val="24"/>
        </w:rPr>
        <w:t>Source:</w:t>
      </w:r>
      <w:r w:rsidRPr="00801E9C">
        <w:rPr>
          <w:rFonts w:cs="Arial"/>
          <w:color w:val="000000" w:themeColor="text1"/>
          <w:szCs w:val="24"/>
        </w:rPr>
        <w:t xml:space="preserve"> Brighton</w:t>
      </w:r>
      <w:r>
        <w:rPr>
          <w:rFonts w:cs="Arial"/>
          <w:color w:val="000000" w:themeColor="text1"/>
          <w:szCs w:val="24"/>
        </w:rPr>
        <w:t xml:space="preserve"> </w:t>
      </w:r>
      <w:r w:rsidR="00FF71E8" w:rsidRPr="00612B12">
        <w:rPr>
          <w:rFonts w:cs="Arial"/>
          <w:iCs/>
          <w:color w:val="000000" w:themeColor="text1"/>
          <w:szCs w:val="24"/>
        </w:rPr>
        <w:t>and</w:t>
      </w:r>
      <w:r>
        <w:rPr>
          <w:rFonts w:cs="Arial"/>
          <w:color w:val="000000" w:themeColor="text1"/>
          <w:szCs w:val="24"/>
        </w:rPr>
        <w:t xml:space="preserve"> Hove </w:t>
      </w:r>
      <w:r w:rsidRPr="00612B12">
        <w:rPr>
          <w:rFonts w:cs="Arial"/>
          <w:color w:val="000000" w:themeColor="text1"/>
          <w:szCs w:val="24"/>
        </w:rPr>
        <w:t>School</w:t>
      </w:r>
      <w:r w:rsidR="00F048C8" w:rsidRPr="00612B12">
        <w:rPr>
          <w:rFonts w:cs="Arial"/>
          <w:color w:val="000000" w:themeColor="text1"/>
          <w:szCs w:val="24"/>
        </w:rPr>
        <w:t>s</w:t>
      </w:r>
      <w:r w:rsidR="00FF71E8">
        <w:rPr>
          <w:rFonts w:cs="Arial"/>
          <w:iCs/>
          <w:color w:val="000000" w:themeColor="text1"/>
          <w:szCs w:val="24"/>
        </w:rPr>
        <w:t xml:space="preserve"> Census</w:t>
      </w:r>
      <w:r w:rsidR="00FF71E8" w:rsidRPr="00612B12">
        <w:rPr>
          <w:rFonts w:cs="Arial"/>
          <w:iCs/>
          <w:color w:val="000000" w:themeColor="text1"/>
          <w:szCs w:val="24"/>
        </w:rPr>
        <w:t>,</w:t>
      </w:r>
      <w:r>
        <w:rPr>
          <w:rFonts w:cs="Arial"/>
          <w:color w:val="000000" w:themeColor="text1"/>
          <w:szCs w:val="24"/>
        </w:rPr>
        <w:t xml:space="preserve"> January 2025</w:t>
      </w:r>
    </w:p>
    <w:p w14:paraId="0AB70F98" w14:textId="77777777" w:rsidR="00FA2F8F" w:rsidRDefault="00FA2F8F" w:rsidP="00D9246A">
      <w:pPr>
        <w:spacing w:line="240" w:lineRule="auto"/>
        <w:rPr>
          <w:b/>
          <w:bCs/>
          <w:color w:val="A65588"/>
        </w:rPr>
      </w:pPr>
      <w:r>
        <w:rPr>
          <w:b/>
          <w:bCs/>
          <w:color w:val="A65588"/>
        </w:rPr>
        <w:br w:type="page"/>
      </w:r>
    </w:p>
    <w:p w14:paraId="602E2C08" w14:textId="1D5DE58C" w:rsidR="00631336" w:rsidRPr="00FA2F8F" w:rsidRDefault="00AE785B" w:rsidP="00D9246A">
      <w:pPr>
        <w:spacing w:line="240" w:lineRule="auto"/>
        <w:rPr>
          <w:b/>
          <w:color w:val="A65588"/>
        </w:rPr>
      </w:pPr>
      <w:r w:rsidRPr="00FA2F8F">
        <w:rPr>
          <w:b/>
          <w:color w:val="A65588"/>
        </w:rPr>
        <w:lastRenderedPageBreak/>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15</w:t>
      </w:r>
      <w:r w:rsidR="00CA2D43">
        <w:rPr>
          <w:b/>
          <w:color w:val="A65588"/>
        </w:rPr>
        <w:fldChar w:fldCharType="end"/>
      </w:r>
      <w:r w:rsidRPr="00FA2F8F">
        <w:rPr>
          <w:b/>
          <w:color w:val="A65588"/>
        </w:rPr>
        <w:t xml:space="preserve">: </w:t>
      </w:r>
      <w:r w:rsidR="00631336" w:rsidRPr="00FA2F8F">
        <w:rPr>
          <w:b/>
          <w:bCs/>
          <w:color w:val="A65588"/>
        </w:rPr>
        <w:t xml:space="preserve">Percentage of pupils with </w:t>
      </w:r>
      <w:r w:rsidRPr="00FA2F8F">
        <w:rPr>
          <w:b/>
          <w:color w:val="A65588"/>
        </w:rPr>
        <w:t xml:space="preserve">special educational needs </w:t>
      </w:r>
      <w:r w:rsidR="00FA2F8F">
        <w:rPr>
          <w:b/>
          <w:bCs/>
          <w:color w:val="A65588"/>
        </w:rPr>
        <w:t>(</w:t>
      </w:r>
      <w:r w:rsidR="00631336" w:rsidRPr="00FA2F8F">
        <w:rPr>
          <w:b/>
          <w:color w:val="A65588"/>
        </w:rPr>
        <w:t>SEN</w:t>
      </w:r>
      <w:r w:rsidR="00FA2F8F">
        <w:rPr>
          <w:b/>
          <w:bCs/>
          <w:color w:val="A65588"/>
        </w:rPr>
        <w:t>)</w:t>
      </w:r>
      <w:r w:rsidR="00AE2CD5" w:rsidRPr="00FA2F8F">
        <w:rPr>
          <w:b/>
          <w:bCs/>
          <w:color w:val="A65588"/>
        </w:rPr>
        <w:t>,</w:t>
      </w:r>
      <w:r w:rsidR="00AE2CD5" w:rsidRPr="00FA2F8F">
        <w:rPr>
          <w:b/>
          <w:color w:val="A65588"/>
        </w:rPr>
        <w:t xml:space="preserve"> </w:t>
      </w:r>
      <w:r w:rsidR="00631336" w:rsidRPr="00FA2F8F">
        <w:rPr>
          <w:b/>
          <w:color w:val="A65588"/>
        </w:rPr>
        <w:t>by year group</w:t>
      </w:r>
      <w:r w:rsidR="007206A8" w:rsidRPr="00FA2F8F">
        <w:rPr>
          <w:b/>
          <w:color w:val="A65588"/>
        </w:rPr>
        <w:t>,</w:t>
      </w:r>
      <w:r w:rsidR="00631336" w:rsidRPr="00FA2F8F">
        <w:rPr>
          <w:b/>
          <w:color w:val="A65588"/>
        </w:rPr>
        <w:t xml:space="preserve"> Brighton and Hove Schools, January 2025</w:t>
      </w:r>
    </w:p>
    <w:p w14:paraId="09219631" w14:textId="30E53B1A" w:rsidR="00134D48" w:rsidRPr="00631336" w:rsidRDefault="002F1F16" w:rsidP="00D9246A">
      <w:pPr>
        <w:spacing w:line="240" w:lineRule="auto"/>
        <w:rPr>
          <w:lang w:eastAsia="en-GB"/>
        </w:rPr>
      </w:pPr>
      <w:r w:rsidRPr="002F1F16">
        <w:rPr>
          <w:noProof/>
          <w:lang w:eastAsia="en-GB"/>
        </w:rPr>
        <w:drawing>
          <wp:inline distT="0" distB="0" distL="0" distR="0" wp14:anchorId="72522101" wp14:editId="676B4754">
            <wp:extent cx="5939790" cy="3926205"/>
            <wp:effectExtent l="0" t="0" r="3810" b="0"/>
            <wp:docPr id="977143803" name="Picture 1" descr="A bar chart showing the percentage of pupils with special educational needs (SEN) in each year group in Brighton and Hove Schools, January 2025.&#10;&#10;Year 6 has the highest percentage of pupils with SEN (29%), with reception year being the lowest at 15%. The percentage of pupils with SEN in other year groups ranges between 19% to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143803" name="Picture 1" descr="A bar chart showing the percentage of pupils with special educational needs (SEN) in each year group in Brighton and Hove Schools, January 2025.&#10;&#10;Year 6 has the highest percentage of pupils with SEN (29%), with reception year being the lowest at 15%. The percentage of pupils with SEN in other year groups ranges between 19% to 27%."/>
                    <pic:cNvPicPr/>
                  </pic:nvPicPr>
                  <pic:blipFill>
                    <a:blip r:embed="rId66"/>
                    <a:stretch>
                      <a:fillRect/>
                    </a:stretch>
                  </pic:blipFill>
                  <pic:spPr>
                    <a:xfrm>
                      <a:off x="0" y="0"/>
                      <a:ext cx="5939790" cy="3926205"/>
                    </a:xfrm>
                    <a:prstGeom prst="rect">
                      <a:avLst/>
                    </a:prstGeom>
                  </pic:spPr>
                </pic:pic>
              </a:graphicData>
            </a:graphic>
          </wp:inline>
        </w:drawing>
      </w:r>
      <w:r w:rsidR="00FB6593" w:rsidRPr="00FB6593">
        <w:t xml:space="preserve"> </w:t>
      </w:r>
      <w:r w:rsidR="00134D48" w:rsidRPr="00FA2F8F">
        <w:rPr>
          <w:rFonts w:cs="Arial"/>
          <w:b/>
          <w:color w:val="000000" w:themeColor="text1"/>
        </w:rPr>
        <w:t>Source:</w:t>
      </w:r>
      <w:r w:rsidR="00134D48" w:rsidRPr="003F34D5">
        <w:rPr>
          <w:rFonts w:cs="Arial"/>
          <w:color w:val="000000" w:themeColor="text1"/>
        </w:rPr>
        <w:t xml:space="preserve"> </w:t>
      </w:r>
      <w:r w:rsidR="00134D48" w:rsidRPr="00612B12">
        <w:rPr>
          <w:rFonts w:cs="Arial"/>
          <w:color w:val="000000" w:themeColor="text1"/>
          <w:szCs w:val="24"/>
        </w:rPr>
        <w:t xml:space="preserve">Brighton </w:t>
      </w:r>
      <w:r w:rsidR="00FF71E8" w:rsidRPr="00612B12">
        <w:rPr>
          <w:rFonts w:cs="Arial"/>
          <w:iCs/>
          <w:color w:val="000000" w:themeColor="text1"/>
          <w:szCs w:val="24"/>
        </w:rPr>
        <w:t>and</w:t>
      </w:r>
      <w:r w:rsidR="00134D48" w:rsidRPr="00612B12">
        <w:rPr>
          <w:rFonts w:cs="Arial"/>
          <w:color w:val="000000" w:themeColor="text1"/>
          <w:szCs w:val="24"/>
        </w:rPr>
        <w:t xml:space="preserve"> Hove </w:t>
      </w:r>
      <w:r w:rsidR="0029740B" w:rsidRPr="00612B12">
        <w:rPr>
          <w:rFonts w:cs="Arial"/>
          <w:color w:val="000000" w:themeColor="text1"/>
          <w:szCs w:val="24"/>
        </w:rPr>
        <w:t>S</w:t>
      </w:r>
      <w:r w:rsidR="00134D48" w:rsidRPr="00612B12">
        <w:rPr>
          <w:rFonts w:cs="Arial"/>
          <w:color w:val="000000" w:themeColor="text1"/>
          <w:szCs w:val="24"/>
        </w:rPr>
        <w:t>chool</w:t>
      </w:r>
      <w:r w:rsidR="003F34D5" w:rsidRPr="00612B12">
        <w:rPr>
          <w:rFonts w:cs="Arial"/>
          <w:color w:val="000000" w:themeColor="text1"/>
          <w:szCs w:val="24"/>
        </w:rPr>
        <w:t>s</w:t>
      </w:r>
      <w:r w:rsidR="00FF71E8">
        <w:rPr>
          <w:rFonts w:cs="Arial"/>
          <w:iCs/>
          <w:color w:val="000000" w:themeColor="text1"/>
          <w:szCs w:val="24"/>
        </w:rPr>
        <w:t xml:space="preserve"> Census</w:t>
      </w:r>
      <w:r w:rsidR="00FF71E8" w:rsidRPr="00612B12">
        <w:rPr>
          <w:rFonts w:cs="Arial"/>
          <w:iCs/>
          <w:color w:val="000000" w:themeColor="text1"/>
          <w:szCs w:val="24"/>
        </w:rPr>
        <w:t>,</w:t>
      </w:r>
      <w:r w:rsidR="00134D48" w:rsidRPr="00612B12">
        <w:rPr>
          <w:rFonts w:cs="Arial"/>
          <w:color w:val="000000" w:themeColor="text1"/>
          <w:szCs w:val="24"/>
        </w:rPr>
        <w:t xml:space="preserve"> January 2025</w:t>
      </w:r>
    </w:p>
    <w:p w14:paraId="5A1C7E93" w14:textId="158632C2" w:rsidR="00C24B37" w:rsidRPr="00102F0B" w:rsidRDefault="00C24B37" w:rsidP="0096012C">
      <w:pPr>
        <w:pStyle w:val="Heading3"/>
      </w:pPr>
      <w:r w:rsidRPr="00102F0B">
        <w:t>Amaze</w:t>
      </w:r>
      <w:r>
        <w:t xml:space="preserve"> -</w:t>
      </w:r>
      <w:r w:rsidRPr="00102F0B">
        <w:t xml:space="preserve"> Compass </w:t>
      </w:r>
      <w:r w:rsidR="004D7BFF">
        <w:t>re</w:t>
      </w:r>
      <w:r w:rsidR="002B33C8">
        <w:t>gister</w:t>
      </w:r>
    </w:p>
    <w:p w14:paraId="1230BC86" w14:textId="5571135D" w:rsidR="00C24B37" w:rsidRPr="00595FE6" w:rsidRDefault="00C24B37" w:rsidP="00D9246A">
      <w:pPr>
        <w:spacing w:line="240" w:lineRule="auto"/>
        <w:rPr>
          <w:rFonts w:cs="Arial"/>
          <w:color w:val="000000" w:themeColor="text1"/>
        </w:rPr>
      </w:pPr>
      <w:r w:rsidRPr="46D9EEFA">
        <w:rPr>
          <w:rFonts w:cs="Arial"/>
          <w:color w:val="000000" w:themeColor="text1"/>
        </w:rPr>
        <w:t xml:space="preserve">Compass Brighton &amp; Hove is a register held </w:t>
      </w:r>
      <w:r w:rsidR="00645DCF">
        <w:rPr>
          <w:rFonts w:cs="Arial"/>
          <w:color w:val="000000" w:themeColor="text1"/>
        </w:rPr>
        <w:t>by Amaze, commissioned by</w:t>
      </w:r>
      <w:r w:rsidRPr="46D9EEFA">
        <w:rPr>
          <w:rFonts w:cs="Arial"/>
          <w:color w:val="000000" w:themeColor="text1"/>
        </w:rPr>
        <w:t xml:space="preserve"> Brighton &amp; Hove City Council</w:t>
      </w:r>
      <w:r w:rsidR="00645DCF">
        <w:rPr>
          <w:rFonts w:cs="Arial"/>
          <w:color w:val="000000" w:themeColor="text1"/>
        </w:rPr>
        <w:t>,</w:t>
      </w:r>
      <w:r w:rsidRPr="46D9EEFA">
        <w:rPr>
          <w:rFonts w:cs="Arial"/>
          <w:color w:val="000000" w:themeColor="text1"/>
        </w:rPr>
        <w:t xml:space="preserve"> with details of children and young people aged 0 to 25 years, living or going to school/college in Brighton and Hove who have a/multiple disability/</w:t>
      </w:r>
      <w:proofErr w:type="spellStart"/>
      <w:r w:rsidRPr="46D9EEFA">
        <w:rPr>
          <w:rFonts w:cs="Arial"/>
          <w:color w:val="000000" w:themeColor="text1"/>
        </w:rPr>
        <w:t>ies</w:t>
      </w:r>
      <w:proofErr w:type="spellEnd"/>
      <w:r w:rsidRPr="46D9EEFA">
        <w:rPr>
          <w:rFonts w:cs="Arial"/>
          <w:color w:val="000000" w:themeColor="text1"/>
        </w:rPr>
        <w:t xml:space="preserve"> which have a significant impact on their daily life. </w:t>
      </w:r>
    </w:p>
    <w:p w14:paraId="72BD2277" w14:textId="77777777" w:rsidR="00C24B37" w:rsidRPr="00595FE6" w:rsidRDefault="00C24B37" w:rsidP="00D9246A">
      <w:pPr>
        <w:spacing w:line="240" w:lineRule="auto"/>
        <w:rPr>
          <w:rFonts w:cs="Arial"/>
          <w:color w:val="000000" w:themeColor="text1"/>
          <w:szCs w:val="24"/>
        </w:rPr>
      </w:pPr>
      <w:r w:rsidRPr="00595FE6">
        <w:rPr>
          <w:rFonts w:cs="Arial"/>
          <w:color w:val="000000" w:themeColor="text1"/>
          <w:szCs w:val="24"/>
        </w:rPr>
        <w:t xml:space="preserve">When registering for a Compass Card, applicants provide information about the child/young </w:t>
      </w:r>
      <w:r w:rsidRPr="00C7630F">
        <w:rPr>
          <w:rFonts w:cs="Arial"/>
          <w:color w:val="000000" w:themeColor="text1"/>
        </w:rPr>
        <w:t>person’s</w:t>
      </w:r>
      <w:r w:rsidRPr="00595FE6">
        <w:rPr>
          <w:rFonts w:cs="Arial"/>
          <w:color w:val="000000" w:themeColor="text1"/>
          <w:szCs w:val="24"/>
        </w:rPr>
        <w:t xml:space="preserve"> circumstances and needs. The card then entitles the child/young person to access local leisure venues with discounts and special offers. </w:t>
      </w:r>
    </w:p>
    <w:p w14:paraId="5CE01B80" w14:textId="03C0AA9C" w:rsidR="00C24B37" w:rsidRDefault="00C24B37" w:rsidP="00D9246A">
      <w:pPr>
        <w:spacing w:line="240" w:lineRule="auto"/>
        <w:rPr>
          <w:rFonts w:cs="Arial"/>
          <w:color w:val="000000" w:themeColor="text1"/>
          <w:szCs w:val="24"/>
        </w:rPr>
      </w:pPr>
      <w:r w:rsidRPr="00595FE6">
        <w:rPr>
          <w:rFonts w:cs="Arial"/>
          <w:color w:val="000000" w:themeColor="text1"/>
          <w:szCs w:val="24"/>
        </w:rPr>
        <w:t xml:space="preserve">The data presented here is for children and young people who registered or renewed their Compass card in the three years up the end of March 2024. Ages are taken as at the time of registering/renewing their card. </w:t>
      </w:r>
      <w:r w:rsidR="00966B4B" w:rsidRPr="00266246">
        <w:rPr>
          <w:rFonts w:cs="Arial"/>
          <w:color w:val="000000" w:themeColor="text1"/>
          <w:szCs w:val="24"/>
        </w:rPr>
        <w:t xml:space="preserve">Tables provided in Appendix </w:t>
      </w:r>
      <w:r w:rsidR="00266246" w:rsidRPr="00266246">
        <w:rPr>
          <w:rFonts w:cs="Arial"/>
          <w:color w:val="000000" w:themeColor="text1"/>
          <w:szCs w:val="24"/>
        </w:rPr>
        <w:t>2</w:t>
      </w:r>
      <w:r w:rsidR="00966B4B" w:rsidRPr="00266246">
        <w:rPr>
          <w:rFonts w:cs="Arial"/>
          <w:color w:val="000000" w:themeColor="text1"/>
          <w:szCs w:val="24"/>
        </w:rPr>
        <w:t>.</w:t>
      </w:r>
    </w:p>
    <w:p w14:paraId="746963A2" w14:textId="77777777" w:rsidR="00C24B37" w:rsidRPr="00645DCF" w:rsidRDefault="00C24B37" w:rsidP="00C24B37">
      <w:pPr>
        <w:spacing w:line="240" w:lineRule="auto"/>
        <w:rPr>
          <w:rFonts w:cs="Arial"/>
          <w:b/>
          <w:color w:val="0079C2"/>
          <w:szCs w:val="24"/>
        </w:rPr>
      </w:pPr>
      <w:r w:rsidRPr="00645DCF">
        <w:rPr>
          <w:rFonts w:cs="Arial"/>
          <w:b/>
          <w:color w:val="0079C2"/>
          <w:szCs w:val="24"/>
        </w:rPr>
        <w:t>As at March 2024 there were:</w:t>
      </w:r>
    </w:p>
    <w:p w14:paraId="0A203EA8" w14:textId="77777777" w:rsidR="00C24B37" w:rsidRPr="00645DCF" w:rsidRDefault="00C24B37" w:rsidP="009858E3">
      <w:pPr>
        <w:pStyle w:val="ListParagraph"/>
        <w:numPr>
          <w:ilvl w:val="0"/>
          <w:numId w:val="35"/>
        </w:numPr>
        <w:spacing w:line="240" w:lineRule="auto"/>
        <w:rPr>
          <w:rFonts w:cs="Arial"/>
          <w:b/>
          <w:color w:val="0079C2"/>
          <w:szCs w:val="24"/>
        </w:rPr>
      </w:pPr>
      <w:r w:rsidRPr="00645DCF">
        <w:rPr>
          <w:rFonts w:cs="Arial"/>
          <w:b/>
          <w:color w:val="0079C2"/>
          <w:szCs w:val="24"/>
        </w:rPr>
        <w:t>2,535 children and young people on the register – 3% of the population aged 0-25 years in Brighton &amp; Hove</w:t>
      </w:r>
    </w:p>
    <w:p w14:paraId="12106FCD" w14:textId="77777777" w:rsidR="008865E3" w:rsidRPr="00595FE6" w:rsidRDefault="008865E3" w:rsidP="009858E3">
      <w:pPr>
        <w:pStyle w:val="ListParagraph"/>
        <w:numPr>
          <w:ilvl w:val="0"/>
          <w:numId w:val="35"/>
        </w:numPr>
        <w:spacing w:line="240" w:lineRule="auto"/>
        <w:rPr>
          <w:rFonts w:cs="Arial"/>
          <w:color w:val="000000" w:themeColor="text1"/>
          <w:szCs w:val="24"/>
        </w:rPr>
      </w:pPr>
      <w:r w:rsidRPr="00645DCF">
        <w:rPr>
          <w:rFonts w:cs="Arial"/>
          <w:b/>
          <w:bCs/>
          <w:color w:val="0079C2"/>
          <w:szCs w:val="24"/>
        </w:rPr>
        <w:t xml:space="preserve">Most children and young people on the register live in </w:t>
      </w:r>
      <w:r>
        <w:rPr>
          <w:rFonts w:cs="Arial"/>
          <w:b/>
          <w:bCs/>
          <w:color w:val="0079C2"/>
          <w:szCs w:val="24"/>
        </w:rPr>
        <w:t>the city</w:t>
      </w:r>
      <w:r w:rsidRPr="00645DCF">
        <w:rPr>
          <w:rFonts w:cs="Arial"/>
          <w:color w:val="0079C2"/>
          <w:szCs w:val="24"/>
        </w:rPr>
        <w:t xml:space="preserve"> </w:t>
      </w:r>
      <w:r w:rsidRPr="00595FE6">
        <w:rPr>
          <w:rFonts w:cs="Arial"/>
          <w:color w:val="000000" w:themeColor="text1"/>
          <w:szCs w:val="24"/>
        </w:rPr>
        <w:t xml:space="preserve">(96%, 2,443 people), </w:t>
      </w:r>
      <w:r>
        <w:rPr>
          <w:rFonts w:cs="Arial"/>
          <w:color w:val="000000" w:themeColor="text1"/>
          <w:szCs w:val="24"/>
        </w:rPr>
        <w:t>2</w:t>
      </w:r>
      <w:r w:rsidRPr="00595FE6">
        <w:rPr>
          <w:rFonts w:cs="Arial"/>
          <w:color w:val="000000" w:themeColor="text1"/>
          <w:szCs w:val="24"/>
        </w:rPr>
        <w:t xml:space="preserve">% in East Sussex, and 1% in West Sussex </w:t>
      </w:r>
    </w:p>
    <w:p w14:paraId="1B9DCADD" w14:textId="3E9496C6" w:rsidR="008865E3" w:rsidRDefault="008865E3" w:rsidP="009858E3">
      <w:pPr>
        <w:pStyle w:val="ListParagraph"/>
        <w:numPr>
          <w:ilvl w:val="0"/>
          <w:numId w:val="35"/>
        </w:numPr>
        <w:spacing w:line="240" w:lineRule="auto"/>
        <w:rPr>
          <w:rFonts w:cs="Arial"/>
          <w:color w:val="000000" w:themeColor="text1"/>
          <w:szCs w:val="24"/>
        </w:rPr>
      </w:pPr>
      <w:r w:rsidRPr="00645DCF">
        <w:rPr>
          <w:rFonts w:cs="Arial"/>
          <w:b/>
          <w:bCs/>
          <w:color w:val="0079C2"/>
          <w:szCs w:val="24"/>
        </w:rPr>
        <w:t>The largest number and rate of children and young people on the Compass register are secondary school age</w:t>
      </w:r>
      <w:r w:rsidRPr="00595FE6">
        <w:rPr>
          <w:rFonts w:cs="Arial"/>
          <w:color w:val="000000" w:themeColor="text1"/>
          <w:szCs w:val="24"/>
        </w:rPr>
        <w:t xml:space="preserve">, 11-16 years (1,027, 6% of 11-16 year olds) followed by primary school age, 5-10 years (778, 5% of 5-10 year olds) </w:t>
      </w:r>
    </w:p>
    <w:p w14:paraId="0F7C4D64" w14:textId="66ED6F45" w:rsidR="008865E3" w:rsidRPr="00AC382A" w:rsidRDefault="008865E3" w:rsidP="009858E3">
      <w:pPr>
        <w:pStyle w:val="ListParagraph"/>
        <w:numPr>
          <w:ilvl w:val="0"/>
          <w:numId w:val="35"/>
        </w:numPr>
        <w:spacing w:line="240" w:lineRule="auto"/>
        <w:rPr>
          <w:rFonts w:cs="Arial"/>
          <w:color w:val="000000" w:themeColor="text1"/>
          <w:szCs w:val="24"/>
        </w:rPr>
      </w:pPr>
      <w:r w:rsidRPr="00645DCF">
        <w:rPr>
          <w:rFonts w:cs="Arial"/>
          <w:b/>
          <w:bCs/>
          <w:color w:val="0079C2"/>
          <w:szCs w:val="24"/>
        </w:rPr>
        <w:t xml:space="preserve">Males </w:t>
      </w:r>
      <w:r>
        <w:rPr>
          <w:rFonts w:cs="Arial"/>
          <w:b/>
          <w:bCs/>
          <w:color w:val="0079C2"/>
          <w:szCs w:val="24"/>
        </w:rPr>
        <w:t>are</w:t>
      </w:r>
      <w:r w:rsidRPr="00645DCF">
        <w:rPr>
          <w:rFonts w:cs="Arial"/>
          <w:b/>
          <w:bCs/>
          <w:color w:val="0079C2"/>
          <w:szCs w:val="24"/>
        </w:rPr>
        <w:t xml:space="preserve"> more likely to be on the register</w:t>
      </w:r>
      <w:r w:rsidRPr="00645DCF">
        <w:rPr>
          <w:rFonts w:cs="Arial"/>
          <w:color w:val="0079C2"/>
          <w:szCs w:val="24"/>
        </w:rPr>
        <w:t xml:space="preserve"> </w:t>
      </w:r>
      <w:r w:rsidRPr="00595FE6">
        <w:rPr>
          <w:rFonts w:cs="Arial"/>
          <w:color w:val="000000" w:themeColor="text1"/>
          <w:szCs w:val="24"/>
        </w:rPr>
        <w:t>(1,624 people, 4% of those aged 0-25 years in Brighton &amp; Hove), followed by females (849 people, 2% of those aged 0-25 years in Brighton &amp; Hove). Population figures are not available for non-binary and other gender identities</w:t>
      </w:r>
    </w:p>
    <w:p w14:paraId="2EB1A549" w14:textId="65690CFC" w:rsidR="008865E3" w:rsidRPr="00821CD3" w:rsidRDefault="008865E3" w:rsidP="009858E3">
      <w:pPr>
        <w:pStyle w:val="ListParagraph"/>
        <w:numPr>
          <w:ilvl w:val="0"/>
          <w:numId w:val="35"/>
        </w:numPr>
        <w:spacing w:line="240" w:lineRule="auto"/>
        <w:rPr>
          <w:rFonts w:cs="Arial"/>
          <w:color w:val="000000" w:themeColor="text1"/>
          <w:szCs w:val="24"/>
        </w:rPr>
      </w:pPr>
      <w:r w:rsidRPr="00645DCF">
        <w:rPr>
          <w:rFonts w:cs="Arial"/>
          <w:b/>
          <w:bCs/>
          <w:color w:val="0079C2"/>
          <w:szCs w:val="24"/>
        </w:rPr>
        <w:lastRenderedPageBreak/>
        <w:t>The highest rate was in children and young people from White British and Mixed/multiple ethnic groups (both 3%) and lowest in Asian or Asian British ethnic groups (1%)</w:t>
      </w:r>
      <w:r>
        <w:rPr>
          <w:rFonts w:cs="Arial"/>
          <w:b/>
          <w:bCs/>
          <w:color w:val="0079C2"/>
          <w:szCs w:val="24"/>
        </w:rPr>
        <w:t xml:space="preserve">. </w:t>
      </w:r>
      <w:r w:rsidRPr="00821CD3">
        <w:rPr>
          <w:rFonts w:cs="Arial"/>
          <w:color w:val="000000" w:themeColor="text1"/>
          <w:szCs w:val="24"/>
        </w:rPr>
        <w:t>The majority of people on the register are White British (78%), followed by Mixed/multiple ethnic background (8%) and White Irish or White other (5%), and Asian or Asian British (3%)</w:t>
      </w:r>
    </w:p>
    <w:p w14:paraId="701E9E95" w14:textId="0A23FE56" w:rsidR="008865E3" w:rsidRDefault="008865E3" w:rsidP="009858E3">
      <w:pPr>
        <w:pStyle w:val="ListParagraph"/>
        <w:numPr>
          <w:ilvl w:val="0"/>
          <w:numId w:val="35"/>
        </w:numPr>
        <w:spacing w:line="240" w:lineRule="auto"/>
        <w:rPr>
          <w:rFonts w:cs="Arial"/>
          <w:color w:val="000000" w:themeColor="text1"/>
          <w:szCs w:val="24"/>
        </w:rPr>
      </w:pPr>
      <w:r w:rsidRPr="00645DCF">
        <w:rPr>
          <w:rFonts w:cs="Arial"/>
          <w:b/>
          <w:bCs/>
          <w:color w:val="0079C2"/>
          <w:szCs w:val="24"/>
        </w:rPr>
        <w:t>The main needs were moderate to severe behaviour that challenges (1,375 people), learning difficulty or disability (1,181 people), or moderate to severe mobility issues or wheelchair user (826 people)</w:t>
      </w:r>
      <w:r w:rsidRPr="00821CD3">
        <w:rPr>
          <w:rFonts w:cs="Arial"/>
          <w:b/>
          <w:bCs/>
          <w:color w:val="000000" w:themeColor="text1"/>
          <w:szCs w:val="24"/>
        </w:rPr>
        <w:t xml:space="preserve">, </w:t>
      </w:r>
      <w:r w:rsidRPr="00821CD3">
        <w:rPr>
          <w:rFonts w:cs="Arial"/>
          <w:color w:val="000000" w:themeColor="text1"/>
          <w:szCs w:val="24"/>
        </w:rPr>
        <w:t>followed by</w:t>
      </w:r>
      <w:r w:rsidRPr="00821CD3">
        <w:rPr>
          <w:rFonts w:cs="Arial"/>
          <w:b/>
          <w:bCs/>
          <w:color w:val="000000" w:themeColor="text1"/>
          <w:szCs w:val="24"/>
        </w:rPr>
        <w:t xml:space="preserve"> </w:t>
      </w:r>
      <w:r w:rsidRPr="00821CD3">
        <w:rPr>
          <w:rFonts w:cs="Arial"/>
          <w:color w:val="000000" w:themeColor="text1"/>
          <w:szCs w:val="24"/>
        </w:rPr>
        <w:t xml:space="preserve">moderate or severe visual problems or registered blind (471 people), moderately to severe hearing problem or profoundly or totally deaf (141 people) </w:t>
      </w:r>
    </w:p>
    <w:p w14:paraId="6DD4DCB8" w14:textId="333055F8" w:rsidR="00C81109" w:rsidRPr="00C81109" w:rsidRDefault="00C81109" w:rsidP="009858E3">
      <w:pPr>
        <w:pStyle w:val="ListParagraph"/>
        <w:numPr>
          <w:ilvl w:val="0"/>
          <w:numId w:val="35"/>
        </w:numPr>
        <w:spacing w:line="240" w:lineRule="auto"/>
        <w:rPr>
          <w:rFonts w:cs="Arial"/>
          <w:color w:val="000000" w:themeColor="text1"/>
          <w:szCs w:val="24"/>
        </w:rPr>
      </w:pPr>
      <w:r w:rsidRPr="00C81109">
        <w:rPr>
          <w:rFonts w:cs="Arial"/>
          <w:b/>
          <w:bCs/>
          <w:color w:val="0079C2"/>
          <w:szCs w:val="24"/>
        </w:rPr>
        <w:t>The most common diagnosis for children and young people on the compass register was Autism (1,621, 13% of total diagnoses), followed by Speech and language difficulties including developmental language disorder (DLD) (1,605, 12% of total diagnoses), and anxiety (1,265, 10% of total diagnoses).</w:t>
      </w:r>
      <w:r w:rsidRPr="00C81109">
        <w:rPr>
          <w:rFonts w:cs="Arial"/>
          <w:color w:val="000000" w:themeColor="text1"/>
          <w:szCs w:val="24"/>
        </w:rPr>
        <w:t xml:space="preserve"> There were 167 children who had testing/assessment in progress</w:t>
      </w:r>
      <w:r w:rsidRPr="00EF176F">
        <w:rPr>
          <w:rFonts w:cs="Arial"/>
          <w:color w:val="000000" w:themeColor="text1"/>
          <w:szCs w:val="24"/>
        </w:rPr>
        <w:t>.</w:t>
      </w:r>
    </w:p>
    <w:p w14:paraId="4741ADD4" w14:textId="7A75C97B" w:rsidR="00C81109" w:rsidRPr="00C81109" w:rsidRDefault="00C81109" w:rsidP="009858E3">
      <w:pPr>
        <w:pStyle w:val="ListParagraph"/>
        <w:numPr>
          <w:ilvl w:val="0"/>
          <w:numId w:val="35"/>
        </w:numPr>
        <w:spacing w:line="240" w:lineRule="auto"/>
        <w:rPr>
          <w:rFonts w:cs="Arial"/>
          <w:color w:val="000000" w:themeColor="text1"/>
          <w:szCs w:val="24"/>
        </w:rPr>
      </w:pPr>
      <w:r w:rsidRPr="00C81109">
        <w:rPr>
          <w:rFonts w:cs="Arial"/>
          <w:b/>
          <w:bCs/>
          <w:color w:val="0079C2"/>
          <w:szCs w:val="24"/>
        </w:rPr>
        <w:t>Based on statistical analysis using the IDACI score (%) and the percentage of children and young people living in each ward on the compass register, there isn’t a significant correlation between deprivation and the percentage of CYP living in each wards.</w:t>
      </w:r>
      <w:r w:rsidRPr="00C81109">
        <w:rPr>
          <w:rFonts w:cs="Arial"/>
          <w:color w:val="0079C2"/>
          <w:szCs w:val="24"/>
        </w:rPr>
        <w:t xml:space="preserve"> </w:t>
      </w:r>
      <w:r w:rsidRPr="00C81109">
        <w:rPr>
          <w:rFonts w:cs="Arial"/>
          <w:color w:val="000000" w:themeColor="text1"/>
          <w:szCs w:val="24"/>
        </w:rPr>
        <w:t>This could be as a result of the growing awareness and diagnosis of neurodivergent conditions</w:t>
      </w:r>
      <w:r>
        <w:rPr>
          <w:rFonts w:cs="Arial"/>
          <w:color w:val="000000" w:themeColor="text1"/>
          <w:szCs w:val="24"/>
        </w:rPr>
        <w:t>.</w:t>
      </w:r>
    </w:p>
    <w:p w14:paraId="3A4DBE3E" w14:textId="77777777" w:rsidR="008865E3" w:rsidRPr="00913B8B" w:rsidRDefault="008865E3" w:rsidP="009858E3">
      <w:pPr>
        <w:pStyle w:val="ListParagraph"/>
        <w:numPr>
          <w:ilvl w:val="0"/>
          <w:numId w:val="35"/>
        </w:numPr>
        <w:spacing w:line="240" w:lineRule="auto"/>
        <w:rPr>
          <w:rFonts w:cs="Arial"/>
          <w:b/>
          <w:color w:val="0079C2"/>
          <w:szCs w:val="24"/>
        </w:rPr>
      </w:pPr>
      <w:r w:rsidRPr="00913B8B">
        <w:rPr>
          <w:rFonts w:cs="Arial"/>
          <w:b/>
          <w:color w:val="0079C2"/>
          <w:szCs w:val="24"/>
        </w:rPr>
        <w:t>20% live in households where the household relies solely on benefits</w:t>
      </w:r>
    </w:p>
    <w:p w14:paraId="53883646" w14:textId="77777777" w:rsidR="008865E3" w:rsidRPr="00595FE6" w:rsidRDefault="008865E3" w:rsidP="009858E3">
      <w:pPr>
        <w:pStyle w:val="ListParagraph"/>
        <w:numPr>
          <w:ilvl w:val="0"/>
          <w:numId w:val="35"/>
        </w:numPr>
        <w:spacing w:line="240" w:lineRule="auto"/>
        <w:rPr>
          <w:rFonts w:cs="Arial"/>
          <w:b/>
          <w:color w:val="000000" w:themeColor="text1"/>
          <w:szCs w:val="24"/>
        </w:rPr>
      </w:pPr>
      <w:r w:rsidRPr="00913B8B">
        <w:rPr>
          <w:rFonts w:cs="Arial"/>
          <w:b/>
          <w:color w:val="0079C2"/>
          <w:szCs w:val="24"/>
        </w:rPr>
        <w:t>61% of all CYP on the register had at least one of the following indicators of need: living in the 10 wards with the lowest deprivation indexes, CYP on or needing direct payments or personal budgets and households where they rely completely on income from benefits</w:t>
      </w:r>
      <w:r w:rsidRPr="00595FE6">
        <w:rPr>
          <w:rFonts w:cs="Arial"/>
          <w:b/>
          <w:color w:val="000000" w:themeColor="text1"/>
          <w:szCs w:val="24"/>
        </w:rPr>
        <w:t>.</w:t>
      </w:r>
    </w:p>
    <w:p w14:paraId="6CC7B865" w14:textId="1DCE6F84" w:rsidR="00CF1184" w:rsidRPr="00595FE6" w:rsidRDefault="00CF1184" w:rsidP="00B431B6">
      <w:pPr>
        <w:pStyle w:val="Heading4"/>
      </w:pPr>
      <w:r>
        <w:t>Impact on parent carer</w:t>
      </w:r>
      <w:r w:rsidR="00691A3D">
        <w:t>s</w:t>
      </w:r>
      <w:r w:rsidR="002A3D79">
        <w:t xml:space="preserve"> </w:t>
      </w:r>
      <w:r w:rsidR="00185145">
        <w:t xml:space="preserve">of </w:t>
      </w:r>
      <w:r w:rsidR="00691A3D">
        <w:t>c</w:t>
      </w:r>
      <w:r w:rsidR="00185145">
        <w:t>hildren and young people</w:t>
      </w:r>
      <w:r w:rsidR="002A3D79">
        <w:t xml:space="preserve"> on Compass</w:t>
      </w:r>
      <w:r w:rsidR="00185145">
        <w:t xml:space="preserve"> register</w:t>
      </w:r>
    </w:p>
    <w:p w14:paraId="44F9F905" w14:textId="783C2823" w:rsidR="00CF1184" w:rsidRPr="00595FE6" w:rsidRDefault="00CF1184" w:rsidP="00D9246A">
      <w:pPr>
        <w:spacing w:line="240" w:lineRule="auto"/>
        <w:rPr>
          <w:rFonts w:cs="Arial"/>
          <w:color w:val="000000" w:themeColor="text1"/>
          <w:szCs w:val="24"/>
        </w:rPr>
      </w:pPr>
      <w:r w:rsidRPr="00595FE6">
        <w:rPr>
          <w:rFonts w:cs="Arial"/>
          <w:color w:val="000000" w:themeColor="text1"/>
          <w:szCs w:val="24"/>
        </w:rPr>
        <w:t>Parent/carer questionnaires, completed by 1,282 parent carers in 2023/24 in Brighton &amp; Hove and East Sussex, show</w:t>
      </w:r>
      <w:r>
        <w:rPr>
          <w:rFonts w:cs="Arial"/>
          <w:color w:val="000000" w:themeColor="text1"/>
          <w:szCs w:val="24"/>
        </w:rPr>
        <w:t xml:space="preserve"> the significant impact of caring for a child or young with </w:t>
      </w:r>
      <w:r>
        <w:rPr>
          <w:rFonts w:cs="Arial"/>
          <w:color w:val="000000" w:themeColor="text1"/>
          <w:szCs w:val="24"/>
        </w:rPr>
        <w:lastRenderedPageBreak/>
        <w:t xml:space="preserve">SEN or disabilities. Parents and carers reported financial difficulties, poor sleep,  </w:t>
      </w:r>
      <w:r w:rsidR="00C91217">
        <w:rPr>
          <w:noProof/>
        </w:rPr>
        <mc:AlternateContent>
          <mc:Choice Requires="wpg">
            <w:drawing>
              <wp:anchor distT="45720" distB="45720" distL="182880" distR="182880" simplePos="0" relativeHeight="251658242" behindDoc="0" locked="0" layoutInCell="1" allowOverlap="1" wp14:anchorId="4C732C6C" wp14:editId="41C08FC3">
                <wp:simplePos x="0" y="0"/>
                <wp:positionH relativeFrom="margin">
                  <wp:posOffset>4445</wp:posOffset>
                </wp:positionH>
                <wp:positionV relativeFrom="margin">
                  <wp:posOffset>499110</wp:posOffset>
                </wp:positionV>
                <wp:extent cx="6162675" cy="5972175"/>
                <wp:effectExtent l="19050" t="19050" r="28575" b="28575"/>
                <wp:wrapTopAndBottom/>
                <wp:docPr id="2133238931" name="Group 64"/>
                <wp:cNvGraphicFramePr/>
                <a:graphic xmlns:a="http://schemas.openxmlformats.org/drawingml/2006/main">
                  <a:graphicData uri="http://schemas.microsoft.com/office/word/2010/wordprocessingGroup">
                    <wpg:wgp>
                      <wpg:cNvGrpSpPr/>
                      <wpg:grpSpPr>
                        <a:xfrm>
                          <a:off x="0" y="0"/>
                          <a:ext cx="6162675" cy="5972175"/>
                          <a:chOff x="-41209" y="157322"/>
                          <a:chExt cx="3920660" cy="6752332"/>
                        </a:xfrm>
                      </wpg:grpSpPr>
                      <wps:wsp>
                        <wps:cNvPr id="2034416545" name="Rectangle 2034416545"/>
                        <wps:cNvSpPr/>
                        <wps:spPr>
                          <a:xfrm>
                            <a:off x="-41209" y="157322"/>
                            <a:ext cx="3920660" cy="569116"/>
                          </a:xfrm>
                          <a:prstGeom prst="rect">
                            <a:avLst/>
                          </a:prstGeom>
                          <a:solidFill>
                            <a:srgbClr val="A65588"/>
                          </a:solidFill>
                          <a:ln w="28575">
                            <a:solidFill>
                              <a:srgbClr val="A6558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82828F" w14:textId="245AD422" w:rsidR="00C91217" w:rsidRDefault="00C91217" w:rsidP="00C91217">
                              <w:pPr>
                                <w:rPr>
                                  <w:rFonts w:asciiTheme="majorHAnsi" w:eastAsiaTheme="majorEastAsia" w:hAnsiTheme="majorHAnsi" w:cstheme="majorBidi"/>
                                  <w:color w:val="FFFFFF" w:themeColor="background1"/>
                                  <w:szCs w:val="24"/>
                                </w:rPr>
                              </w:pPr>
                              <w:r w:rsidRPr="00C91217">
                                <w:rPr>
                                  <w:b/>
                                  <w:bCs/>
                                </w:rPr>
                                <w:t xml:space="preserve">Parents and carers </w:t>
                              </w:r>
                              <w:r>
                                <w:rPr>
                                  <w:b/>
                                  <w:bCs/>
                                </w:rPr>
                                <w:t xml:space="preserve">responses to the Amaze survey </w:t>
                              </w:r>
                              <w:r w:rsidRPr="00C91217">
                                <w:rPr>
                                  <w:b/>
                                  <w:bCs/>
                                </w:rPr>
                                <w:t>reported financial difficulties, poor sleep, impacts on physical and mental health and wellbeing and social isolation: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5373843" name="Text Box 665373843"/>
                        <wps:cNvSpPr txBox="1"/>
                        <wps:spPr>
                          <a:xfrm>
                            <a:off x="-41209" y="726400"/>
                            <a:ext cx="3920660" cy="6183254"/>
                          </a:xfrm>
                          <a:prstGeom prst="rect">
                            <a:avLst/>
                          </a:prstGeom>
                          <a:noFill/>
                          <a:ln w="28575">
                            <a:solidFill>
                              <a:srgbClr val="A65588"/>
                            </a:solidFill>
                          </a:ln>
                          <a:effectLst/>
                        </wps:spPr>
                        <wps:style>
                          <a:lnRef idx="0">
                            <a:schemeClr val="accent1"/>
                          </a:lnRef>
                          <a:fillRef idx="0">
                            <a:schemeClr val="accent1"/>
                          </a:fillRef>
                          <a:effectRef idx="0">
                            <a:schemeClr val="accent1"/>
                          </a:effectRef>
                          <a:fontRef idx="minor">
                            <a:schemeClr val="dk1"/>
                          </a:fontRef>
                        </wps:style>
                        <wps:txbx>
                          <w:txbxContent>
                            <w:p w14:paraId="3104564F"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95FE6">
                                <w:rPr>
                                  <w:rFonts w:cs="Arial"/>
                                  <w:color w:val="000000" w:themeColor="text1"/>
                                  <w:szCs w:val="24"/>
                                </w:rPr>
                                <w:t xml:space="preserve">36% of </w:t>
                              </w:r>
                              <w:r w:rsidRPr="00562B5B">
                                <w:rPr>
                                  <w:rFonts w:cs="Arial"/>
                                  <w:bCs/>
                                  <w:color w:val="000000" w:themeColor="text1"/>
                                  <w:szCs w:val="24"/>
                                </w:rPr>
                                <w:t>parent carers were single parent households</w:t>
                              </w:r>
                            </w:p>
                            <w:p w14:paraId="0E6FF2D0"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6% stated that another language was spoken at home (this might be in combination with English or several languages)</w:t>
                              </w:r>
                            </w:p>
                            <w:p w14:paraId="77C2CE6E"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One in five parent carers (21%) spend 100 hours or more per week caring – with over one in three (36%) caring for 50 hours or more per week</w:t>
                              </w:r>
                            </w:p>
                            <w:p w14:paraId="07764CFF"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One in three parent carers (33%) said they never have time away from their caring role, with a</w:t>
                              </w:r>
                              <w:r>
                                <w:rPr>
                                  <w:rFonts w:cs="Arial"/>
                                  <w:bCs/>
                                  <w:color w:val="000000" w:themeColor="text1"/>
                                  <w:szCs w:val="24"/>
                                </w:rPr>
                                <w:t xml:space="preserve"> further</w:t>
                              </w:r>
                              <w:r w:rsidRPr="00562B5B">
                                <w:rPr>
                                  <w:rFonts w:cs="Arial"/>
                                  <w:bCs/>
                                  <w:color w:val="000000" w:themeColor="text1"/>
                                  <w:szCs w:val="24"/>
                                </w:rPr>
                                <w:t xml:space="preserve"> one in five (21%) not having had a break in the last year</w:t>
                              </w:r>
                            </w:p>
                            <w:p w14:paraId="60749000"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Two in three parent carers (65%) do not usually get a good night’s sleep</w:t>
                              </w:r>
                            </w:p>
                            <w:p w14:paraId="72C54722"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 xml:space="preserve">93% of parent carers had not been offered a Carer’s Assessment in the last </w:t>
                              </w:r>
                              <w:r>
                                <w:rPr>
                                  <w:rFonts w:cs="Arial"/>
                                  <w:bCs/>
                                  <w:color w:val="000000" w:themeColor="text1"/>
                                  <w:szCs w:val="24"/>
                                </w:rPr>
                                <w:t>year</w:t>
                              </w:r>
                              <w:r w:rsidRPr="00562B5B">
                                <w:rPr>
                                  <w:rFonts w:cs="Arial"/>
                                  <w:bCs/>
                                  <w:color w:val="000000" w:themeColor="text1"/>
                                  <w:szCs w:val="24"/>
                                </w:rPr>
                                <w:t xml:space="preserve"> </w:t>
                              </w:r>
                            </w:p>
                            <w:p w14:paraId="1546DC37"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Almost one in three parent carers (31%) have a carer’s card</w:t>
                              </w:r>
                            </w:p>
                            <w:p w14:paraId="5A7ADD01"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One in four parent carers (24%) said that they have little or no social contact with people they like and that they feel socially isolated</w:t>
                              </w:r>
                            </w:p>
                            <w:p w14:paraId="367D63F4"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Over one in three parent carers (35%) have experienced physical ill-health due to their caring role</w:t>
                              </w:r>
                            </w:p>
                            <w:p w14:paraId="03705366"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Half of parent carers (51%) have experienced mental ill-health as a result of their caring role (e.g. depression or stress-related condition)</w:t>
                              </w:r>
                            </w:p>
                            <w:p w14:paraId="073C15AC" w14:textId="77777777" w:rsidR="00C91217" w:rsidRPr="00562B5B" w:rsidRDefault="00C91217" w:rsidP="009858E3">
                              <w:pPr>
                                <w:pStyle w:val="ListParagraph"/>
                                <w:numPr>
                                  <w:ilvl w:val="0"/>
                                  <w:numId w:val="33"/>
                                </w:numPr>
                                <w:ind w:left="357" w:hanging="357"/>
                                <w:rPr>
                                  <w:rFonts w:cs="Arial"/>
                                  <w:bCs/>
                                  <w:color w:val="000000" w:themeColor="text1"/>
                                  <w:szCs w:val="24"/>
                                </w:rPr>
                              </w:pPr>
                              <w:r>
                                <w:rPr>
                                  <w:rFonts w:cs="Arial"/>
                                  <w:bCs/>
                                  <w:color w:val="000000" w:themeColor="text1"/>
                                  <w:szCs w:val="24"/>
                                </w:rPr>
                                <w:t>O</w:t>
                              </w:r>
                              <w:r w:rsidRPr="00562B5B">
                                <w:rPr>
                                  <w:rFonts w:cs="Arial"/>
                                  <w:bCs/>
                                  <w:color w:val="000000" w:themeColor="text1"/>
                                  <w:szCs w:val="24"/>
                                </w:rPr>
                                <w:t>ne in three parent carers (35%) have a disability, learning difficulty or long-term health problem themselves - 27% of these parent carers are in receipt of Disability Living Allowance (DLA) or Personal Independence Payment (PIP) for themselves</w:t>
                              </w:r>
                            </w:p>
                            <w:p w14:paraId="27182201"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One in four (25%) are in receipt of Universal Credit, Employment and Support Allowance (ESA) or tax credits, with 27% of households relying entirely on benefits</w:t>
                              </w:r>
                            </w:p>
                            <w:p w14:paraId="220F5880"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Over two in three parent carers (71%) either do not work</w:t>
                              </w:r>
                              <w:r>
                                <w:rPr>
                                  <w:rFonts w:cs="Arial"/>
                                  <w:bCs/>
                                  <w:color w:val="000000" w:themeColor="text1"/>
                                  <w:szCs w:val="24"/>
                                </w:rPr>
                                <w:t>,</w:t>
                              </w:r>
                              <w:r w:rsidRPr="00562B5B">
                                <w:rPr>
                                  <w:rFonts w:cs="Arial"/>
                                  <w:bCs/>
                                  <w:color w:val="000000" w:themeColor="text1"/>
                                  <w:szCs w:val="24"/>
                                </w:rPr>
                                <w:t xml:space="preserve"> have reduced their hours or the seniority of their work role due to their caring responsibilities</w:t>
                              </w:r>
                            </w:p>
                            <w:p w14:paraId="060C13DC" w14:textId="38474ADA" w:rsidR="00C91217" w:rsidRPr="004F5BB5" w:rsidRDefault="00C91217" w:rsidP="009858E3">
                              <w:pPr>
                                <w:pStyle w:val="ListParagraph"/>
                                <w:numPr>
                                  <w:ilvl w:val="0"/>
                                  <w:numId w:val="33"/>
                                </w:numPr>
                                <w:ind w:left="357" w:hanging="357"/>
                                <w:rPr>
                                  <w:rFonts w:cs="Arial"/>
                                  <w:color w:val="000000" w:themeColor="text1"/>
                                  <w:szCs w:val="24"/>
                                </w:rPr>
                              </w:pPr>
                              <w:r w:rsidRPr="00C91217">
                                <w:rPr>
                                  <w:rFonts w:cs="Arial"/>
                                  <w:bCs/>
                                  <w:color w:val="000000" w:themeColor="text1"/>
                                  <w:szCs w:val="24"/>
                                </w:rPr>
                                <w:t>Almost one in five</w:t>
                              </w:r>
                              <w:r w:rsidRPr="00C91217">
                                <w:rPr>
                                  <w:rFonts w:cs="Arial"/>
                                  <w:color w:val="000000" w:themeColor="text1"/>
                                  <w:szCs w:val="24"/>
                                </w:rPr>
                                <w:t xml:space="preserve"> (18%) responded yes to “Do you ever reduce the size of your meals or skip meals for the family because there isn’t enough money for food?”</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732C6C" id="_x0000_s1029" style="position:absolute;margin-left:.35pt;margin-top:39.3pt;width:485.25pt;height:470.25pt;z-index:251658242;mso-wrap-distance-left:14.4pt;mso-wrap-distance-top:3.6pt;mso-wrap-distance-right:14.4pt;mso-wrap-distance-bottom:3.6pt;mso-position-horizontal-relative:margin;mso-position-vertical-relative:margin;mso-width-relative:margin;mso-height-relative:margin" coordorigin="-412,1573" coordsize="39206,67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">
                <v:rect id="Rectangle 2034416545" o:spid="_x0000_s1030" style="position:absolute;left:-412;top:1573;width:39206;height:5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" fillcolor="#a65588" strokecolor="#a65588" strokeweight="2.25pt">
                  <v:textbox>
                    <w:txbxContent>
                      <w:p w14:paraId="0382828F" w14:textId="245AD422" w:rsidR="00C91217" w:rsidRDefault="00C91217" w:rsidP="00C91217">
                        <w:pPr>
                          <w:rPr>
                            <w:rFonts w:asciiTheme="majorHAnsi" w:eastAsiaTheme="majorEastAsia" w:hAnsiTheme="majorHAnsi" w:cstheme="majorBidi"/>
                            <w:color w:val="FFFFFF" w:themeColor="background1"/>
                            <w:szCs w:val="24"/>
                          </w:rPr>
                        </w:pPr>
                        <w:r w:rsidRPr="00C91217">
                          <w:rPr>
                            <w:b/>
                            <w:bCs/>
                          </w:rPr>
                          <w:t xml:space="preserve">Parents and carers </w:t>
                        </w:r>
                        <w:r>
                          <w:rPr>
                            <w:b/>
                            <w:bCs/>
                          </w:rPr>
                          <w:t xml:space="preserve">responses to the Amaze survey </w:t>
                        </w:r>
                        <w:r w:rsidRPr="00C91217">
                          <w:rPr>
                            <w:b/>
                            <w:bCs/>
                          </w:rPr>
                          <w:t>reported financial difficulties, poor sleep, impacts on physical and mental health and wellbeing and social isolation:</w:t>
                        </w:r>
                      </w:p>
                    </w:txbxContent>
                  </v:textbox>
                </v:rect>
                <v:shape id="Text Box 665373843" o:spid="_x0000_s1031" type="#_x0000_t202" style="position:absolute;left:-412;top:7264;width:39206;height:61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" filled="f" strokecolor="#a65588" strokeweight="2.25pt">
                  <v:textbox inset=",7.2pt,,0">
                    <w:txbxContent>
                      <w:p w14:paraId="3104564F"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95FE6">
                          <w:rPr>
                            <w:rFonts w:cs="Arial"/>
                            <w:color w:val="000000" w:themeColor="text1"/>
                            <w:szCs w:val="24"/>
                          </w:rPr>
                          <w:t xml:space="preserve">36% of </w:t>
                        </w:r>
                        <w:r w:rsidRPr="00562B5B">
                          <w:rPr>
                            <w:rFonts w:cs="Arial"/>
                            <w:bCs/>
                            <w:color w:val="000000" w:themeColor="text1"/>
                            <w:szCs w:val="24"/>
                          </w:rPr>
                          <w:t>parent carers were single parent households</w:t>
                        </w:r>
                      </w:p>
                      <w:p w14:paraId="0E6FF2D0"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6% stated that another language was spoken at home (this might be in combination with English or several languages)</w:t>
                        </w:r>
                      </w:p>
                      <w:p w14:paraId="77C2CE6E"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One in five parent carers (21%) spend 100 hours or more per week caring – with over one in three (36%) caring for 50 hours or more per week</w:t>
                        </w:r>
                      </w:p>
                      <w:p w14:paraId="07764CFF"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One in three parent carers (33%) said they never have time away from their caring role, with a</w:t>
                        </w:r>
                        <w:r>
                          <w:rPr>
                            <w:rFonts w:cs="Arial"/>
                            <w:bCs/>
                            <w:color w:val="000000" w:themeColor="text1"/>
                            <w:szCs w:val="24"/>
                          </w:rPr>
                          <w:t xml:space="preserve"> further</w:t>
                        </w:r>
                        <w:r w:rsidRPr="00562B5B">
                          <w:rPr>
                            <w:rFonts w:cs="Arial"/>
                            <w:bCs/>
                            <w:color w:val="000000" w:themeColor="text1"/>
                            <w:szCs w:val="24"/>
                          </w:rPr>
                          <w:t xml:space="preserve"> one in five (21%) not having had a break in the last year</w:t>
                        </w:r>
                      </w:p>
                      <w:p w14:paraId="60749000"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Two in three parent carers (65%) do not usually get a good night’s sleep</w:t>
                        </w:r>
                      </w:p>
                      <w:p w14:paraId="72C54722"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 xml:space="preserve">93% of parent carers had not been offered a Carer’s Assessment in the last </w:t>
                        </w:r>
                        <w:r>
                          <w:rPr>
                            <w:rFonts w:cs="Arial"/>
                            <w:bCs/>
                            <w:color w:val="000000" w:themeColor="text1"/>
                            <w:szCs w:val="24"/>
                          </w:rPr>
                          <w:t>year</w:t>
                        </w:r>
                        <w:r w:rsidRPr="00562B5B">
                          <w:rPr>
                            <w:rFonts w:cs="Arial"/>
                            <w:bCs/>
                            <w:color w:val="000000" w:themeColor="text1"/>
                            <w:szCs w:val="24"/>
                          </w:rPr>
                          <w:t xml:space="preserve"> </w:t>
                        </w:r>
                      </w:p>
                      <w:p w14:paraId="1546DC37"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Almost one in three parent carers (31%) have a carer’s card</w:t>
                        </w:r>
                      </w:p>
                      <w:p w14:paraId="5A7ADD01"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One in four parent carers (24%) said that they have little or no social contact with people they like and that they feel socially isolated</w:t>
                        </w:r>
                      </w:p>
                      <w:p w14:paraId="367D63F4"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Over one in three parent carers (35%) have experienced physical ill-health due to their caring role</w:t>
                        </w:r>
                      </w:p>
                      <w:p w14:paraId="03705366"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Half of parent carers (51%) have experienced mental ill-health as a result of their caring role (e.g. depression or stress-related condition)</w:t>
                        </w:r>
                      </w:p>
                      <w:p w14:paraId="073C15AC" w14:textId="77777777" w:rsidR="00C91217" w:rsidRPr="00562B5B" w:rsidRDefault="00C91217" w:rsidP="009858E3">
                        <w:pPr>
                          <w:pStyle w:val="ListParagraph"/>
                          <w:numPr>
                            <w:ilvl w:val="0"/>
                            <w:numId w:val="33"/>
                          </w:numPr>
                          <w:ind w:left="357" w:hanging="357"/>
                          <w:rPr>
                            <w:rFonts w:cs="Arial"/>
                            <w:bCs/>
                            <w:color w:val="000000" w:themeColor="text1"/>
                            <w:szCs w:val="24"/>
                          </w:rPr>
                        </w:pPr>
                        <w:r>
                          <w:rPr>
                            <w:rFonts w:cs="Arial"/>
                            <w:bCs/>
                            <w:color w:val="000000" w:themeColor="text1"/>
                            <w:szCs w:val="24"/>
                          </w:rPr>
                          <w:t>O</w:t>
                        </w:r>
                        <w:r w:rsidRPr="00562B5B">
                          <w:rPr>
                            <w:rFonts w:cs="Arial"/>
                            <w:bCs/>
                            <w:color w:val="000000" w:themeColor="text1"/>
                            <w:szCs w:val="24"/>
                          </w:rPr>
                          <w:t>ne in three parent carers (35%) have a disability, learning difficulty or long-term health problem themselves - 27% of these parent carers are in receipt of Disability Living Allowance (DLA) or Personal Independence Payment (PIP) for themselves</w:t>
                        </w:r>
                      </w:p>
                      <w:p w14:paraId="27182201"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One in four (25%) are in receipt of Universal Credit, Employment and Support Allowance (ESA) or tax credits, with 27% of households relying entirely on benefits</w:t>
                        </w:r>
                      </w:p>
                      <w:p w14:paraId="220F5880" w14:textId="77777777" w:rsidR="00C91217" w:rsidRPr="00562B5B" w:rsidRDefault="00C91217" w:rsidP="009858E3">
                        <w:pPr>
                          <w:pStyle w:val="ListParagraph"/>
                          <w:numPr>
                            <w:ilvl w:val="0"/>
                            <w:numId w:val="33"/>
                          </w:numPr>
                          <w:ind w:left="357" w:hanging="357"/>
                          <w:rPr>
                            <w:rFonts w:cs="Arial"/>
                            <w:bCs/>
                            <w:color w:val="000000" w:themeColor="text1"/>
                            <w:szCs w:val="24"/>
                          </w:rPr>
                        </w:pPr>
                        <w:r w:rsidRPr="00562B5B">
                          <w:rPr>
                            <w:rFonts w:cs="Arial"/>
                            <w:bCs/>
                            <w:color w:val="000000" w:themeColor="text1"/>
                            <w:szCs w:val="24"/>
                          </w:rPr>
                          <w:t>Over two in three parent carers (71%) either do not work</w:t>
                        </w:r>
                        <w:r>
                          <w:rPr>
                            <w:rFonts w:cs="Arial"/>
                            <w:bCs/>
                            <w:color w:val="000000" w:themeColor="text1"/>
                            <w:szCs w:val="24"/>
                          </w:rPr>
                          <w:t>,</w:t>
                        </w:r>
                        <w:r w:rsidRPr="00562B5B">
                          <w:rPr>
                            <w:rFonts w:cs="Arial"/>
                            <w:bCs/>
                            <w:color w:val="000000" w:themeColor="text1"/>
                            <w:szCs w:val="24"/>
                          </w:rPr>
                          <w:t xml:space="preserve"> have reduced their hours or the seniority of their work role due to their caring responsibilities</w:t>
                        </w:r>
                      </w:p>
                      <w:p w14:paraId="060C13DC" w14:textId="38474ADA" w:rsidR="00C91217" w:rsidRPr="004F5BB5" w:rsidRDefault="00C91217" w:rsidP="009858E3">
                        <w:pPr>
                          <w:pStyle w:val="ListParagraph"/>
                          <w:numPr>
                            <w:ilvl w:val="0"/>
                            <w:numId w:val="33"/>
                          </w:numPr>
                          <w:ind w:left="357" w:hanging="357"/>
                          <w:rPr>
                            <w:rFonts w:cs="Arial"/>
                            <w:color w:val="000000" w:themeColor="text1"/>
                            <w:szCs w:val="24"/>
                          </w:rPr>
                        </w:pPr>
                        <w:r w:rsidRPr="00C91217">
                          <w:rPr>
                            <w:rFonts w:cs="Arial"/>
                            <w:bCs/>
                            <w:color w:val="000000" w:themeColor="text1"/>
                            <w:szCs w:val="24"/>
                          </w:rPr>
                          <w:t>Almost one in five</w:t>
                        </w:r>
                        <w:r w:rsidRPr="00C91217">
                          <w:rPr>
                            <w:rFonts w:cs="Arial"/>
                            <w:color w:val="000000" w:themeColor="text1"/>
                            <w:szCs w:val="24"/>
                          </w:rPr>
                          <w:t xml:space="preserve"> (18%) responded yes to “Do you ever reduce the size of your meals or skip meals for the family because there isn’t enough money for food?”</w:t>
                        </w:r>
                      </w:p>
                    </w:txbxContent>
                  </v:textbox>
                </v:shape>
                <w10:wrap type="topAndBottom" anchorx="margin" anchory="margin"/>
              </v:group>
            </w:pict>
          </mc:Fallback>
        </mc:AlternateContent>
      </w:r>
      <w:r>
        <w:rPr>
          <w:rFonts w:cs="Arial"/>
          <w:color w:val="000000" w:themeColor="text1"/>
          <w:szCs w:val="24"/>
        </w:rPr>
        <w:t>impacts on physical and mental health and wellbeing and social isolation</w:t>
      </w:r>
      <w:r w:rsidR="00C91217">
        <w:rPr>
          <w:rFonts w:cs="Arial"/>
          <w:color w:val="000000" w:themeColor="text1"/>
          <w:szCs w:val="24"/>
        </w:rPr>
        <w:t>:</w:t>
      </w:r>
    </w:p>
    <w:p w14:paraId="301340FF" w14:textId="71AB0332" w:rsidR="00D86E33" w:rsidRPr="00595FE6" w:rsidRDefault="00D86E33" w:rsidP="0096012C">
      <w:pPr>
        <w:pStyle w:val="Heading3"/>
      </w:pPr>
      <w:r w:rsidRPr="00595FE6">
        <w:t xml:space="preserve">Children </w:t>
      </w:r>
      <w:r>
        <w:t>supported by</w:t>
      </w:r>
      <w:r w:rsidRPr="00595FE6">
        <w:t xml:space="preserve"> </w:t>
      </w:r>
      <w:r>
        <w:t>S</w:t>
      </w:r>
      <w:r w:rsidRPr="00595FE6">
        <w:t xml:space="preserve">ocial </w:t>
      </w:r>
      <w:r>
        <w:t>C</w:t>
      </w:r>
      <w:r w:rsidRPr="00595FE6">
        <w:t>are</w:t>
      </w:r>
    </w:p>
    <w:p w14:paraId="6DB1362C" w14:textId="291453ED" w:rsidR="00D86E33" w:rsidRDefault="00D86E33" w:rsidP="00D9246A">
      <w:pPr>
        <w:spacing w:line="240" w:lineRule="auto"/>
        <w:rPr>
          <w:rFonts w:cs="Arial"/>
          <w:szCs w:val="24"/>
        </w:rPr>
      </w:pPr>
      <w:r>
        <w:rPr>
          <w:rFonts w:cs="Arial"/>
          <w:szCs w:val="24"/>
        </w:rPr>
        <w:t>Children’s Social Care (CSC) exists to support children and families to keep children safe and intervene if there is a risk of harm and provide care for those who need it. There are three groups of children that fall under CSC:</w:t>
      </w:r>
    </w:p>
    <w:p w14:paraId="42783763" w14:textId="1C32F4C8" w:rsidR="00D86E33" w:rsidRPr="00562B5B" w:rsidRDefault="00D86E33" w:rsidP="009858E3">
      <w:pPr>
        <w:pStyle w:val="ListParagraph"/>
        <w:numPr>
          <w:ilvl w:val="0"/>
          <w:numId w:val="35"/>
        </w:numPr>
        <w:spacing w:line="240" w:lineRule="auto"/>
        <w:rPr>
          <w:rFonts w:cs="Arial"/>
          <w:color w:val="000000" w:themeColor="text1"/>
          <w:szCs w:val="24"/>
        </w:rPr>
      </w:pPr>
      <w:r>
        <w:rPr>
          <w:rFonts w:cs="Arial"/>
          <w:szCs w:val="24"/>
        </w:rPr>
        <w:t>C</w:t>
      </w:r>
      <w:r w:rsidRPr="00457922">
        <w:rPr>
          <w:rFonts w:cs="Arial"/>
          <w:szCs w:val="24"/>
        </w:rPr>
        <w:t>hildren in need (</w:t>
      </w:r>
      <w:proofErr w:type="spellStart"/>
      <w:r w:rsidRPr="00457922">
        <w:rPr>
          <w:rFonts w:cs="Arial"/>
          <w:szCs w:val="24"/>
        </w:rPr>
        <w:t>CiN</w:t>
      </w:r>
      <w:proofErr w:type="spellEnd"/>
      <w:r w:rsidRPr="00457922">
        <w:rPr>
          <w:rFonts w:cs="Arial"/>
          <w:szCs w:val="24"/>
        </w:rPr>
        <w:t>, including children formerly in need)</w:t>
      </w:r>
      <w:r>
        <w:rPr>
          <w:rFonts w:cs="Arial"/>
          <w:szCs w:val="24"/>
        </w:rPr>
        <w:t xml:space="preserve"> – c</w:t>
      </w:r>
      <w:r w:rsidRPr="00A568F0">
        <w:rPr>
          <w:rFonts w:cs="Arial"/>
          <w:szCs w:val="24"/>
        </w:rPr>
        <w:t>h</w:t>
      </w:r>
      <w:r>
        <w:rPr>
          <w:rFonts w:cs="Arial"/>
          <w:szCs w:val="24"/>
        </w:rPr>
        <w:t xml:space="preserve">ildren that </w:t>
      </w:r>
      <w:r w:rsidRPr="00A568F0">
        <w:rPr>
          <w:rFonts w:cs="Arial"/>
          <w:szCs w:val="24"/>
        </w:rPr>
        <w:t xml:space="preserve">require </w:t>
      </w:r>
      <w:r w:rsidRPr="00562B5B">
        <w:rPr>
          <w:rFonts w:cs="Arial"/>
          <w:color w:val="000000" w:themeColor="text1"/>
          <w:szCs w:val="24"/>
        </w:rPr>
        <w:t>additional help from CSC services to support or maintain their health and well-being and/or who are disabled</w:t>
      </w:r>
    </w:p>
    <w:p w14:paraId="18F19F1E" w14:textId="29EABFF7" w:rsidR="00D86E33" w:rsidRPr="00562B5B" w:rsidRDefault="00D86E33" w:rsidP="009858E3">
      <w:pPr>
        <w:pStyle w:val="ListParagraph"/>
        <w:numPr>
          <w:ilvl w:val="0"/>
          <w:numId w:val="35"/>
        </w:numPr>
        <w:spacing w:line="240" w:lineRule="auto"/>
        <w:rPr>
          <w:rFonts w:cs="Arial"/>
          <w:color w:val="000000" w:themeColor="text1"/>
          <w:szCs w:val="24"/>
        </w:rPr>
      </w:pPr>
      <w:r w:rsidRPr="00562B5B">
        <w:rPr>
          <w:rFonts w:cs="Arial"/>
          <w:color w:val="000000" w:themeColor="text1"/>
          <w:szCs w:val="24"/>
        </w:rPr>
        <w:t>Child protection plans (CPPs, those on or formerly on child protections plans) - a plan is as a result of local authority child protection investigations, where a child is known or suspected to be suffering or at risk of suffering significant harm</w:t>
      </w:r>
    </w:p>
    <w:p w14:paraId="087206B0" w14:textId="2DD33F5F" w:rsidR="00D86E33" w:rsidRPr="00457922" w:rsidRDefault="00D86E33" w:rsidP="009858E3">
      <w:pPr>
        <w:pStyle w:val="ListParagraph"/>
        <w:numPr>
          <w:ilvl w:val="0"/>
          <w:numId w:val="35"/>
        </w:numPr>
        <w:spacing w:line="240" w:lineRule="auto"/>
        <w:rPr>
          <w:rFonts w:cs="Arial"/>
          <w:szCs w:val="24"/>
        </w:rPr>
      </w:pPr>
      <w:r w:rsidRPr="00562B5B">
        <w:rPr>
          <w:rFonts w:cs="Arial"/>
          <w:color w:val="000000" w:themeColor="text1"/>
          <w:szCs w:val="24"/>
        </w:rPr>
        <w:t>Children looked after (CLA, including children formerly looked after) – children who live away</w:t>
      </w:r>
      <w:r>
        <w:rPr>
          <w:rFonts w:cs="Arial"/>
          <w:szCs w:val="24"/>
        </w:rPr>
        <w:t xml:space="preserve"> from their family. </w:t>
      </w:r>
    </w:p>
    <w:p w14:paraId="197737AD" w14:textId="569E090C" w:rsidR="00D86E33" w:rsidRPr="00477D61" w:rsidRDefault="00D86E33" w:rsidP="00D9246A">
      <w:pPr>
        <w:spacing w:line="240" w:lineRule="auto"/>
        <w:rPr>
          <w:rFonts w:cs="Arial"/>
          <w:b/>
          <w:color w:val="0079C2"/>
          <w:szCs w:val="24"/>
        </w:rPr>
      </w:pPr>
      <w:r w:rsidRPr="00477D61">
        <w:rPr>
          <w:rFonts w:cs="Arial"/>
          <w:b/>
          <w:color w:val="0079C2"/>
          <w:szCs w:val="24"/>
        </w:rPr>
        <w:t xml:space="preserve">Children in Need excluding children on </w:t>
      </w:r>
      <w:bookmarkStart w:id="196" w:name="_Hlk218072938"/>
      <w:r w:rsidRPr="00477D61">
        <w:rPr>
          <w:rFonts w:cs="Arial"/>
          <w:b/>
          <w:color w:val="0079C2"/>
          <w:szCs w:val="24"/>
        </w:rPr>
        <w:t xml:space="preserve">a child protection plan and children looked after </w:t>
      </w:r>
      <w:bookmarkEnd w:id="196"/>
      <w:r w:rsidRPr="00477D61">
        <w:rPr>
          <w:rFonts w:cs="Arial"/>
          <w:b/>
          <w:color w:val="0079C2"/>
          <w:szCs w:val="24"/>
        </w:rPr>
        <w:t>(</w:t>
      </w:r>
      <w:proofErr w:type="spellStart"/>
      <w:r w:rsidRPr="00477D61">
        <w:rPr>
          <w:rFonts w:cs="Arial"/>
          <w:b/>
          <w:color w:val="0079C2"/>
          <w:szCs w:val="24"/>
        </w:rPr>
        <w:t>C</w:t>
      </w:r>
      <w:r w:rsidR="00F66C3A" w:rsidRPr="00477D61">
        <w:rPr>
          <w:rFonts w:cs="Arial"/>
          <w:b/>
          <w:color w:val="0079C2"/>
          <w:szCs w:val="24"/>
        </w:rPr>
        <w:t>i</w:t>
      </w:r>
      <w:r w:rsidRPr="00477D61">
        <w:rPr>
          <w:rFonts w:cs="Arial"/>
          <w:b/>
          <w:color w:val="0079C2"/>
          <w:szCs w:val="24"/>
        </w:rPr>
        <w:t>NO</w:t>
      </w:r>
      <w:proofErr w:type="spellEnd"/>
      <w:r w:rsidRPr="00477D61">
        <w:rPr>
          <w:rFonts w:cs="Arial"/>
          <w:b/>
          <w:color w:val="0079C2"/>
          <w:szCs w:val="24"/>
        </w:rPr>
        <w:t xml:space="preserve">) </w:t>
      </w:r>
    </w:p>
    <w:p w14:paraId="5CE9B9DE" w14:textId="630D5A2E" w:rsidR="00674E7A" w:rsidRDefault="00EF473D" w:rsidP="00D9246A">
      <w:pPr>
        <w:spacing w:line="240" w:lineRule="auto"/>
        <w:rPr>
          <w:rFonts w:cs="Arial"/>
          <w:szCs w:val="24"/>
        </w:rPr>
      </w:pPr>
      <w:r>
        <w:rPr>
          <w:rFonts w:cs="Arial"/>
          <w:szCs w:val="24"/>
        </w:rPr>
        <w:lastRenderedPageBreak/>
        <w:t>Overall,</w:t>
      </w:r>
      <w:r w:rsidR="00D50E0F">
        <w:rPr>
          <w:rFonts w:cs="Arial"/>
          <w:szCs w:val="24"/>
        </w:rPr>
        <w:t xml:space="preserve"> in </w:t>
      </w:r>
      <w:r w:rsidR="00E159B9">
        <w:rPr>
          <w:rFonts w:cs="Arial"/>
          <w:szCs w:val="24"/>
        </w:rPr>
        <w:t>Brighton &amp; Hove</w:t>
      </w:r>
      <w:r w:rsidR="00D50E0F">
        <w:rPr>
          <w:rFonts w:cs="Arial"/>
          <w:szCs w:val="24"/>
        </w:rPr>
        <w:t xml:space="preserve">, a greater proportion of children in need </w:t>
      </w:r>
      <w:r w:rsidR="00BF2E92">
        <w:rPr>
          <w:rFonts w:cs="Arial"/>
          <w:szCs w:val="24"/>
        </w:rPr>
        <w:t xml:space="preserve">have </w:t>
      </w:r>
      <w:r w:rsidR="00BC50E6">
        <w:rPr>
          <w:rFonts w:cs="Arial"/>
          <w:szCs w:val="24"/>
        </w:rPr>
        <w:t>EHC plan</w:t>
      </w:r>
      <w:r w:rsidR="008064A0">
        <w:rPr>
          <w:rFonts w:cs="Arial"/>
          <w:szCs w:val="24"/>
        </w:rPr>
        <w:t xml:space="preserve"> </w:t>
      </w:r>
      <w:r w:rsidR="00450CAC">
        <w:rPr>
          <w:rFonts w:cs="Arial"/>
          <w:szCs w:val="24"/>
        </w:rPr>
        <w:t xml:space="preserve">and SEN support </w:t>
      </w:r>
      <w:r w:rsidR="00BF2E92">
        <w:rPr>
          <w:rFonts w:cs="Arial"/>
          <w:szCs w:val="24"/>
        </w:rPr>
        <w:t xml:space="preserve">than </w:t>
      </w:r>
      <w:r w:rsidR="00B029DA">
        <w:rPr>
          <w:rFonts w:cs="Arial"/>
          <w:szCs w:val="24"/>
        </w:rPr>
        <w:t>in</w:t>
      </w:r>
      <w:r w:rsidR="00BF2E92">
        <w:rPr>
          <w:rFonts w:cs="Arial"/>
          <w:szCs w:val="24"/>
        </w:rPr>
        <w:t xml:space="preserve"> </w:t>
      </w:r>
      <w:r w:rsidR="00B029DA">
        <w:rPr>
          <w:rFonts w:cs="Arial"/>
          <w:szCs w:val="24"/>
        </w:rPr>
        <w:t xml:space="preserve">England </w:t>
      </w:r>
      <w:r w:rsidR="00DB1C8D">
        <w:rPr>
          <w:rFonts w:cs="Arial"/>
          <w:szCs w:val="24"/>
        </w:rPr>
        <w:t xml:space="preserve">and </w:t>
      </w:r>
      <w:r w:rsidR="00B029DA">
        <w:rPr>
          <w:rFonts w:cs="Arial"/>
          <w:szCs w:val="24"/>
        </w:rPr>
        <w:t>the South</w:t>
      </w:r>
      <w:r w:rsidR="00E159B9">
        <w:rPr>
          <w:rFonts w:cs="Arial"/>
          <w:szCs w:val="24"/>
        </w:rPr>
        <w:t>-</w:t>
      </w:r>
      <w:r w:rsidR="00B029DA">
        <w:rPr>
          <w:rFonts w:cs="Arial"/>
          <w:szCs w:val="24"/>
        </w:rPr>
        <w:t xml:space="preserve">East. Proportions in </w:t>
      </w:r>
      <w:r w:rsidR="00E159B9">
        <w:rPr>
          <w:rFonts w:cs="Arial"/>
          <w:szCs w:val="24"/>
        </w:rPr>
        <w:t>Brighton and Hove</w:t>
      </w:r>
      <w:r w:rsidR="00B029DA">
        <w:rPr>
          <w:rFonts w:cs="Arial"/>
          <w:szCs w:val="24"/>
        </w:rPr>
        <w:t xml:space="preserve"> increased </w:t>
      </w:r>
      <w:r w:rsidR="00B029DA" w:rsidRPr="00477D61">
        <w:rPr>
          <w:rFonts w:cs="Arial"/>
          <w:color w:val="000000" w:themeColor="text1"/>
        </w:rPr>
        <w:t>between</w:t>
      </w:r>
      <w:r w:rsidR="00B029DA">
        <w:rPr>
          <w:rFonts w:cs="Arial"/>
          <w:szCs w:val="24"/>
        </w:rPr>
        <w:t xml:space="preserve"> 2022/23 and 2023/24. </w:t>
      </w:r>
    </w:p>
    <w:p w14:paraId="0D9FA1FF" w14:textId="0F20159C" w:rsidR="00D86E33" w:rsidRDefault="00D86E33" w:rsidP="00D9246A">
      <w:pPr>
        <w:spacing w:line="240" w:lineRule="auto"/>
        <w:rPr>
          <w:rFonts w:cs="Arial"/>
          <w:szCs w:val="24"/>
        </w:rPr>
      </w:pPr>
      <w:r w:rsidRPr="00DB22FC">
        <w:rPr>
          <w:rFonts w:cs="Arial"/>
          <w:szCs w:val="24"/>
        </w:rPr>
        <w:t xml:space="preserve">In 2023/24, there were more </w:t>
      </w:r>
      <w:proofErr w:type="spellStart"/>
      <w:r w:rsidRPr="00DB22FC">
        <w:rPr>
          <w:rFonts w:cs="Arial"/>
          <w:szCs w:val="24"/>
        </w:rPr>
        <w:t>C</w:t>
      </w:r>
      <w:r w:rsidR="002E0580">
        <w:rPr>
          <w:rFonts w:cs="Arial"/>
          <w:szCs w:val="24"/>
        </w:rPr>
        <w:t>i</w:t>
      </w:r>
      <w:r w:rsidRPr="00DB22FC">
        <w:rPr>
          <w:rFonts w:cs="Arial"/>
          <w:szCs w:val="24"/>
        </w:rPr>
        <w:t>NO</w:t>
      </w:r>
      <w:proofErr w:type="spellEnd"/>
      <w:r w:rsidRPr="00DB22FC">
        <w:rPr>
          <w:rFonts w:cs="Arial"/>
          <w:szCs w:val="24"/>
        </w:rPr>
        <w:t xml:space="preserve"> on </w:t>
      </w:r>
      <w:r w:rsidR="002361E7">
        <w:rPr>
          <w:rFonts w:cs="Arial"/>
          <w:szCs w:val="24"/>
        </w:rPr>
        <w:t xml:space="preserve">an </w:t>
      </w:r>
      <w:r w:rsidRPr="00DB22FC">
        <w:rPr>
          <w:rFonts w:cs="Arial"/>
          <w:szCs w:val="24"/>
        </w:rPr>
        <w:t xml:space="preserve">EHC plan compared to SEN </w:t>
      </w:r>
      <w:r>
        <w:rPr>
          <w:rFonts w:cs="Arial"/>
          <w:szCs w:val="24"/>
        </w:rPr>
        <w:t>s</w:t>
      </w:r>
      <w:r w:rsidRPr="00DB22FC">
        <w:rPr>
          <w:rFonts w:cs="Arial"/>
          <w:szCs w:val="24"/>
        </w:rPr>
        <w:t xml:space="preserve">upport. </w:t>
      </w:r>
      <w:r w:rsidR="00597FDB">
        <w:rPr>
          <w:rFonts w:cs="Arial"/>
          <w:szCs w:val="24"/>
        </w:rPr>
        <w:t>In England, t</w:t>
      </w:r>
      <w:r>
        <w:rPr>
          <w:rFonts w:cs="Arial"/>
          <w:szCs w:val="24"/>
        </w:rPr>
        <w:t xml:space="preserve">here were 40,240 (30%) </w:t>
      </w:r>
      <w:proofErr w:type="spellStart"/>
      <w:r>
        <w:rPr>
          <w:rFonts w:cs="Arial"/>
          <w:szCs w:val="24"/>
        </w:rPr>
        <w:t>C</w:t>
      </w:r>
      <w:r w:rsidR="002E0580">
        <w:rPr>
          <w:rFonts w:cs="Arial"/>
          <w:szCs w:val="24"/>
        </w:rPr>
        <w:t>i</w:t>
      </w:r>
      <w:r>
        <w:rPr>
          <w:rFonts w:cs="Arial"/>
          <w:szCs w:val="24"/>
        </w:rPr>
        <w:t>NO</w:t>
      </w:r>
      <w:proofErr w:type="spellEnd"/>
      <w:r>
        <w:rPr>
          <w:rFonts w:cs="Arial"/>
          <w:szCs w:val="24"/>
        </w:rPr>
        <w:t xml:space="preserve"> with </w:t>
      </w:r>
      <w:r w:rsidR="00FE5125">
        <w:rPr>
          <w:rFonts w:cs="Arial"/>
          <w:szCs w:val="24"/>
        </w:rPr>
        <w:t xml:space="preserve">an </w:t>
      </w:r>
      <w:r>
        <w:rPr>
          <w:rFonts w:cs="Arial"/>
          <w:szCs w:val="24"/>
        </w:rPr>
        <w:t>EHC plan compared to 29,680 (22%) on SEN support. In the South-East region, th</w:t>
      </w:r>
      <w:r w:rsidR="004B7212">
        <w:rPr>
          <w:rFonts w:cs="Arial"/>
          <w:szCs w:val="24"/>
        </w:rPr>
        <w:t>ere</w:t>
      </w:r>
      <w:r>
        <w:rPr>
          <w:rFonts w:cs="Arial"/>
          <w:szCs w:val="24"/>
        </w:rPr>
        <w:t xml:space="preserve"> </w:t>
      </w:r>
      <w:r w:rsidR="004B7212">
        <w:rPr>
          <w:rFonts w:cs="Arial"/>
          <w:szCs w:val="24"/>
        </w:rPr>
        <w:t>were</w:t>
      </w:r>
      <w:r>
        <w:rPr>
          <w:rFonts w:cs="Arial"/>
          <w:szCs w:val="24"/>
        </w:rPr>
        <w:t xml:space="preserve"> 7,010 (33%) </w:t>
      </w:r>
      <w:r w:rsidR="004B7212">
        <w:rPr>
          <w:rFonts w:cs="Arial"/>
          <w:szCs w:val="24"/>
        </w:rPr>
        <w:t xml:space="preserve">on an EHC plan </w:t>
      </w:r>
      <w:r>
        <w:rPr>
          <w:rFonts w:cs="Arial"/>
          <w:szCs w:val="24"/>
        </w:rPr>
        <w:t>compared to 4,590 (22%)</w:t>
      </w:r>
      <w:r w:rsidR="004B7212" w:rsidRPr="004B7212">
        <w:rPr>
          <w:rFonts w:cs="Arial"/>
          <w:szCs w:val="24"/>
        </w:rPr>
        <w:t xml:space="preserve"> </w:t>
      </w:r>
      <w:r w:rsidR="004B7212">
        <w:rPr>
          <w:rFonts w:cs="Arial"/>
          <w:szCs w:val="24"/>
        </w:rPr>
        <w:t>on SEN support</w:t>
      </w:r>
      <w:r>
        <w:rPr>
          <w:rFonts w:cs="Arial"/>
          <w:szCs w:val="24"/>
        </w:rPr>
        <w:t xml:space="preserve">, and in Brighton &amp; Hove, </w:t>
      </w:r>
      <w:r w:rsidR="00545A9B">
        <w:rPr>
          <w:rFonts w:cs="Arial"/>
          <w:szCs w:val="24"/>
        </w:rPr>
        <w:t>these figures</w:t>
      </w:r>
      <w:r>
        <w:rPr>
          <w:rFonts w:cs="Arial"/>
          <w:szCs w:val="24"/>
        </w:rPr>
        <w:t xml:space="preserve"> </w:t>
      </w:r>
      <w:r w:rsidR="00193B69">
        <w:rPr>
          <w:rFonts w:cs="Arial"/>
          <w:szCs w:val="24"/>
        </w:rPr>
        <w:t>were</w:t>
      </w:r>
      <w:r>
        <w:rPr>
          <w:rFonts w:cs="Arial"/>
          <w:szCs w:val="24"/>
        </w:rPr>
        <w:t xml:space="preserve"> 289 (38%) compared to 195 (26%)</w:t>
      </w:r>
      <w:r w:rsidR="00545A9B">
        <w:rPr>
          <w:rFonts w:cs="Arial"/>
          <w:szCs w:val="24"/>
        </w:rPr>
        <w:t xml:space="preserve">, </w:t>
      </w:r>
      <w:r>
        <w:rPr>
          <w:rFonts w:cs="Arial"/>
          <w:szCs w:val="24"/>
        </w:rPr>
        <w:t>respectively.</w:t>
      </w:r>
      <w:r w:rsidR="003048A1">
        <w:rPr>
          <w:rStyle w:val="EndnoteReference"/>
          <w:szCs w:val="24"/>
        </w:rPr>
        <w:endnoteReference w:id="54"/>
      </w:r>
    </w:p>
    <w:p w14:paraId="40166551" w14:textId="1A9C7B66" w:rsidR="00D86E33" w:rsidRDefault="00D86E33" w:rsidP="00D9246A">
      <w:pPr>
        <w:spacing w:line="240" w:lineRule="auto"/>
        <w:rPr>
          <w:rFonts w:cs="Arial"/>
          <w:szCs w:val="24"/>
        </w:rPr>
      </w:pPr>
      <w:r>
        <w:rPr>
          <w:rFonts w:cs="Arial"/>
          <w:szCs w:val="24"/>
        </w:rPr>
        <w:t xml:space="preserve">For the same year, there were </w:t>
      </w:r>
      <w:r w:rsidR="00282396">
        <w:rPr>
          <w:rFonts w:cs="Arial"/>
          <w:szCs w:val="24"/>
        </w:rPr>
        <w:t>48%</w:t>
      </w:r>
      <w:r>
        <w:rPr>
          <w:rFonts w:cs="Arial"/>
          <w:szCs w:val="24"/>
        </w:rPr>
        <w:t xml:space="preserve"> </w:t>
      </w:r>
      <w:r w:rsidR="00282396">
        <w:rPr>
          <w:rFonts w:cs="Arial"/>
          <w:szCs w:val="24"/>
        </w:rPr>
        <w:t>(</w:t>
      </w:r>
      <w:r>
        <w:rPr>
          <w:rFonts w:cs="Arial"/>
          <w:szCs w:val="24"/>
        </w:rPr>
        <w:t>65,200</w:t>
      </w:r>
      <w:r w:rsidR="00282396">
        <w:rPr>
          <w:rFonts w:cs="Arial"/>
          <w:szCs w:val="24"/>
        </w:rPr>
        <w:t>)</w:t>
      </w:r>
      <w:r>
        <w:rPr>
          <w:rFonts w:cs="Arial"/>
          <w:szCs w:val="24"/>
        </w:rPr>
        <w:t xml:space="preserve"> </w:t>
      </w:r>
      <w:proofErr w:type="spellStart"/>
      <w:r>
        <w:rPr>
          <w:rFonts w:cs="Arial"/>
          <w:szCs w:val="24"/>
        </w:rPr>
        <w:t>C</w:t>
      </w:r>
      <w:r w:rsidR="002E0580">
        <w:rPr>
          <w:rFonts w:cs="Arial"/>
          <w:szCs w:val="24"/>
        </w:rPr>
        <w:t>i</w:t>
      </w:r>
      <w:r>
        <w:rPr>
          <w:rFonts w:cs="Arial"/>
          <w:szCs w:val="24"/>
        </w:rPr>
        <w:t>NO</w:t>
      </w:r>
      <w:proofErr w:type="spellEnd"/>
      <w:r>
        <w:rPr>
          <w:rFonts w:cs="Arial"/>
          <w:szCs w:val="24"/>
        </w:rPr>
        <w:t xml:space="preserve"> with no identified SEN in England, </w:t>
      </w:r>
      <w:r w:rsidR="00746AEA">
        <w:rPr>
          <w:rFonts w:cs="Arial"/>
          <w:szCs w:val="24"/>
        </w:rPr>
        <w:t xml:space="preserve">a </w:t>
      </w:r>
      <w:r>
        <w:rPr>
          <w:rFonts w:cs="Arial"/>
          <w:szCs w:val="24"/>
        </w:rPr>
        <w:t xml:space="preserve">higher </w:t>
      </w:r>
      <w:r w:rsidR="00B444D5">
        <w:rPr>
          <w:rFonts w:cs="Arial"/>
          <w:szCs w:val="24"/>
        </w:rPr>
        <w:t xml:space="preserve">average </w:t>
      </w:r>
      <w:r>
        <w:rPr>
          <w:rFonts w:cs="Arial"/>
          <w:szCs w:val="24"/>
        </w:rPr>
        <w:t xml:space="preserve">than in </w:t>
      </w:r>
      <w:r w:rsidR="00010D7C">
        <w:rPr>
          <w:rFonts w:cs="Arial"/>
          <w:szCs w:val="24"/>
        </w:rPr>
        <w:t xml:space="preserve">the </w:t>
      </w:r>
      <w:r>
        <w:rPr>
          <w:rFonts w:cs="Arial"/>
          <w:szCs w:val="24"/>
        </w:rPr>
        <w:t xml:space="preserve">South-East </w:t>
      </w:r>
      <w:r w:rsidR="00282396">
        <w:rPr>
          <w:rFonts w:cs="Arial"/>
          <w:szCs w:val="24"/>
        </w:rPr>
        <w:t xml:space="preserve">at </w:t>
      </w:r>
      <w:r w:rsidR="00010D7C">
        <w:rPr>
          <w:rFonts w:cs="Arial"/>
          <w:szCs w:val="24"/>
        </w:rPr>
        <w:t xml:space="preserve">45% </w:t>
      </w:r>
      <w:r>
        <w:rPr>
          <w:rFonts w:cs="Arial"/>
          <w:szCs w:val="24"/>
        </w:rPr>
        <w:t>(</w:t>
      </w:r>
      <w:r w:rsidR="00010D7C">
        <w:rPr>
          <w:rFonts w:cs="Arial"/>
          <w:szCs w:val="24"/>
        </w:rPr>
        <w:t>9,560</w:t>
      </w:r>
      <w:r>
        <w:rPr>
          <w:rFonts w:cs="Arial"/>
          <w:szCs w:val="24"/>
        </w:rPr>
        <w:t xml:space="preserve">) and </w:t>
      </w:r>
      <w:r w:rsidR="00A135A6">
        <w:rPr>
          <w:rFonts w:cs="Arial"/>
          <w:szCs w:val="24"/>
        </w:rPr>
        <w:t xml:space="preserve">was </w:t>
      </w:r>
      <w:r>
        <w:rPr>
          <w:rFonts w:cs="Arial"/>
          <w:szCs w:val="24"/>
        </w:rPr>
        <w:t xml:space="preserve">lowest for Brighton &amp; Hove </w:t>
      </w:r>
      <w:r w:rsidR="00D67522">
        <w:rPr>
          <w:rFonts w:cs="Arial"/>
          <w:szCs w:val="24"/>
        </w:rPr>
        <w:t>at</w:t>
      </w:r>
      <w:r>
        <w:rPr>
          <w:rFonts w:cs="Arial"/>
          <w:szCs w:val="24"/>
        </w:rPr>
        <w:t xml:space="preserve"> </w:t>
      </w:r>
      <w:r w:rsidR="00A135A6">
        <w:rPr>
          <w:rFonts w:cs="Arial"/>
          <w:szCs w:val="24"/>
        </w:rPr>
        <w:t>36% (</w:t>
      </w:r>
      <w:r>
        <w:rPr>
          <w:rFonts w:cs="Arial"/>
          <w:szCs w:val="24"/>
        </w:rPr>
        <w:t>272).</w:t>
      </w:r>
      <w:r w:rsidR="00A135A6">
        <w:rPr>
          <w:rFonts w:cs="Arial"/>
          <w:szCs w:val="24"/>
        </w:rPr>
        <w:t xml:space="preserve"> </w:t>
      </w:r>
    </w:p>
    <w:p w14:paraId="4188EFEA" w14:textId="07979713" w:rsidR="00011867" w:rsidRPr="00C7630F" w:rsidRDefault="000E03E7" w:rsidP="00D9246A">
      <w:pPr>
        <w:spacing w:line="240" w:lineRule="auto"/>
        <w:rPr>
          <w:b/>
          <w:color w:val="A65588"/>
        </w:rPr>
      </w:pPr>
      <w:r w:rsidRPr="00C7630F">
        <w:rPr>
          <w:b/>
          <w:color w:val="A65588"/>
        </w:rPr>
        <w:t xml:space="preserve">Table </w:t>
      </w:r>
      <w:r w:rsidR="001F7135" w:rsidRPr="00C7630F">
        <w:rPr>
          <w:b/>
          <w:color w:val="A65588"/>
        </w:rPr>
        <w:fldChar w:fldCharType="begin"/>
      </w:r>
      <w:r w:rsidR="001F7135" w:rsidRPr="00C7630F">
        <w:rPr>
          <w:b/>
          <w:color w:val="A65588"/>
        </w:rPr>
        <w:instrText xml:space="preserve"> SEQ Table \* ARABIC </w:instrText>
      </w:r>
      <w:r w:rsidR="001F7135" w:rsidRPr="00C7630F">
        <w:rPr>
          <w:b/>
          <w:color w:val="A65588"/>
        </w:rPr>
        <w:fldChar w:fldCharType="separate"/>
      </w:r>
      <w:r w:rsidR="009A41AE">
        <w:rPr>
          <w:b/>
          <w:noProof/>
          <w:color w:val="A65588"/>
        </w:rPr>
        <w:t>8</w:t>
      </w:r>
      <w:r w:rsidR="001F7135" w:rsidRPr="00C7630F">
        <w:rPr>
          <w:b/>
          <w:color w:val="A65588"/>
        </w:rPr>
        <w:fldChar w:fldCharType="end"/>
      </w:r>
      <w:r w:rsidRPr="00C7630F">
        <w:rPr>
          <w:b/>
          <w:color w:val="A65588"/>
        </w:rPr>
        <w:t>: Special education</w:t>
      </w:r>
      <w:r w:rsidR="00EA1EE5" w:rsidRPr="00C7630F">
        <w:rPr>
          <w:b/>
          <w:color w:val="A65588"/>
        </w:rPr>
        <w:t>al</w:t>
      </w:r>
      <w:r w:rsidR="00AC33B1" w:rsidRPr="00C7630F">
        <w:rPr>
          <w:b/>
          <w:color w:val="A65588"/>
        </w:rPr>
        <w:t xml:space="preserve"> </w:t>
      </w:r>
      <w:r w:rsidRPr="00C7630F">
        <w:rPr>
          <w:b/>
          <w:color w:val="A65588"/>
        </w:rPr>
        <w:t>need</w:t>
      </w:r>
      <w:r w:rsidR="00AC33B1" w:rsidRPr="00C7630F">
        <w:rPr>
          <w:b/>
          <w:color w:val="A65588"/>
        </w:rPr>
        <w:t>s</w:t>
      </w:r>
      <w:r w:rsidRPr="00C7630F">
        <w:rPr>
          <w:b/>
          <w:color w:val="A65588"/>
        </w:rPr>
        <w:t xml:space="preserve"> for children in need</w:t>
      </w:r>
      <w:r>
        <w:rPr>
          <w:b/>
          <w:color w:val="A65588"/>
        </w:rPr>
        <w:t xml:space="preserve"> </w:t>
      </w:r>
      <w:r w:rsidR="003376F6">
        <w:rPr>
          <w:b/>
          <w:bCs/>
          <w:color w:val="A65588"/>
        </w:rPr>
        <w:t xml:space="preserve">(excluding children on </w:t>
      </w:r>
      <w:r w:rsidR="003376F6" w:rsidRPr="003376F6">
        <w:rPr>
          <w:b/>
          <w:bCs/>
          <w:color w:val="A65588"/>
        </w:rPr>
        <w:t>a child protection plan</w:t>
      </w:r>
      <w:r w:rsidRPr="003376F6">
        <w:rPr>
          <w:b/>
          <w:color w:val="A65588"/>
        </w:rPr>
        <w:t xml:space="preserve"> and </w:t>
      </w:r>
      <w:r w:rsidR="003376F6" w:rsidRPr="003376F6">
        <w:rPr>
          <w:b/>
          <w:bCs/>
          <w:color w:val="A65588"/>
        </w:rPr>
        <w:t>children looked after</w:t>
      </w:r>
      <w:r w:rsidR="003376F6">
        <w:rPr>
          <w:b/>
          <w:bCs/>
          <w:color w:val="A65588"/>
        </w:rPr>
        <w:t xml:space="preserve"> -</w:t>
      </w:r>
      <w:r w:rsidR="00011867" w:rsidRPr="003376F6">
        <w:rPr>
          <w:b/>
          <w:color w:val="A65588"/>
        </w:rPr>
        <w:t xml:space="preserve"> </w:t>
      </w:r>
      <w:proofErr w:type="spellStart"/>
      <w:r w:rsidR="00011867" w:rsidRPr="00C7630F">
        <w:rPr>
          <w:b/>
          <w:color w:val="A65588"/>
        </w:rPr>
        <w:t>CiNO</w:t>
      </w:r>
      <w:proofErr w:type="spellEnd"/>
      <w:r w:rsidR="003376F6">
        <w:rPr>
          <w:b/>
          <w:bCs/>
          <w:color w:val="A65588"/>
        </w:rPr>
        <w:t>)</w:t>
      </w:r>
      <w:r w:rsidR="00011867" w:rsidRPr="00C7630F">
        <w:rPr>
          <w:b/>
          <w:color w:val="A65588"/>
        </w:rPr>
        <w:t xml:space="preserve"> Brighton and Hove, South-East and England, 2022/23 </w:t>
      </w:r>
      <w:r w:rsidR="007F24B9" w:rsidRPr="00C7630F">
        <w:rPr>
          <w:b/>
          <w:color w:val="A65588"/>
        </w:rPr>
        <w:t>and</w:t>
      </w:r>
      <w:r w:rsidR="00011867" w:rsidRPr="00C7630F">
        <w:rPr>
          <w:b/>
          <w:color w:val="A65588"/>
        </w:rPr>
        <w:t xml:space="preserve"> 2023/24</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1097"/>
        <w:gridCol w:w="1241"/>
        <w:gridCol w:w="1352"/>
        <w:gridCol w:w="1365"/>
        <w:gridCol w:w="1291"/>
        <w:gridCol w:w="1291"/>
      </w:tblGrid>
      <w:tr w:rsidR="00247B54" w14:paraId="582B2C4D" w14:textId="77777777" w:rsidTr="00516D82">
        <w:trPr>
          <w:trHeight w:val="828"/>
        </w:trPr>
        <w:tc>
          <w:tcPr>
            <w:tcW w:w="1707" w:type="dxa"/>
            <w:shd w:val="clear" w:color="auto" w:fill="086A76"/>
          </w:tcPr>
          <w:p w14:paraId="5A94FE44" w14:textId="77777777" w:rsidR="00D86E33" w:rsidRPr="002936E3" w:rsidRDefault="00D86E33">
            <w:pPr>
              <w:rPr>
                <w:rFonts w:cs="Arial"/>
                <w:szCs w:val="24"/>
              </w:rPr>
            </w:pPr>
          </w:p>
        </w:tc>
        <w:tc>
          <w:tcPr>
            <w:tcW w:w="1097" w:type="dxa"/>
            <w:shd w:val="clear" w:color="auto" w:fill="086A76"/>
          </w:tcPr>
          <w:p w14:paraId="465AD9A7" w14:textId="77777777" w:rsidR="00702117" w:rsidRDefault="00D86E33">
            <w:pPr>
              <w:rPr>
                <w:rFonts w:cs="Arial"/>
                <w:color w:val="FFFFFF" w:themeColor="background1"/>
                <w:szCs w:val="24"/>
              </w:rPr>
            </w:pPr>
            <w:r w:rsidRPr="00DC73C4">
              <w:rPr>
                <w:rFonts w:cs="Arial"/>
                <w:color w:val="FFFFFF" w:themeColor="background1"/>
                <w:szCs w:val="24"/>
              </w:rPr>
              <w:t>England</w:t>
            </w:r>
          </w:p>
          <w:p w14:paraId="1CC567AF" w14:textId="77777777" w:rsidR="001F7021" w:rsidRDefault="001F7021">
            <w:pPr>
              <w:rPr>
                <w:rFonts w:cs="Arial"/>
                <w:color w:val="FFFFFF" w:themeColor="background1"/>
                <w:szCs w:val="24"/>
              </w:rPr>
            </w:pPr>
          </w:p>
          <w:p w14:paraId="4EF27119" w14:textId="5ADC093A" w:rsidR="00D86E33" w:rsidRPr="00DC73C4" w:rsidRDefault="00D86E33">
            <w:pPr>
              <w:rPr>
                <w:rFonts w:cs="Arial"/>
                <w:color w:val="FFFFFF" w:themeColor="background1"/>
                <w:szCs w:val="24"/>
              </w:rPr>
            </w:pPr>
            <w:r w:rsidRPr="00DC73C4">
              <w:rPr>
                <w:rFonts w:cs="Arial"/>
                <w:color w:val="FFFFFF" w:themeColor="background1"/>
                <w:szCs w:val="24"/>
              </w:rPr>
              <w:t>2022/23</w:t>
            </w:r>
          </w:p>
        </w:tc>
        <w:tc>
          <w:tcPr>
            <w:tcW w:w="1241" w:type="dxa"/>
            <w:shd w:val="clear" w:color="auto" w:fill="086A76"/>
          </w:tcPr>
          <w:p w14:paraId="45E9A65F" w14:textId="77777777" w:rsidR="00D86E33" w:rsidRPr="00DC73C4" w:rsidRDefault="00D86E33">
            <w:pPr>
              <w:rPr>
                <w:rFonts w:cs="Arial"/>
                <w:color w:val="FFFFFF" w:themeColor="background1"/>
                <w:szCs w:val="24"/>
              </w:rPr>
            </w:pPr>
            <w:r w:rsidRPr="00DC73C4">
              <w:rPr>
                <w:rFonts w:cs="Arial"/>
                <w:color w:val="FFFFFF" w:themeColor="background1"/>
                <w:szCs w:val="24"/>
              </w:rPr>
              <w:t>England</w:t>
            </w:r>
          </w:p>
          <w:p w14:paraId="2FA06B18" w14:textId="77777777" w:rsidR="00D86E33" w:rsidRDefault="00D86E33">
            <w:pPr>
              <w:rPr>
                <w:rFonts w:cs="Arial"/>
                <w:color w:val="FFFFFF" w:themeColor="background1"/>
                <w:szCs w:val="24"/>
              </w:rPr>
            </w:pPr>
          </w:p>
          <w:p w14:paraId="383956BB" w14:textId="77777777" w:rsidR="00D86E33" w:rsidRPr="00DC73C4" w:rsidRDefault="00D86E33">
            <w:pPr>
              <w:rPr>
                <w:rFonts w:cs="Arial"/>
                <w:color w:val="FFFFFF" w:themeColor="background1"/>
                <w:szCs w:val="24"/>
              </w:rPr>
            </w:pPr>
            <w:r w:rsidRPr="00DC73C4">
              <w:rPr>
                <w:rFonts w:cs="Arial"/>
                <w:color w:val="FFFFFF" w:themeColor="background1"/>
                <w:szCs w:val="24"/>
              </w:rPr>
              <w:t>2023/24</w:t>
            </w:r>
          </w:p>
        </w:tc>
        <w:tc>
          <w:tcPr>
            <w:tcW w:w="1352" w:type="dxa"/>
            <w:shd w:val="clear" w:color="auto" w:fill="086A76"/>
          </w:tcPr>
          <w:p w14:paraId="0AC103B3" w14:textId="77777777" w:rsidR="00D86E33" w:rsidRPr="00DC73C4" w:rsidRDefault="00D86E33">
            <w:pPr>
              <w:rPr>
                <w:rFonts w:cs="Arial"/>
                <w:color w:val="FFFFFF" w:themeColor="background1"/>
                <w:szCs w:val="24"/>
              </w:rPr>
            </w:pPr>
            <w:r w:rsidRPr="00DC73C4">
              <w:rPr>
                <w:rFonts w:cs="Arial"/>
                <w:color w:val="FFFFFF" w:themeColor="background1"/>
                <w:szCs w:val="24"/>
              </w:rPr>
              <w:t>South-East</w:t>
            </w:r>
          </w:p>
          <w:p w14:paraId="29B7B39C" w14:textId="77777777" w:rsidR="00D86E33" w:rsidRPr="00DC73C4" w:rsidRDefault="00D86E33">
            <w:pPr>
              <w:rPr>
                <w:rFonts w:cs="Arial"/>
                <w:color w:val="FFFFFF" w:themeColor="background1"/>
                <w:szCs w:val="24"/>
              </w:rPr>
            </w:pPr>
            <w:r w:rsidRPr="00DC73C4">
              <w:rPr>
                <w:rFonts w:cs="Arial"/>
                <w:color w:val="FFFFFF" w:themeColor="background1"/>
                <w:szCs w:val="24"/>
              </w:rPr>
              <w:t>2022/23</w:t>
            </w:r>
          </w:p>
        </w:tc>
        <w:tc>
          <w:tcPr>
            <w:tcW w:w="1365" w:type="dxa"/>
            <w:shd w:val="clear" w:color="auto" w:fill="086A76"/>
          </w:tcPr>
          <w:p w14:paraId="07722963" w14:textId="77777777" w:rsidR="00D86E33" w:rsidRPr="00DC73C4" w:rsidRDefault="00D86E33">
            <w:pPr>
              <w:rPr>
                <w:rFonts w:cs="Arial"/>
                <w:color w:val="FFFFFF" w:themeColor="background1"/>
                <w:szCs w:val="24"/>
              </w:rPr>
            </w:pPr>
            <w:r w:rsidRPr="00DC73C4">
              <w:rPr>
                <w:rFonts w:cs="Arial"/>
                <w:color w:val="FFFFFF" w:themeColor="background1"/>
                <w:szCs w:val="24"/>
              </w:rPr>
              <w:t>South-East</w:t>
            </w:r>
          </w:p>
          <w:p w14:paraId="41AA79E8" w14:textId="77777777" w:rsidR="00D86E33" w:rsidRPr="00DC73C4" w:rsidRDefault="00D86E33">
            <w:pPr>
              <w:rPr>
                <w:rFonts w:cs="Arial"/>
                <w:color w:val="FFFFFF" w:themeColor="background1"/>
                <w:szCs w:val="24"/>
              </w:rPr>
            </w:pPr>
            <w:r w:rsidRPr="00DC73C4">
              <w:rPr>
                <w:rFonts w:cs="Arial"/>
                <w:color w:val="FFFFFF" w:themeColor="background1"/>
                <w:szCs w:val="24"/>
              </w:rPr>
              <w:t>2023/24</w:t>
            </w:r>
          </w:p>
        </w:tc>
        <w:tc>
          <w:tcPr>
            <w:tcW w:w="1291" w:type="dxa"/>
            <w:shd w:val="clear" w:color="auto" w:fill="086A76"/>
          </w:tcPr>
          <w:p w14:paraId="441382F0" w14:textId="77777777" w:rsidR="00D86E33" w:rsidRPr="00DC73C4" w:rsidRDefault="00D86E33">
            <w:pPr>
              <w:jc w:val="center"/>
              <w:rPr>
                <w:rFonts w:cs="Arial"/>
                <w:color w:val="FFFFFF" w:themeColor="background1"/>
                <w:szCs w:val="24"/>
              </w:rPr>
            </w:pPr>
            <w:r w:rsidRPr="00DC73C4">
              <w:rPr>
                <w:rFonts w:cs="Arial"/>
                <w:color w:val="FFFFFF" w:themeColor="background1"/>
                <w:szCs w:val="24"/>
              </w:rPr>
              <w:t>Brighton &amp; Hove</w:t>
            </w:r>
          </w:p>
          <w:p w14:paraId="3B92F9DE" w14:textId="77777777" w:rsidR="00D86E33" w:rsidRPr="00DC73C4" w:rsidRDefault="00D86E33">
            <w:pPr>
              <w:rPr>
                <w:rFonts w:cs="Arial"/>
                <w:color w:val="FFFFFF" w:themeColor="background1"/>
                <w:szCs w:val="24"/>
              </w:rPr>
            </w:pPr>
            <w:r w:rsidRPr="00DC73C4">
              <w:rPr>
                <w:rFonts w:cs="Arial"/>
                <w:color w:val="FFFFFF" w:themeColor="background1"/>
                <w:szCs w:val="24"/>
              </w:rPr>
              <w:t>2022/23</w:t>
            </w:r>
          </w:p>
        </w:tc>
        <w:tc>
          <w:tcPr>
            <w:tcW w:w="1291" w:type="dxa"/>
            <w:shd w:val="clear" w:color="auto" w:fill="086A76"/>
          </w:tcPr>
          <w:p w14:paraId="10889AD5" w14:textId="77777777" w:rsidR="00D86E33" w:rsidRPr="00DC73C4" w:rsidRDefault="00D86E33">
            <w:pPr>
              <w:jc w:val="center"/>
              <w:rPr>
                <w:rFonts w:cs="Arial"/>
                <w:color w:val="FFFFFF" w:themeColor="background1"/>
                <w:szCs w:val="24"/>
              </w:rPr>
            </w:pPr>
            <w:r w:rsidRPr="00DC73C4">
              <w:rPr>
                <w:rFonts w:cs="Arial"/>
                <w:color w:val="FFFFFF" w:themeColor="background1"/>
                <w:szCs w:val="24"/>
              </w:rPr>
              <w:t>Brighton &amp; Hove</w:t>
            </w:r>
          </w:p>
          <w:p w14:paraId="63A8A768" w14:textId="77777777" w:rsidR="00D86E33" w:rsidRPr="00DC73C4" w:rsidRDefault="00D86E33">
            <w:pPr>
              <w:rPr>
                <w:rFonts w:cs="Arial"/>
                <w:color w:val="FFFFFF" w:themeColor="background1"/>
                <w:szCs w:val="24"/>
              </w:rPr>
            </w:pPr>
            <w:r w:rsidRPr="00DC73C4">
              <w:rPr>
                <w:rFonts w:cs="Arial"/>
                <w:color w:val="FFFFFF" w:themeColor="background1"/>
                <w:szCs w:val="24"/>
              </w:rPr>
              <w:t>2023/24</w:t>
            </w:r>
          </w:p>
        </w:tc>
      </w:tr>
      <w:tr w:rsidR="00247B54" w14:paraId="51F4A88A" w14:textId="77777777" w:rsidTr="00516D82">
        <w:tc>
          <w:tcPr>
            <w:tcW w:w="1707" w:type="dxa"/>
          </w:tcPr>
          <w:p w14:paraId="0B4F78EB" w14:textId="77777777" w:rsidR="00D86E33" w:rsidRPr="002936E3" w:rsidRDefault="00D86E33">
            <w:pPr>
              <w:rPr>
                <w:rFonts w:cs="Arial"/>
                <w:szCs w:val="24"/>
              </w:rPr>
            </w:pPr>
            <w:r>
              <w:rPr>
                <w:rFonts w:cs="Arial"/>
                <w:szCs w:val="24"/>
              </w:rPr>
              <w:t>% of pupils with EHC plan</w:t>
            </w:r>
          </w:p>
        </w:tc>
        <w:tc>
          <w:tcPr>
            <w:tcW w:w="1097" w:type="dxa"/>
          </w:tcPr>
          <w:p w14:paraId="02DE74EA" w14:textId="77777777" w:rsidR="00D86E33" w:rsidRPr="00595FE6" w:rsidRDefault="00D86E33">
            <w:pPr>
              <w:jc w:val="right"/>
              <w:rPr>
                <w:rFonts w:cs="Arial"/>
                <w:szCs w:val="24"/>
              </w:rPr>
            </w:pPr>
          </w:p>
          <w:p w14:paraId="2B37E88F" w14:textId="77777777" w:rsidR="00D86E33" w:rsidRPr="002936E3" w:rsidRDefault="00D86E33">
            <w:pPr>
              <w:jc w:val="right"/>
              <w:rPr>
                <w:rFonts w:cs="Arial"/>
                <w:szCs w:val="24"/>
              </w:rPr>
            </w:pPr>
            <w:r w:rsidRPr="00595FE6">
              <w:rPr>
                <w:rFonts w:cs="Arial"/>
                <w:szCs w:val="24"/>
              </w:rPr>
              <w:t>28%</w:t>
            </w:r>
          </w:p>
        </w:tc>
        <w:tc>
          <w:tcPr>
            <w:tcW w:w="1241" w:type="dxa"/>
          </w:tcPr>
          <w:p w14:paraId="1AE18E98" w14:textId="77777777" w:rsidR="00D86E33" w:rsidRPr="00595FE6" w:rsidRDefault="00D86E33">
            <w:pPr>
              <w:jc w:val="right"/>
              <w:rPr>
                <w:rFonts w:cs="Arial"/>
                <w:szCs w:val="24"/>
              </w:rPr>
            </w:pPr>
          </w:p>
          <w:p w14:paraId="5A282320" w14:textId="77777777" w:rsidR="00D86E33" w:rsidRPr="002936E3" w:rsidRDefault="00D86E33">
            <w:pPr>
              <w:jc w:val="right"/>
              <w:rPr>
                <w:rFonts w:cs="Arial"/>
                <w:szCs w:val="24"/>
              </w:rPr>
            </w:pPr>
            <w:r w:rsidRPr="00595FE6">
              <w:rPr>
                <w:rFonts w:cs="Arial"/>
                <w:szCs w:val="24"/>
              </w:rPr>
              <w:t>30%</w:t>
            </w:r>
          </w:p>
        </w:tc>
        <w:tc>
          <w:tcPr>
            <w:tcW w:w="1352" w:type="dxa"/>
          </w:tcPr>
          <w:p w14:paraId="50D86E85" w14:textId="77777777" w:rsidR="00D86E33" w:rsidRPr="00595FE6" w:rsidRDefault="00D86E33">
            <w:pPr>
              <w:jc w:val="right"/>
              <w:rPr>
                <w:rFonts w:cs="Arial"/>
                <w:szCs w:val="24"/>
              </w:rPr>
            </w:pPr>
          </w:p>
          <w:p w14:paraId="1A14D3BD" w14:textId="77777777" w:rsidR="00D86E33" w:rsidRPr="002936E3" w:rsidRDefault="00D86E33">
            <w:pPr>
              <w:jc w:val="right"/>
              <w:rPr>
                <w:rFonts w:cs="Arial"/>
                <w:szCs w:val="24"/>
              </w:rPr>
            </w:pPr>
            <w:r w:rsidRPr="00595FE6">
              <w:rPr>
                <w:rFonts w:cs="Arial"/>
                <w:szCs w:val="24"/>
              </w:rPr>
              <w:t>30%</w:t>
            </w:r>
          </w:p>
        </w:tc>
        <w:tc>
          <w:tcPr>
            <w:tcW w:w="1365" w:type="dxa"/>
          </w:tcPr>
          <w:p w14:paraId="2C0BB0F5" w14:textId="77777777" w:rsidR="00D86E33" w:rsidRPr="00595FE6" w:rsidRDefault="00D86E33">
            <w:pPr>
              <w:jc w:val="right"/>
              <w:rPr>
                <w:rFonts w:cs="Arial"/>
                <w:szCs w:val="24"/>
              </w:rPr>
            </w:pPr>
          </w:p>
          <w:p w14:paraId="579082CA" w14:textId="77777777" w:rsidR="00D86E33" w:rsidRPr="002936E3" w:rsidRDefault="00D86E33">
            <w:pPr>
              <w:jc w:val="right"/>
              <w:rPr>
                <w:rFonts w:cs="Arial"/>
                <w:szCs w:val="24"/>
              </w:rPr>
            </w:pPr>
            <w:r w:rsidRPr="00595FE6">
              <w:rPr>
                <w:rFonts w:cs="Arial"/>
                <w:szCs w:val="24"/>
              </w:rPr>
              <w:t>33%</w:t>
            </w:r>
          </w:p>
        </w:tc>
        <w:tc>
          <w:tcPr>
            <w:tcW w:w="1291" w:type="dxa"/>
          </w:tcPr>
          <w:p w14:paraId="5DF66CC7" w14:textId="77777777" w:rsidR="00D86E33" w:rsidRPr="00595FE6" w:rsidRDefault="00D86E33">
            <w:pPr>
              <w:jc w:val="right"/>
              <w:rPr>
                <w:rFonts w:cs="Arial"/>
                <w:szCs w:val="24"/>
              </w:rPr>
            </w:pPr>
          </w:p>
          <w:p w14:paraId="51B7EFA0" w14:textId="77777777" w:rsidR="00D86E33" w:rsidRPr="002936E3" w:rsidRDefault="00D86E33">
            <w:pPr>
              <w:jc w:val="right"/>
              <w:rPr>
                <w:rFonts w:cs="Arial"/>
                <w:szCs w:val="24"/>
              </w:rPr>
            </w:pPr>
            <w:r w:rsidRPr="00595FE6">
              <w:rPr>
                <w:rFonts w:cs="Arial"/>
                <w:szCs w:val="24"/>
              </w:rPr>
              <w:t>35%</w:t>
            </w:r>
          </w:p>
        </w:tc>
        <w:tc>
          <w:tcPr>
            <w:tcW w:w="1291" w:type="dxa"/>
          </w:tcPr>
          <w:p w14:paraId="1870A518" w14:textId="77777777" w:rsidR="00D86E33" w:rsidRPr="00595FE6" w:rsidRDefault="00D86E33">
            <w:pPr>
              <w:jc w:val="right"/>
              <w:rPr>
                <w:rFonts w:cs="Arial"/>
                <w:szCs w:val="24"/>
              </w:rPr>
            </w:pPr>
          </w:p>
          <w:p w14:paraId="347A46A3" w14:textId="77777777" w:rsidR="00D86E33" w:rsidRPr="002936E3" w:rsidRDefault="00D86E33">
            <w:pPr>
              <w:jc w:val="right"/>
              <w:rPr>
                <w:rFonts w:cs="Arial"/>
                <w:szCs w:val="24"/>
              </w:rPr>
            </w:pPr>
            <w:r w:rsidRPr="00595FE6">
              <w:rPr>
                <w:rFonts w:cs="Arial"/>
                <w:szCs w:val="24"/>
              </w:rPr>
              <w:t>38%</w:t>
            </w:r>
          </w:p>
        </w:tc>
      </w:tr>
      <w:tr w:rsidR="00247B54" w14:paraId="2BD7367E" w14:textId="77777777" w:rsidTr="00516D82">
        <w:tc>
          <w:tcPr>
            <w:tcW w:w="1707" w:type="dxa"/>
          </w:tcPr>
          <w:p w14:paraId="31F2A15B" w14:textId="77777777" w:rsidR="00D86E33" w:rsidRPr="002936E3" w:rsidRDefault="00D86E33">
            <w:pPr>
              <w:rPr>
                <w:rFonts w:cs="Arial"/>
                <w:szCs w:val="24"/>
              </w:rPr>
            </w:pPr>
            <w:r>
              <w:rPr>
                <w:rFonts w:cs="Arial"/>
                <w:szCs w:val="24"/>
              </w:rPr>
              <w:t>% of pupils with SEN support</w:t>
            </w:r>
          </w:p>
        </w:tc>
        <w:tc>
          <w:tcPr>
            <w:tcW w:w="1097" w:type="dxa"/>
          </w:tcPr>
          <w:p w14:paraId="4424F720" w14:textId="77777777" w:rsidR="00D86E33" w:rsidRPr="00595FE6" w:rsidRDefault="00D86E33">
            <w:pPr>
              <w:jc w:val="right"/>
              <w:rPr>
                <w:rFonts w:cs="Arial"/>
                <w:szCs w:val="24"/>
              </w:rPr>
            </w:pPr>
          </w:p>
          <w:p w14:paraId="59296303" w14:textId="77777777" w:rsidR="00D86E33" w:rsidRPr="002936E3" w:rsidRDefault="00D86E33">
            <w:pPr>
              <w:jc w:val="right"/>
              <w:rPr>
                <w:rFonts w:cs="Arial"/>
                <w:szCs w:val="24"/>
              </w:rPr>
            </w:pPr>
            <w:r w:rsidRPr="00595FE6">
              <w:rPr>
                <w:rFonts w:cs="Arial"/>
                <w:szCs w:val="24"/>
              </w:rPr>
              <w:t>28%</w:t>
            </w:r>
          </w:p>
        </w:tc>
        <w:tc>
          <w:tcPr>
            <w:tcW w:w="1241" w:type="dxa"/>
          </w:tcPr>
          <w:p w14:paraId="23C84282" w14:textId="77777777" w:rsidR="00D86E33" w:rsidRPr="00595FE6" w:rsidRDefault="00D86E33">
            <w:pPr>
              <w:jc w:val="right"/>
              <w:rPr>
                <w:rFonts w:cs="Arial"/>
                <w:szCs w:val="24"/>
              </w:rPr>
            </w:pPr>
          </w:p>
          <w:p w14:paraId="54AC3597" w14:textId="77777777" w:rsidR="00D86E33" w:rsidRPr="002936E3" w:rsidRDefault="00D86E33">
            <w:pPr>
              <w:jc w:val="right"/>
              <w:rPr>
                <w:rFonts w:cs="Arial"/>
                <w:szCs w:val="24"/>
              </w:rPr>
            </w:pPr>
            <w:r w:rsidRPr="00595FE6">
              <w:rPr>
                <w:rFonts w:cs="Arial"/>
                <w:szCs w:val="24"/>
              </w:rPr>
              <w:t>22%</w:t>
            </w:r>
          </w:p>
        </w:tc>
        <w:tc>
          <w:tcPr>
            <w:tcW w:w="1352" w:type="dxa"/>
          </w:tcPr>
          <w:p w14:paraId="6D90BCD1" w14:textId="77777777" w:rsidR="00D86E33" w:rsidRPr="00595FE6" w:rsidRDefault="00D86E33">
            <w:pPr>
              <w:jc w:val="right"/>
              <w:rPr>
                <w:rFonts w:cs="Arial"/>
                <w:szCs w:val="24"/>
              </w:rPr>
            </w:pPr>
          </w:p>
          <w:p w14:paraId="64A88B65" w14:textId="77777777" w:rsidR="00D86E33" w:rsidRPr="002936E3" w:rsidRDefault="00D86E33">
            <w:pPr>
              <w:jc w:val="right"/>
              <w:rPr>
                <w:rFonts w:cs="Arial"/>
                <w:szCs w:val="24"/>
              </w:rPr>
            </w:pPr>
            <w:r w:rsidRPr="00595FE6">
              <w:rPr>
                <w:rFonts w:cs="Arial"/>
                <w:szCs w:val="24"/>
              </w:rPr>
              <w:t>21%</w:t>
            </w:r>
          </w:p>
        </w:tc>
        <w:tc>
          <w:tcPr>
            <w:tcW w:w="1365" w:type="dxa"/>
          </w:tcPr>
          <w:p w14:paraId="30F88A11" w14:textId="77777777" w:rsidR="00D86E33" w:rsidRPr="00595FE6" w:rsidRDefault="00D86E33">
            <w:pPr>
              <w:jc w:val="right"/>
              <w:rPr>
                <w:rFonts w:cs="Arial"/>
                <w:szCs w:val="24"/>
              </w:rPr>
            </w:pPr>
          </w:p>
          <w:p w14:paraId="49D588FD" w14:textId="77777777" w:rsidR="00D86E33" w:rsidRPr="002936E3" w:rsidRDefault="00D86E33">
            <w:pPr>
              <w:jc w:val="right"/>
              <w:rPr>
                <w:rFonts w:cs="Arial"/>
                <w:szCs w:val="24"/>
              </w:rPr>
            </w:pPr>
            <w:r w:rsidRPr="00595FE6">
              <w:rPr>
                <w:rFonts w:cs="Arial"/>
                <w:szCs w:val="24"/>
              </w:rPr>
              <w:t>2</w:t>
            </w:r>
            <w:r>
              <w:rPr>
                <w:rFonts w:cs="Arial"/>
                <w:szCs w:val="24"/>
              </w:rPr>
              <w:t>2</w:t>
            </w:r>
            <w:r w:rsidRPr="00595FE6">
              <w:rPr>
                <w:rFonts w:cs="Arial"/>
                <w:szCs w:val="24"/>
              </w:rPr>
              <w:t>%</w:t>
            </w:r>
          </w:p>
        </w:tc>
        <w:tc>
          <w:tcPr>
            <w:tcW w:w="1291" w:type="dxa"/>
          </w:tcPr>
          <w:p w14:paraId="1FF53172" w14:textId="77777777" w:rsidR="00D86E33" w:rsidRPr="00595FE6" w:rsidRDefault="00D86E33">
            <w:pPr>
              <w:jc w:val="right"/>
              <w:rPr>
                <w:rFonts w:cs="Arial"/>
                <w:szCs w:val="24"/>
              </w:rPr>
            </w:pPr>
          </w:p>
          <w:p w14:paraId="1C76AC98" w14:textId="77777777" w:rsidR="00D86E33" w:rsidRPr="002936E3" w:rsidRDefault="00D86E33">
            <w:pPr>
              <w:jc w:val="right"/>
              <w:rPr>
                <w:rFonts w:cs="Arial"/>
                <w:szCs w:val="24"/>
              </w:rPr>
            </w:pPr>
            <w:r w:rsidRPr="00595FE6">
              <w:rPr>
                <w:rFonts w:cs="Arial"/>
                <w:szCs w:val="24"/>
              </w:rPr>
              <w:t>20%</w:t>
            </w:r>
          </w:p>
        </w:tc>
        <w:tc>
          <w:tcPr>
            <w:tcW w:w="1291" w:type="dxa"/>
          </w:tcPr>
          <w:p w14:paraId="0FC81651" w14:textId="77777777" w:rsidR="00D86E33" w:rsidRPr="00595FE6" w:rsidRDefault="00D86E33">
            <w:pPr>
              <w:jc w:val="right"/>
              <w:rPr>
                <w:rFonts w:cs="Arial"/>
                <w:szCs w:val="24"/>
              </w:rPr>
            </w:pPr>
          </w:p>
          <w:p w14:paraId="0A0CE5C4" w14:textId="77777777" w:rsidR="00D86E33" w:rsidRPr="002936E3" w:rsidRDefault="00D86E33">
            <w:pPr>
              <w:jc w:val="right"/>
              <w:rPr>
                <w:rFonts w:cs="Arial"/>
                <w:szCs w:val="24"/>
              </w:rPr>
            </w:pPr>
            <w:r w:rsidRPr="00595FE6">
              <w:rPr>
                <w:rFonts w:cs="Arial"/>
                <w:szCs w:val="24"/>
              </w:rPr>
              <w:t>26%</w:t>
            </w:r>
          </w:p>
        </w:tc>
      </w:tr>
      <w:tr w:rsidR="00247B54" w14:paraId="7B20C037" w14:textId="77777777" w:rsidTr="00516D82">
        <w:tc>
          <w:tcPr>
            <w:tcW w:w="1707" w:type="dxa"/>
          </w:tcPr>
          <w:p w14:paraId="7A5252A4" w14:textId="77777777" w:rsidR="00D86E33" w:rsidRPr="002936E3" w:rsidRDefault="00D86E33">
            <w:pPr>
              <w:rPr>
                <w:rFonts w:cs="Arial"/>
                <w:szCs w:val="24"/>
              </w:rPr>
            </w:pPr>
            <w:r>
              <w:rPr>
                <w:rFonts w:cs="Arial"/>
                <w:szCs w:val="24"/>
              </w:rPr>
              <w:t>% of pupils with no identified SEN</w:t>
            </w:r>
          </w:p>
        </w:tc>
        <w:tc>
          <w:tcPr>
            <w:tcW w:w="1097" w:type="dxa"/>
          </w:tcPr>
          <w:p w14:paraId="433959BC" w14:textId="77777777" w:rsidR="00D86E33" w:rsidRPr="00595FE6" w:rsidRDefault="00D86E33">
            <w:pPr>
              <w:jc w:val="right"/>
              <w:rPr>
                <w:rFonts w:cs="Arial"/>
                <w:szCs w:val="24"/>
              </w:rPr>
            </w:pPr>
          </w:p>
          <w:p w14:paraId="0A345A64" w14:textId="77777777" w:rsidR="00D86E33" w:rsidRDefault="00D86E33">
            <w:pPr>
              <w:jc w:val="right"/>
              <w:rPr>
                <w:rFonts w:cs="Arial"/>
                <w:szCs w:val="24"/>
              </w:rPr>
            </w:pPr>
            <w:r w:rsidRPr="00595FE6">
              <w:rPr>
                <w:rFonts w:cs="Arial"/>
                <w:szCs w:val="24"/>
              </w:rPr>
              <w:t>51%</w:t>
            </w:r>
          </w:p>
          <w:p w14:paraId="157C60AF" w14:textId="77777777" w:rsidR="00D86E33" w:rsidRPr="002936E3" w:rsidRDefault="00D86E33">
            <w:pPr>
              <w:jc w:val="right"/>
              <w:rPr>
                <w:rFonts w:cs="Arial"/>
                <w:szCs w:val="24"/>
              </w:rPr>
            </w:pPr>
          </w:p>
        </w:tc>
        <w:tc>
          <w:tcPr>
            <w:tcW w:w="1241" w:type="dxa"/>
          </w:tcPr>
          <w:p w14:paraId="5F95CF72" w14:textId="77777777" w:rsidR="00D86E33" w:rsidRPr="00595FE6" w:rsidRDefault="00D86E33">
            <w:pPr>
              <w:jc w:val="right"/>
              <w:rPr>
                <w:rFonts w:cs="Arial"/>
                <w:szCs w:val="24"/>
              </w:rPr>
            </w:pPr>
          </w:p>
          <w:p w14:paraId="11443942" w14:textId="77777777" w:rsidR="00D86E33" w:rsidRPr="002936E3" w:rsidRDefault="00D86E33">
            <w:pPr>
              <w:jc w:val="right"/>
              <w:rPr>
                <w:rFonts w:cs="Arial"/>
                <w:szCs w:val="24"/>
              </w:rPr>
            </w:pPr>
            <w:r w:rsidRPr="00595FE6">
              <w:rPr>
                <w:rFonts w:cs="Arial"/>
                <w:szCs w:val="24"/>
              </w:rPr>
              <w:t>48%</w:t>
            </w:r>
          </w:p>
        </w:tc>
        <w:tc>
          <w:tcPr>
            <w:tcW w:w="1352" w:type="dxa"/>
          </w:tcPr>
          <w:p w14:paraId="01556196" w14:textId="77777777" w:rsidR="00D86E33" w:rsidRPr="00595FE6" w:rsidRDefault="00D86E33">
            <w:pPr>
              <w:jc w:val="right"/>
              <w:rPr>
                <w:rFonts w:cs="Arial"/>
                <w:szCs w:val="24"/>
              </w:rPr>
            </w:pPr>
          </w:p>
          <w:p w14:paraId="438D6B58" w14:textId="77777777" w:rsidR="00D86E33" w:rsidRPr="002936E3" w:rsidRDefault="00D86E33">
            <w:pPr>
              <w:jc w:val="right"/>
              <w:rPr>
                <w:rFonts w:cs="Arial"/>
                <w:szCs w:val="24"/>
              </w:rPr>
            </w:pPr>
            <w:r w:rsidRPr="00595FE6">
              <w:rPr>
                <w:rFonts w:cs="Arial"/>
                <w:szCs w:val="24"/>
              </w:rPr>
              <w:t>49%</w:t>
            </w:r>
          </w:p>
        </w:tc>
        <w:tc>
          <w:tcPr>
            <w:tcW w:w="1365" w:type="dxa"/>
          </w:tcPr>
          <w:p w14:paraId="235BDD1F" w14:textId="77777777" w:rsidR="00D86E33" w:rsidRPr="00595FE6" w:rsidRDefault="00D86E33">
            <w:pPr>
              <w:jc w:val="right"/>
              <w:rPr>
                <w:rFonts w:cs="Arial"/>
                <w:szCs w:val="24"/>
              </w:rPr>
            </w:pPr>
          </w:p>
          <w:p w14:paraId="163EBE83" w14:textId="77777777" w:rsidR="00D86E33" w:rsidRPr="002936E3" w:rsidRDefault="00D86E33">
            <w:pPr>
              <w:jc w:val="right"/>
              <w:rPr>
                <w:rFonts w:cs="Arial"/>
                <w:szCs w:val="24"/>
              </w:rPr>
            </w:pPr>
            <w:r w:rsidRPr="00595FE6">
              <w:rPr>
                <w:rFonts w:cs="Arial"/>
                <w:szCs w:val="24"/>
              </w:rPr>
              <w:t>45%</w:t>
            </w:r>
          </w:p>
        </w:tc>
        <w:tc>
          <w:tcPr>
            <w:tcW w:w="1291" w:type="dxa"/>
          </w:tcPr>
          <w:p w14:paraId="001F6FAD" w14:textId="77777777" w:rsidR="00D86E33" w:rsidRPr="00595FE6" w:rsidRDefault="00D86E33">
            <w:pPr>
              <w:jc w:val="right"/>
              <w:rPr>
                <w:rFonts w:cs="Arial"/>
                <w:szCs w:val="24"/>
              </w:rPr>
            </w:pPr>
          </w:p>
          <w:p w14:paraId="510BE948" w14:textId="77777777" w:rsidR="00D86E33" w:rsidRPr="002936E3" w:rsidRDefault="00D86E33">
            <w:pPr>
              <w:jc w:val="right"/>
              <w:rPr>
                <w:rFonts w:cs="Arial"/>
                <w:szCs w:val="24"/>
              </w:rPr>
            </w:pPr>
            <w:r w:rsidRPr="00595FE6">
              <w:rPr>
                <w:rFonts w:cs="Arial"/>
                <w:szCs w:val="24"/>
              </w:rPr>
              <w:t>46%</w:t>
            </w:r>
          </w:p>
        </w:tc>
        <w:tc>
          <w:tcPr>
            <w:tcW w:w="1291" w:type="dxa"/>
          </w:tcPr>
          <w:p w14:paraId="51015A28" w14:textId="77777777" w:rsidR="00D86E33" w:rsidRPr="00595FE6" w:rsidRDefault="00D86E33">
            <w:pPr>
              <w:jc w:val="right"/>
              <w:rPr>
                <w:rFonts w:cs="Arial"/>
                <w:szCs w:val="24"/>
              </w:rPr>
            </w:pPr>
          </w:p>
          <w:p w14:paraId="3BEC8114" w14:textId="77777777" w:rsidR="00D86E33" w:rsidRPr="002936E3" w:rsidRDefault="00D86E33">
            <w:pPr>
              <w:jc w:val="right"/>
              <w:rPr>
                <w:rFonts w:cs="Arial"/>
                <w:szCs w:val="24"/>
              </w:rPr>
            </w:pPr>
            <w:r w:rsidRPr="00595FE6">
              <w:rPr>
                <w:rFonts w:cs="Arial"/>
                <w:szCs w:val="24"/>
              </w:rPr>
              <w:t>36%</w:t>
            </w:r>
          </w:p>
        </w:tc>
      </w:tr>
    </w:tbl>
    <w:p w14:paraId="19B708E7" w14:textId="50E4A948" w:rsidR="008C0593" w:rsidRPr="00F061A1" w:rsidRDefault="00D86E33" w:rsidP="00D9246A">
      <w:pPr>
        <w:spacing w:line="240" w:lineRule="auto"/>
        <w:rPr>
          <w:rFonts w:eastAsia="Aptos" w:cs="Arial"/>
          <w:color w:val="3071C3" w:themeColor="text2" w:themeTint="BF"/>
        </w:rPr>
      </w:pPr>
      <w:r w:rsidRPr="003376F6">
        <w:rPr>
          <w:rFonts w:cs="Arial"/>
          <w:b/>
          <w:szCs w:val="24"/>
        </w:rPr>
        <w:t>Source:</w:t>
      </w:r>
      <w:r w:rsidRPr="00524190">
        <w:rPr>
          <w:rFonts w:cs="Arial"/>
          <w:szCs w:val="24"/>
        </w:rPr>
        <w:t xml:space="preserve"> </w:t>
      </w:r>
      <w:r w:rsidR="008C0593" w:rsidRPr="00524190">
        <w:rPr>
          <w:rFonts w:eastAsia="Calibri" w:cs="Arial"/>
        </w:rPr>
        <w:t>Special</w:t>
      </w:r>
      <w:r w:rsidR="008C0593" w:rsidRPr="00B557A0">
        <w:rPr>
          <w:rFonts w:eastAsia="Calibri" w:cs="Arial"/>
        </w:rPr>
        <w:t xml:space="preserve"> education need for </w:t>
      </w:r>
      <w:proofErr w:type="spellStart"/>
      <w:r w:rsidR="008C0593" w:rsidRPr="00B557A0">
        <w:rPr>
          <w:rFonts w:eastAsia="Calibri" w:cs="Arial"/>
        </w:rPr>
        <w:t>C</w:t>
      </w:r>
      <w:r w:rsidR="00011867">
        <w:rPr>
          <w:rFonts w:eastAsia="Calibri" w:cs="Arial"/>
        </w:rPr>
        <w:t>i</w:t>
      </w:r>
      <w:r w:rsidR="008C0593" w:rsidRPr="00B557A0">
        <w:rPr>
          <w:rFonts w:eastAsia="Calibri" w:cs="Arial"/>
        </w:rPr>
        <w:t>NO</w:t>
      </w:r>
      <w:proofErr w:type="spellEnd"/>
      <w:r w:rsidR="008C0593" w:rsidRPr="00B557A0">
        <w:rPr>
          <w:rFonts w:eastAsia="Calibri" w:cs="Arial"/>
        </w:rPr>
        <w:t xml:space="preserve"> at 31 March</w:t>
      </w:r>
      <w:r w:rsidR="008C0593">
        <w:rPr>
          <w:rFonts w:eastAsia="Calibri" w:cs="Arial"/>
        </w:rPr>
        <w:t xml:space="preserve"> in Brighton &amp; Hove, South-East and England, 2022/23 </w:t>
      </w:r>
      <w:r w:rsidR="009544F5">
        <w:rPr>
          <w:rFonts w:eastAsia="Calibri" w:cs="Arial"/>
        </w:rPr>
        <w:t xml:space="preserve">to </w:t>
      </w:r>
      <w:r w:rsidR="008C0593">
        <w:rPr>
          <w:rFonts w:eastAsia="Calibri" w:cs="Arial"/>
        </w:rPr>
        <w:t>2023/24</w:t>
      </w:r>
      <w:r w:rsidR="008C0593" w:rsidRPr="005B353D">
        <w:t xml:space="preserve"> </w:t>
      </w:r>
    </w:p>
    <w:p w14:paraId="353C4E63" w14:textId="0AA27E74" w:rsidR="00D86E33" w:rsidRPr="00477D61" w:rsidRDefault="00907BFE" w:rsidP="00477D61">
      <w:pPr>
        <w:spacing w:after="0" w:line="240" w:lineRule="auto"/>
        <w:rPr>
          <w:rFonts w:cs="Arial"/>
          <w:b/>
          <w:color w:val="0079C2"/>
          <w:szCs w:val="24"/>
        </w:rPr>
      </w:pPr>
      <w:r w:rsidRPr="00477D61">
        <w:rPr>
          <w:rFonts w:cs="Arial"/>
          <w:b/>
          <w:color w:val="0079C2"/>
          <w:szCs w:val="24"/>
        </w:rPr>
        <w:t>C</w:t>
      </w:r>
      <w:r w:rsidR="00630701" w:rsidRPr="00477D61">
        <w:rPr>
          <w:rFonts w:cs="Arial"/>
          <w:b/>
          <w:color w:val="0079C2"/>
          <w:szCs w:val="24"/>
        </w:rPr>
        <w:t>are</w:t>
      </w:r>
      <w:r w:rsidR="00304740">
        <w:rPr>
          <w:rFonts w:cs="Arial"/>
          <w:b/>
          <w:color w:val="0079C2"/>
          <w:szCs w:val="24"/>
        </w:rPr>
        <w:t xml:space="preserve"> experienced children</w:t>
      </w:r>
      <w:r w:rsidR="00326DB7">
        <w:rPr>
          <w:rFonts w:cs="Arial"/>
          <w:b/>
          <w:color w:val="0079C2"/>
          <w:szCs w:val="24"/>
        </w:rPr>
        <w:t xml:space="preserve"> (</w:t>
      </w:r>
      <w:r w:rsidR="00D86E33" w:rsidRPr="00477D61">
        <w:rPr>
          <w:rFonts w:cs="Arial"/>
          <w:b/>
          <w:color w:val="0079C2"/>
          <w:szCs w:val="24"/>
        </w:rPr>
        <w:t>Children Looked After (CLA)</w:t>
      </w:r>
      <w:r w:rsidR="00CA00DE">
        <w:rPr>
          <w:rFonts w:cs="Arial"/>
          <w:b/>
          <w:color w:val="0079C2"/>
          <w:szCs w:val="24"/>
        </w:rPr>
        <w:t>)</w:t>
      </w:r>
    </w:p>
    <w:p w14:paraId="156DC9EB" w14:textId="3F7C6024" w:rsidR="00BD363D" w:rsidRDefault="00C926A8" w:rsidP="00D9246A">
      <w:pPr>
        <w:spacing w:line="240" w:lineRule="auto"/>
        <w:rPr>
          <w:rFonts w:cs="Arial"/>
          <w:szCs w:val="24"/>
        </w:rPr>
      </w:pPr>
      <w:r>
        <w:rPr>
          <w:rFonts w:cs="Arial"/>
          <w:szCs w:val="24"/>
        </w:rPr>
        <w:t>Overall,</w:t>
      </w:r>
      <w:r w:rsidR="00BD363D">
        <w:rPr>
          <w:rFonts w:cs="Arial"/>
          <w:szCs w:val="24"/>
        </w:rPr>
        <w:t xml:space="preserve"> in </w:t>
      </w:r>
      <w:r w:rsidR="001B62A3">
        <w:rPr>
          <w:rFonts w:cs="Arial"/>
          <w:szCs w:val="24"/>
        </w:rPr>
        <w:t>Brighton and Hove</w:t>
      </w:r>
      <w:r w:rsidR="00BD363D">
        <w:rPr>
          <w:rFonts w:cs="Arial"/>
          <w:szCs w:val="24"/>
        </w:rPr>
        <w:t xml:space="preserve">, a greater proportion of </w:t>
      </w:r>
      <w:r w:rsidR="007365EF">
        <w:rPr>
          <w:rFonts w:cs="Arial"/>
          <w:szCs w:val="24"/>
        </w:rPr>
        <w:t xml:space="preserve">children looked after </w:t>
      </w:r>
      <w:r w:rsidR="00BD363D">
        <w:rPr>
          <w:rFonts w:cs="Arial"/>
          <w:szCs w:val="24"/>
        </w:rPr>
        <w:t xml:space="preserve">have </w:t>
      </w:r>
      <w:r w:rsidR="007365EF">
        <w:rPr>
          <w:rFonts w:cs="Arial"/>
          <w:szCs w:val="24"/>
        </w:rPr>
        <w:t xml:space="preserve">an EHC Plan than </w:t>
      </w:r>
      <w:r w:rsidR="00BD363D">
        <w:rPr>
          <w:rFonts w:cs="Arial"/>
          <w:szCs w:val="24"/>
        </w:rPr>
        <w:t xml:space="preserve">in </w:t>
      </w:r>
      <w:r w:rsidR="00BD363D" w:rsidRPr="00477D61">
        <w:rPr>
          <w:rFonts w:cs="Arial"/>
          <w:color w:val="000000" w:themeColor="text1"/>
        </w:rPr>
        <w:t>England</w:t>
      </w:r>
      <w:r w:rsidR="00DB1C8D">
        <w:rPr>
          <w:rFonts w:cs="Arial"/>
          <w:szCs w:val="24"/>
        </w:rPr>
        <w:t xml:space="preserve"> and</w:t>
      </w:r>
      <w:r w:rsidR="00BD363D">
        <w:rPr>
          <w:rFonts w:cs="Arial"/>
          <w:szCs w:val="24"/>
        </w:rPr>
        <w:t xml:space="preserve"> the South</w:t>
      </w:r>
      <w:r>
        <w:rPr>
          <w:rFonts w:cs="Arial"/>
          <w:szCs w:val="24"/>
        </w:rPr>
        <w:t>-</w:t>
      </w:r>
      <w:r w:rsidR="00BD363D">
        <w:rPr>
          <w:rFonts w:cs="Arial"/>
          <w:szCs w:val="24"/>
        </w:rPr>
        <w:t xml:space="preserve">East. </w:t>
      </w:r>
      <w:r w:rsidR="007365EF">
        <w:rPr>
          <w:rFonts w:cs="Arial"/>
          <w:szCs w:val="24"/>
        </w:rPr>
        <w:t>Th</w:t>
      </w:r>
      <w:r>
        <w:rPr>
          <w:rFonts w:cs="Arial"/>
          <w:szCs w:val="24"/>
        </w:rPr>
        <w:t>is</w:t>
      </w:r>
      <w:r w:rsidR="00BD363D">
        <w:rPr>
          <w:rFonts w:cs="Arial"/>
          <w:szCs w:val="24"/>
        </w:rPr>
        <w:t xml:space="preserve"> increased between 2022/23 and 2023/24. </w:t>
      </w:r>
    </w:p>
    <w:p w14:paraId="65980D5F" w14:textId="64925539" w:rsidR="00D86E33" w:rsidRDefault="00D86E33" w:rsidP="00D9246A">
      <w:pPr>
        <w:spacing w:line="240" w:lineRule="auto"/>
        <w:rPr>
          <w:rFonts w:cs="Arial"/>
          <w:szCs w:val="24"/>
        </w:rPr>
      </w:pPr>
      <w:r w:rsidRPr="00DB22FC">
        <w:rPr>
          <w:rFonts w:cs="Arial"/>
          <w:szCs w:val="24"/>
        </w:rPr>
        <w:t>In 2023/24, there w</w:t>
      </w:r>
      <w:r>
        <w:rPr>
          <w:rFonts w:cs="Arial"/>
          <w:szCs w:val="24"/>
        </w:rPr>
        <w:t xml:space="preserve">ere </w:t>
      </w:r>
      <w:r w:rsidRPr="00DB22FC">
        <w:rPr>
          <w:rFonts w:cs="Arial"/>
          <w:szCs w:val="24"/>
        </w:rPr>
        <w:t>more C</w:t>
      </w:r>
      <w:r>
        <w:rPr>
          <w:rFonts w:cs="Arial"/>
          <w:szCs w:val="24"/>
        </w:rPr>
        <w:t>LA</w:t>
      </w:r>
      <w:r w:rsidRPr="00DB22FC">
        <w:rPr>
          <w:rFonts w:cs="Arial"/>
          <w:szCs w:val="24"/>
        </w:rPr>
        <w:t xml:space="preserve"> on </w:t>
      </w:r>
      <w:r w:rsidR="003D6887">
        <w:rPr>
          <w:rFonts w:cs="Arial"/>
          <w:szCs w:val="24"/>
        </w:rPr>
        <w:t xml:space="preserve">an </w:t>
      </w:r>
      <w:r w:rsidRPr="00DB22FC">
        <w:rPr>
          <w:rFonts w:cs="Arial"/>
          <w:szCs w:val="24"/>
        </w:rPr>
        <w:t xml:space="preserve">EHC plan compared to SEN Support. </w:t>
      </w:r>
      <w:r>
        <w:rPr>
          <w:rFonts w:cs="Arial"/>
          <w:szCs w:val="24"/>
        </w:rPr>
        <w:t xml:space="preserve">There were 13,170 (32%) CLA with </w:t>
      </w:r>
      <w:r w:rsidR="003D6887">
        <w:rPr>
          <w:rFonts w:cs="Arial"/>
          <w:szCs w:val="24"/>
        </w:rPr>
        <w:t xml:space="preserve">an </w:t>
      </w:r>
      <w:r>
        <w:rPr>
          <w:rFonts w:cs="Arial"/>
          <w:szCs w:val="24"/>
        </w:rPr>
        <w:t xml:space="preserve">EHC plan in England compared to 11,390 (28%) on SEN support. In the South-East region, </w:t>
      </w:r>
      <w:r w:rsidR="00441F77">
        <w:rPr>
          <w:rFonts w:cs="Arial"/>
          <w:szCs w:val="24"/>
        </w:rPr>
        <w:t>there were</w:t>
      </w:r>
      <w:r>
        <w:rPr>
          <w:rFonts w:cs="Arial"/>
          <w:szCs w:val="24"/>
        </w:rPr>
        <w:t xml:space="preserve"> 1,980 (37%) </w:t>
      </w:r>
      <w:r w:rsidR="00BB2EB9">
        <w:rPr>
          <w:rFonts w:cs="Arial"/>
          <w:szCs w:val="24"/>
        </w:rPr>
        <w:t xml:space="preserve">CLA on an EHC plan </w:t>
      </w:r>
      <w:r>
        <w:rPr>
          <w:rFonts w:cs="Arial"/>
          <w:szCs w:val="24"/>
        </w:rPr>
        <w:t xml:space="preserve">compared to 1,380 (26%) </w:t>
      </w:r>
      <w:r w:rsidR="00A76478">
        <w:rPr>
          <w:rFonts w:cs="Arial"/>
          <w:szCs w:val="24"/>
        </w:rPr>
        <w:t>on SEN support</w:t>
      </w:r>
      <w:r w:rsidR="001D30BE">
        <w:rPr>
          <w:rFonts w:cs="Arial"/>
          <w:szCs w:val="24"/>
        </w:rPr>
        <w:t>. I</w:t>
      </w:r>
      <w:r>
        <w:rPr>
          <w:rFonts w:cs="Arial"/>
          <w:szCs w:val="24"/>
        </w:rPr>
        <w:t>n Brighton &amp; Hove, th</w:t>
      </w:r>
      <w:r w:rsidR="001D30BE">
        <w:rPr>
          <w:rFonts w:cs="Arial"/>
          <w:szCs w:val="24"/>
        </w:rPr>
        <w:t>e figures were</w:t>
      </w:r>
      <w:r>
        <w:rPr>
          <w:rFonts w:cs="Arial"/>
          <w:szCs w:val="24"/>
        </w:rPr>
        <w:t xml:space="preserve"> 73 (47%) and 41 (26%)</w:t>
      </w:r>
      <w:r w:rsidR="001D30BE">
        <w:rPr>
          <w:rFonts w:cs="Arial"/>
          <w:szCs w:val="24"/>
        </w:rPr>
        <w:t>,</w:t>
      </w:r>
      <w:r>
        <w:rPr>
          <w:rFonts w:cs="Arial"/>
          <w:szCs w:val="24"/>
        </w:rPr>
        <w:t xml:space="preserve"> respectively</w:t>
      </w:r>
      <w:r w:rsidR="005C3751">
        <w:rPr>
          <w:rStyle w:val="EndnoteReference"/>
          <w:szCs w:val="24"/>
        </w:rPr>
        <w:endnoteReference w:id="55"/>
      </w:r>
      <w:r>
        <w:rPr>
          <w:rFonts w:cs="Arial"/>
          <w:szCs w:val="24"/>
        </w:rPr>
        <w:t>.</w:t>
      </w:r>
    </w:p>
    <w:p w14:paraId="1545D473" w14:textId="2F9F2A0E" w:rsidR="00D86E33" w:rsidRDefault="00D86E33" w:rsidP="00D9246A">
      <w:pPr>
        <w:spacing w:line="240" w:lineRule="auto"/>
        <w:rPr>
          <w:rFonts w:cs="Arial"/>
          <w:szCs w:val="24"/>
        </w:rPr>
      </w:pPr>
      <w:r>
        <w:rPr>
          <w:rFonts w:cs="Arial"/>
          <w:szCs w:val="24"/>
        </w:rPr>
        <w:t>For the same year, there were 41%</w:t>
      </w:r>
      <w:r w:rsidR="003B367C">
        <w:rPr>
          <w:rFonts w:cs="Arial"/>
          <w:szCs w:val="24"/>
        </w:rPr>
        <w:t xml:space="preserve"> (</w:t>
      </w:r>
      <w:r>
        <w:rPr>
          <w:rFonts w:cs="Arial"/>
          <w:szCs w:val="24"/>
        </w:rPr>
        <w:t xml:space="preserve">16,730) CLA with no identified SEN in England, </w:t>
      </w:r>
      <w:r w:rsidR="00364BD3">
        <w:rPr>
          <w:rFonts w:cs="Arial"/>
          <w:szCs w:val="24"/>
        </w:rPr>
        <w:t xml:space="preserve">a </w:t>
      </w:r>
      <w:r>
        <w:rPr>
          <w:rFonts w:cs="Arial"/>
          <w:szCs w:val="24"/>
        </w:rPr>
        <w:t xml:space="preserve">higher </w:t>
      </w:r>
      <w:r w:rsidR="00364BD3">
        <w:rPr>
          <w:rFonts w:cs="Arial"/>
          <w:szCs w:val="24"/>
        </w:rPr>
        <w:t xml:space="preserve">average </w:t>
      </w:r>
      <w:r>
        <w:rPr>
          <w:rFonts w:cs="Arial"/>
          <w:szCs w:val="24"/>
        </w:rPr>
        <w:t xml:space="preserve">than </w:t>
      </w:r>
      <w:r w:rsidR="00364BD3">
        <w:rPr>
          <w:rFonts w:cs="Arial"/>
          <w:szCs w:val="24"/>
        </w:rPr>
        <w:t>the</w:t>
      </w:r>
      <w:r>
        <w:rPr>
          <w:rFonts w:cs="Arial"/>
          <w:szCs w:val="24"/>
        </w:rPr>
        <w:t xml:space="preserve"> South-East </w:t>
      </w:r>
      <w:r w:rsidR="00F146C2">
        <w:rPr>
          <w:rFonts w:cs="Arial"/>
          <w:szCs w:val="24"/>
        </w:rPr>
        <w:t xml:space="preserve">at </w:t>
      </w:r>
      <w:r w:rsidR="00364BD3">
        <w:rPr>
          <w:rFonts w:cs="Arial"/>
          <w:szCs w:val="24"/>
        </w:rPr>
        <w:t>37% (</w:t>
      </w:r>
      <w:r>
        <w:rPr>
          <w:rFonts w:cs="Arial"/>
          <w:szCs w:val="24"/>
        </w:rPr>
        <w:t xml:space="preserve">1,990) and </w:t>
      </w:r>
      <w:r w:rsidR="00F146C2">
        <w:rPr>
          <w:rFonts w:cs="Arial"/>
          <w:szCs w:val="24"/>
        </w:rPr>
        <w:t xml:space="preserve">was </w:t>
      </w:r>
      <w:r>
        <w:rPr>
          <w:rFonts w:cs="Arial"/>
          <w:szCs w:val="24"/>
        </w:rPr>
        <w:t xml:space="preserve">lowest for Brighton &amp; Hove </w:t>
      </w:r>
      <w:r w:rsidR="00F146C2">
        <w:rPr>
          <w:rFonts w:cs="Arial"/>
          <w:szCs w:val="24"/>
        </w:rPr>
        <w:t>at</w:t>
      </w:r>
      <w:r>
        <w:rPr>
          <w:rFonts w:cs="Arial"/>
          <w:szCs w:val="24"/>
        </w:rPr>
        <w:t xml:space="preserve"> 27%</w:t>
      </w:r>
      <w:r w:rsidR="00F146C2">
        <w:rPr>
          <w:rFonts w:cs="Arial"/>
          <w:szCs w:val="24"/>
        </w:rPr>
        <w:t xml:space="preserve"> (</w:t>
      </w:r>
      <w:r>
        <w:rPr>
          <w:rFonts w:cs="Arial"/>
          <w:szCs w:val="24"/>
        </w:rPr>
        <w:t>42).</w:t>
      </w:r>
      <w:r w:rsidR="00F146C2">
        <w:rPr>
          <w:rFonts w:cs="Arial"/>
          <w:szCs w:val="24"/>
        </w:rPr>
        <w:t xml:space="preserve"> </w:t>
      </w:r>
    </w:p>
    <w:p w14:paraId="28F02925" w14:textId="2CD4B6A2" w:rsidR="00E62ED7" w:rsidRPr="003376F6" w:rsidRDefault="00E62ED7" w:rsidP="00D9246A">
      <w:pPr>
        <w:spacing w:line="240" w:lineRule="auto"/>
        <w:rPr>
          <w:b/>
          <w:color w:val="A65588"/>
        </w:rPr>
      </w:pPr>
      <w:r w:rsidRPr="003376F6">
        <w:rPr>
          <w:b/>
          <w:color w:val="A65588"/>
        </w:rPr>
        <w:t xml:space="preserve">Table </w:t>
      </w:r>
      <w:r w:rsidR="001F7135" w:rsidRPr="003376F6">
        <w:rPr>
          <w:b/>
          <w:color w:val="A65588"/>
        </w:rPr>
        <w:fldChar w:fldCharType="begin"/>
      </w:r>
      <w:r w:rsidR="001F7135" w:rsidRPr="003376F6">
        <w:rPr>
          <w:b/>
          <w:color w:val="A65588"/>
        </w:rPr>
        <w:instrText xml:space="preserve"> SEQ Table \* ARABIC </w:instrText>
      </w:r>
      <w:r w:rsidR="001F7135" w:rsidRPr="003376F6">
        <w:rPr>
          <w:b/>
          <w:color w:val="A65588"/>
        </w:rPr>
        <w:fldChar w:fldCharType="separate"/>
      </w:r>
      <w:r w:rsidR="009A41AE">
        <w:rPr>
          <w:b/>
          <w:noProof/>
          <w:color w:val="A65588"/>
        </w:rPr>
        <w:t>9</w:t>
      </w:r>
      <w:r w:rsidR="001F7135" w:rsidRPr="003376F6">
        <w:rPr>
          <w:b/>
          <w:color w:val="A65588"/>
        </w:rPr>
        <w:fldChar w:fldCharType="end"/>
      </w:r>
      <w:r w:rsidRPr="003376F6">
        <w:rPr>
          <w:b/>
          <w:color w:val="A65588"/>
        </w:rPr>
        <w:t>: Special education</w:t>
      </w:r>
      <w:r w:rsidR="003E6DB6" w:rsidRPr="003376F6">
        <w:rPr>
          <w:b/>
          <w:color w:val="A65588"/>
        </w:rPr>
        <w:t>al</w:t>
      </w:r>
      <w:r w:rsidRPr="003376F6">
        <w:rPr>
          <w:b/>
          <w:color w:val="A65588"/>
        </w:rPr>
        <w:t xml:space="preserve"> needs for children looked after</w:t>
      </w:r>
      <w:r w:rsidR="003376F6">
        <w:rPr>
          <w:b/>
          <w:bCs/>
          <w:color w:val="A65588"/>
        </w:rPr>
        <w:t>,</w:t>
      </w:r>
      <w:r>
        <w:rPr>
          <w:b/>
          <w:color w:val="A65588"/>
        </w:rPr>
        <w:t xml:space="preserve"> </w:t>
      </w:r>
      <w:r w:rsidRPr="003376F6">
        <w:rPr>
          <w:b/>
          <w:color w:val="A65588"/>
        </w:rPr>
        <w:t xml:space="preserve">Brighton and Hove, South-East and England, </w:t>
      </w:r>
      <w:r w:rsidRPr="003376F6">
        <w:rPr>
          <w:b/>
          <w:bCs/>
          <w:color w:val="A65588"/>
        </w:rPr>
        <w:t xml:space="preserve">31 March </w:t>
      </w:r>
      <w:r w:rsidRPr="003376F6">
        <w:rPr>
          <w:b/>
          <w:color w:val="A65588"/>
        </w:rPr>
        <w:t xml:space="preserve">2022/23 </w:t>
      </w:r>
      <w:r w:rsidR="00E11F30" w:rsidRPr="003376F6">
        <w:rPr>
          <w:b/>
          <w:color w:val="A65588"/>
        </w:rPr>
        <w:t xml:space="preserve">and </w:t>
      </w:r>
      <w:r w:rsidRPr="003376F6">
        <w:rPr>
          <w:b/>
          <w:color w:val="A65588"/>
        </w:rPr>
        <w:t>2023/24</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1097"/>
        <w:gridCol w:w="1241"/>
        <w:gridCol w:w="1352"/>
        <w:gridCol w:w="1365"/>
        <w:gridCol w:w="1291"/>
        <w:gridCol w:w="1291"/>
      </w:tblGrid>
      <w:tr w:rsidR="00247B54" w:rsidRPr="002936E3" w14:paraId="5DD5623C" w14:textId="77777777" w:rsidTr="00516D82">
        <w:trPr>
          <w:trHeight w:val="828"/>
        </w:trPr>
        <w:tc>
          <w:tcPr>
            <w:tcW w:w="1707" w:type="dxa"/>
            <w:shd w:val="clear" w:color="auto" w:fill="086A76"/>
          </w:tcPr>
          <w:p w14:paraId="5493ED1A" w14:textId="77777777" w:rsidR="00D86E33" w:rsidRPr="002936E3" w:rsidRDefault="00D86E33">
            <w:pPr>
              <w:rPr>
                <w:rFonts w:cs="Arial"/>
                <w:szCs w:val="24"/>
              </w:rPr>
            </w:pPr>
          </w:p>
        </w:tc>
        <w:tc>
          <w:tcPr>
            <w:tcW w:w="1097" w:type="dxa"/>
            <w:shd w:val="clear" w:color="auto" w:fill="086A76"/>
          </w:tcPr>
          <w:p w14:paraId="49FBE625" w14:textId="77777777" w:rsidR="00D86E33" w:rsidRPr="00305B4D" w:rsidRDefault="00D86E33">
            <w:pPr>
              <w:rPr>
                <w:rFonts w:cs="Arial"/>
                <w:color w:val="FFFFFF" w:themeColor="background1"/>
                <w:szCs w:val="24"/>
              </w:rPr>
            </w:pPr>
            <w:r w:rsidRPr="00CD2D3A">
              <w:rPr>
                <w:rFonts w:cs="Arial"/>
                <w:color w:val="FFFFFF" w:themeColor="background1"/>
                <w:szCs w:val="24"/>
              </w:rPr>
              <w:t>England</w:t>
            </w:r>
          </w:p>
          <w:p w14:paraId="5FB90244" w14:textId="77777777" w:rsidR="00D86E33" w:rsidRPr="00BF0403" w:rsidRDefault="00D86E33">
            <w:pPr>
              <w:rPr>
                <w:rFonts w:cs="Arial"/>
                <w:color w:val="FFFFFF" w:themeColor="background1"/>
                <w:szCs w:val="24"/>
              </w:rPr>
            </w:pPr>
            <w:r w:rsidRPr="00BF0403">
              <w:rPr>
                <w:rFonts w:cs="Arial"/>
                <w:color w:val="FFFFFF" w:themeColor="background1"/>
                <w:szCs w:val="24"/>
              </w:rPr>
              <w:t>2022/23</w:t>
            </w:r>
          </w:p>
        </w:tc>
        <w:tc>
          <w:tcPr>
            <w:tcW w:w="1241" w:type="dxa"/>
            <w:shd w:val="clear" w:color="auto" w:fill="086A76"/>
          </w:tcPr>
          <w:p w14:paraId="5798C8F6" w14:textId="77777777" w:rsidR="00D86E33" w:rsidRPr="00305B4D" w:rsidRDefault="00D86E33">
            <w:pPr>
              <w:rPr>
                <w:rFonts w:cs="Arial"/>
                <w:color w:val="FFFFFF" w:themeColor="background1"/>
                <w:szCs w:val="24"/>
              </w:rPr>
            </w:pPr>
            <w:r w:rsidRPr="00BF0403">
              <w:rPr>
                <w:rFonts w:cs="Arial"/>
                <w:color w:val="FFFFFF" w:themeColor="background1"/>
                <w:szCs w:val="24"/>
              </w:rPr>
              <w:t>England</w:t>
            </w:r>
          </w:p>
          <w:p w14:paraId="1B62728A" w14:textId="77777777" w:rsidR="00D86E33" w:rsidRPr="00CD2D3A" w:rsidRDefault="00D86E33">
            <w:pPr>
              <w:rPr>
                <w:rFonts w:cs="Arial"/>
                <w:color w:val="FFFFFF" w:themeColor="background1"/>
                <w:szCs w:val="24"/>
              </w:rPr>
            </w:pPr>
            <w:r w:rsidRPr="00CD2D3A">
              <w:rPr>
                <w:rFonts w:cs="Arial"/>
                <w:color w:val="FFFFFF" w:themeColor="background1"/>
                <w:szCs w:val="24"/>
              </w:rPr>
              <w:t>2023/24</w:t>
            </w:r>
          </w:p>
        </w:tc>
        <w:tc>
          <w:tcPr>
            <w:tcW w:w="1352" w:type="dxa"/>
            <w:shd w:val="clear" w:color="auto" w:fill="086A76"/>
          </w:tcPr>
          <w:p w14:paraId="2AD0E490" w14:textId="77777777" w:rsidR="00D86E33" w:rsidRPr="00305B4D" w:rsidRDefault="00D86E33">
            <w:pPr>
              <w:rPr>
                <w:rFonts w:cs="Arial"/>
                <w:color w:val="FFFFFF" w:themeColor="background1"/>
                <w:szCs w:val="24"/>
              </w:rPr>
            </w:pPr>
            <w:r w:rsidRPr="00CD2D3A">
              <w:rPr>
                <w:rFonts w:cs="Arial"/>
                <w:color w:val="FFFFFF" w:themeColor="background1"/>
                <w:szCs w:val="24"/>
              </w:rPr>
              <w:t>South-East</w:t>
            </w:r>
          </w:p>
          <w:p w14:paraId="2ADD2648" w14:textId="77777777" w:rsidR="00D86E33" w:rsidRPr="00CD2D3A" w:rsidRDefault="00D86E33">
            <w:pPr>
              <w:rPr>
                <w:rFonts w:cs="Arial"/>
                <w:color w:val="FFFFFF" w:themeColor="background1"/>
                <w:szCs w:val="24"/>
              </w:rPr>
            </w:pPr>
            <w:r w:rsidRPr="00CD2D3A">
              <w:rPr>
                <w:rFonts w:cs="Arial"/>
                <w:color w:val="FFFFFF" w:themeColor="background1"/>
                <w:szCs w:val="24"/>
              </w:rPr>
              <w:lastRenderedPageBreak/>
              <w:t>2022/23</w:t>
            </w:r>
          </w:p>
        </w:tc>
        <w:tc>
          <w:tcPr>
            <w:tcW w:w="1365" w:type="dxa"/>
            <w:shd w:val="clear" w:color="auto" w:fill="086A76"/>
          </w:tcPr>
          <w:p w14:paraId="011253F4" w14:textId="77777777" w:rsidR="00D86E33" w:rsidRPr="00305B4D" w:rsidRDefault="00D86E33">
            <w:pPr>
              <w:rPr>
                <w:rFonts w:cs="Arial"/>
                <w:color w:val="FFFFFF" w:themeColor="background1"/>
                <w:szCs w:val="24"/>
              </w:rPr>
            </w:pPr>
            <w:r w:rsidRPr="00CD2D3A">
              <w:rPr>
                <w:rFonts w:cs="Arial"/>
                <w:color w:val="FFFFFF" w:themeColor="background1"/>
                <w:szCs w:val="24"/>
              </w:rPr>
              <w:lastRenderedPageBreak/>
              <w:t>South-East</w:t>
            </w:r>
          </w:p>
          <w:p w14:paraId="372B692B" w14:textId="77777777" w:rsidR="00D86E33" w:rsidRPr="00CD2D3A" w:rsidRDefault="00D86E33">
            <w:pPr>
              <w:rPr>
                <w:rFonts w:cs="Arial"/>
                <w:color w:val="FFFFFF" w:themeColor="background1"/>
                <w:szCs w:val="24"/>
              </w:rPr>
            </w:pPr>
            <w:r w:rsidRPr="00CD2D3A">
              <w:rPr>
                <w:rFonts w:cs="Arial"/>
                <w:color w:val="FFFFFF" w:themeColor="background1"/>
                <w:szCs w:val="24"/>
              </w:rPr>
              <w:lastRenderedPageBreak/>
              <w:t>2023/24</w:t>
            </w:r>
          </w:p>
        </w:tc>
        <w:tc>
          <w:tcPr>
            <w:tcW w:w="1291" w:type="dxa"/>
            <w:shd w:val="clear" w:color="auto" w:fill="086A76"/>
          </w:tcPr>
          <w:p w14:paraId="176E72F0" w14:textId="77777777" w:rsidR="00D86E33" w:rsidRPr="00305B4D" w:rsidRDefault="00D86E33">
            <w:pPr>
              <w:jc w:val="center"/>
              <w:rPr>
                <w:rFonts w:cs="Arial"/>
                <w:color w:val="FFFFFF" w:themeColor="background1"/>
                <w:szCs w:val="24"/>
              </w:rPr>
            </w:pPr>
            <w:r w:rsidRPr="00CD2D3A">
              <w:rPr>
                <w:rFonts w:cs="Arial"/>
                <w:color w:val="FFFFFF" w:themeColor="background1"/>
                <w:szCs w:val="24"/>
              </w:rPr>
              <w:lastRenderedPageBreak/>
              <w:t>Brighton &amp; Hove</w:t>
            </w:r>
          </w:p>
          <w:p w14:paraId="033C17BD" w14:textId="77777777" w:rsidR="00D86E33" w:rsidRPr="00CD2D3A" w:rsidRDefault="00D86E33">
            <w:pPr>
              <w:rPr>
                <w:rFonts w:cs="Arial"/>
                <w:color w:val="FFFFFF" w:themeColor="background1"/>
                <w:szCs w:val="24"/>
              </w:rPr>
            </w:pPr>
            <w:r w:rsidRPr="00CD2D3A">
              <w:rPr>
                <w:rFonts w:cs="Arial"/>
                <w:color w:val="FFFFFF" w:themeColor="background1"/>
                <w:szCs w:val="24"/>
              </w:rPr>
              <w:lastRenderedPageBreak/>
              <w:t>2022/23</w:t>
            </w:r>
          </w:p>
        </w:tc>
        <w:tc>
          <w:tcPr>
            <w:tcW w:w="1291" w:type="dxa"/>
            <w:shd w:val="clear" w:color="auto" w:fill="086A76"/>
          </w:tcPr>
          <w:p w14:paraId="33676A21" w14:textId="77777777" w:rsidR="00D86E33" w:rsidRPr="00305B4D" w:rsidRDefault="00D86E33">
            <w:pPr>
              <w:jc w:val="center"/>
              <w:rPr>
                <w:rFonts w:cs="Arial"/>
                <w:color w:val="FFFFFF" w:themeColor="background1"/>
                <w:szCs w:val="24"/>
              </w:rPr>
            </w:pPr>
            <w:r w:rsidRPr="00CD2D3A">
              <w:rPr>
                <w:rFonts w:cs="Arial"/>
                <w:color w:val="FFFFFF" w:themeColor="background1"/>
                <w:szCs w:val="24"/>
              </w:rPr>
              <w:lastRenderedPageBreak/>
              <w:t>Brighton &amp; Hove</w:t>
            </w:r>
          </w:p>
          <w:p w14:paraId="215F3DDF" w14:textId="77777777" w:rsidR="00D86E33" w:rsidRPr="00CD2D3A" w:rsidRDefault="00D86E33">
            <w:pPr>
              <w:rPr>
                <w:rFonts w:cs="Arial"/>
                <w:color w:val="FFFFFF" w:themeColor="background1"/>
                <w:szCs w:val="24"/>
              </w:rPr>
            </w:pPr>
            <w:r w:rsidRPr="00CD2D3A">
              <w:rPr>
                <w:rFonts w:cs="Arial"/>
                <w:color w:val="FFFFFF" w:themeColor="background1"/>
                <w:szCs w:val="24"/>
              </w:rPr>
              <w:lastRenderedPageBreak/>
              <w:t>2023/24</w:t>
            </w:r>
          </w:p>
        </w:tc>
      </w:tr>
      <w:tr w:rsidR="00247B54" w:rsidRPr="002936E3" w14:paraId="43B3287C" w14:textId="77777777" w:rsidTr="00516D82">
        <w:tc>
          <w:tcPr>
            <w:tcW w:w="1707" w:type="dxa"/>
          </w:tcPr>
          <w:p w14:paraId="5E2689E9" w14:textId="77777777" w:rsidR="00D86E33" w:rsidRPr="002936E3" w:rsidRDefault="00D86E33">
            <w:pPr>
              <w:rPr>
                <w:rFonts w:cs="Arial"/>
                <w:szCs w:val="24"/>
              </w:rPr>
            </w:pPr>
            <w:r>
              <w:rPr>
                <w:rFonts w:cs="Arial"/>
                <w:szCs w:val="24"/>
              </w:rPr>
              <w:lastRenderedPageBreak/>
              <w:t>% of pupils with EHC plan</w:t>
            </w:r>
          </w:p>
        </w:tc>
        <w:tc>
          <w:tcPr>
            <w:tcW w:w="1097" w:type="dxa"/>
          </w:tcPr>
          <w:p w14:paraId="0785A1FD" w14:textId="77777777" w:rsidR="00D86E33" w:rsidRPr="00595FE6" w:rsidRDefault="00D86E33" w:rsidP="00477D61">
            <w:pPr>
              <w:jc w:val="right"/>
              <w:rPr>
                <w:rFonts w:cs="Arial"/>
                <w:szCs w:val="24"/>
              </w:rPr>
            </w:pPr>
          </w:p>
          <w:p w14:paraId="2CA4216E" w14:textId="77777777" w:rsidR="00D86E33" w:rsidRPr="002936E3" w:rsidRDefault="00D86E33" w:rsidP="00477D61">
            <w:pPr>
              <w:jc w:val="right"/>
              <w:rPr>
                <w:rFonts w:cs="Arial"/>
                <w:szCs w:val="24"/>
              </w:rPr>
            </w:pPr>
            <w:r w:rsidRPr="00595FE6">
              <w:rPr>
                <w:rFonts w:cs="Arial"/>
                <w:szCs w:val="24"/>
              </w:rPr>
              <w:t>31%</w:t>
            </w:r>
          </w:p>
        </w:tc>
        <w:tc>
          <w:tcPr>
            <w:tcW w:w="1241" w:type="dxa"/>
          </w:tcPr>
          <w:p w14:paraId="2FA34D7B" w14:textId="77777777" w:rsidR="00D86E33" w:rsidRPr="00595FE6" w:rsidRDefault="00D86E33" w:rsidP="00477D61">
            <w:pPr>
              <w:jc w:val="right"/>
              <w:rPr>
                <w:rFonts w:cs="Arial"/>
                <w:szCs w:val="24"/>
              </w:rPr>
            </w:pPr>
          </w:p>
          <w:p w14:paraId="26E03D54" w14:textId="77777777" w:rsidR="00D86E33" w:rsidRPr="002936E3" w:rsidRDefault="00D86E33" w:rsidP="00477D61">
            <w:pPr>
              <w:jc w:val="right"/>
              <w:rPr>
                <w:rFonts w:cs="Arial"/>
                <w:szCs w:val="24"/>
              </w:rPr>
            </w:pPr>
            <w:r w:rsidRPr="00595FE6">
              <w:rPr>
                <w:rFonts w:cs="Arial"/>
                <w:szCs w:val="24"/>
              </w:rPr>
              <w:t>32%</w:t>
            </w:r>
          </w:p>
        </w:tc>
        <w:tc>
          <w:tcPr>
            <w:tcW w:w="1352" w:type="dxa"/>
          </w:tcPr>
          <w:p w14:paraId="039D8A99" w14:textId="77777777" w:rsidR="00D86E33" w:rsidRPr="00595FE6" w:rsidRDefault="00D86E33" w:rsidP="00477D61">
            <w:pPr>
              <w:jc w:val="right"/>
              <w:rPr>
                <w:rFonts w:cs="Arial"/>
                <w:szCs w:val="24"/>
              </w:rPr>
            </w:pPr>
          </w:p>
          <w:p w14:paraId="4DDAC335" w14:textId="77777777" w:rsidR="00D86E33" w:rsidRPr="002936E3" w:rsidRDefault="00D86E33" w:rsidP="00477D61">
            <w:pPr>
              <w:jc w:val="right"/>
              <w:rPr>
                <w:rFonts w:cs="Arial"/>
                <w:szCs w:val="24"/>
              </w:rPr>
            </w:pPr>
            <w:r w:rsidRPr="00595FE6">
              <w:rPr>
                <w:rFonts w:cs="Arial"/>
                <w:szCs w:val="24"/>
              </w:rPr>
              <w:t>36%</w:t>
            </w:r>
          </w:p>
        </w:tc>
        <w:tc>
          <w:tcPr>
            <w:tcW w:w="1365" w:type="dxa"/>
          </w:tcPr>
          <w:p w14:paraId="5C7FA7DC" w14:textId="77777777" w:rsidR="00D86E33" w:rsidRPr="00595FE6" w:rsidRDefault="00D86E33" w:rsidP="00477D61">
            <w:pPr>
              <w:jc w:val="right"/>
              <w:rPr>
                <w:rFonts w:cs="Arial"/>
                <w:szCs w:val="24"/>
              </w:rPr>
            </w:pPr>
          </w:p>
          <w:p w14:paraId="28579A6F" w14:textId="77777777" w:rsidR="00D86E33" w:rsidRPr="002936E3" w:rsidRDefault="00D86E33" w:rsidP="00477D61">
            <w:pPr>
              <w:jc w:val="right"/>
              <w:rPr>
                <w:rFonts w:cs="Arial"/>
                <w:szCs w:val="24"/>
              </w:rPr>
            </w:pPr>
            <w:r w:rsidRPr="00595FE6">
              <w:rPr>
                <w:rFonts w:cs="Arial"/>
                <w:szCs w:val="24"/>
              </w:rPr>
              <w:t>37%</w:t>
            </w:r>
          </w:p>
        </w:tc>
        <w:tc>
          <w:tcPr>
            <w:tcW w:w="1291" w:type="dxa"/>
          </w:tcPr>
          <w:p w14:paraId="43CC634C" w14:textId="77777777" w:rsidR="00D86E33" w:rsidRPr="00595FE6" w:rsidRDefault="00D86E33" w:rsidP="00477D61">
            <w:pPr>
              <w:jc w:val="right"/>
              <w:rPr>
                <w:rFonts w:cs="Arial"/>
                <w:szCs w:val="24"/>
              </w:rPr>
            </w:pPr>
          </w:p>
          <w:p w14:paraId="130A45AF" w14:textId="77777777" w:rsidR="00D86E33" w:rsidRPr="002936E3" w:rsidRDefault="00D86E33" w:rsidP="00477D61">
            <w:pPr>
              <w:jc w:val="right"/>
              <w:rPr>
                <w:rFonts w:cs="Arial"/>
                <w:szCs w:val="24"/>
              </w:rPr>
            </w:pPr>
            <w:r w:rsidRPr="00595FE6">
              <w:rPr>
                <w:rFonts w:cs="Arial"/>
                <w:szCs w:val="24"/>
              </w:rPr>
              <w:t>43%</w:t>
            </w:r>
          </w:p>
        </w:tc>
        <w:tc>
          <w:tcPr>
            <w:tcW w:w="1291" w:type="dxa"/>
          </w:tcPr>
          <w:p w14:paraId="0C2013B5" w14:textId="77777777" w:rsidR="00D86E33" w:rsidRPr="00595FE6" w:rsidRDefault="00D86E33" w:rsidP="00477D61">
            <w:pPr>
              <w:jc w:val="right"/>
              <w:rPr>
                <w:rFonts w:cs="Arial"/>
                <w:szCs w:val="24"/>
              </w:rPr>
            </w:pPr>
          </w:p>
          <w:p w14:paraId="45A0C505" w14:textId="77777777" w:rsidR="00D86E33" w:rsidRPr="002936E3" w:rsidRDefault="00D86E33" w:rsidP="00477D61">
            <w:pPr>
              <w:jc w:val="right"/>
              <w:rPr>
                <w:rFonts w:cs="Arial"/>
                <w:szCs w:val="24"/>
              </w:rPr>
            </w:pPr>
            <w:r w:rsidRPr="00595FE6">
              <w:rPr>
                <w:rFonts w:cs="Arial"/>
                <w:szCs w:val="24"/>
              </w:rPr>
              <w:t>47%</w:t>
            </w:r>
          </w:p>
        </w:tc>
      </w:tr>
      <w:tr w:rsidR="00247B54" w:rsidRPr="002936E3" w14:paraId="6354C302" w14:textId="77777777" w:rsidTr="00516D82">
        <w:tc>
          <w:tcPr>
            <w:tcW w:w="1707" w:type="dxa"/>
          </w:tcPr>
          <w:p w14:paraId="4B24E474" w14:textId="77777777" w:rsidR="00D86E33" w:rsidRPr="002936E3" w:rsidRDefault="00D86E33">
            <w:pPr>
              <w:rPr>
                <w:rFonts w:cs="Arial"/>
                <w:szCs w:val="24"/>
              </w:rPr>
            </w:pPr>
            <w:r>
              <w:rPr>
                <w:rFonts w:cs="Arial"/>
                <w:szCs w:val="24"/>
              </w:rPr>
              <w:t>% of pupils with SEN support</w:t>
            </w:r>
          </w:p>
        </w:tc>
        <w:tc>
          <w:tcPr>
            <w:tcW w:w="1097" w:type="dxa"/>
          </w:tcPr>
          <w:p w14:paraId="615D13F3" w14:textId="77777777" w:rsidR="00D86E33" w:rsidRPr="00595FE6" w:rsidRDefault="00D86E33" w:rsidP="00477D61">
            <w:pPr>
              <w:jc w:val="right"/>
              <w:rPr>
                <w:rFonts w:cs="Arial"/>
                <w:szCs w:val="24"/>
              </w:rPr>
            </w:pPr>
          </w:p>
          <w:p w14:paraId="4AD33B00" w14:textId="77777777" w:rsidR="00D86E33" w:rsidRPr="002936E3" w:rsidRDefault="00D86E33" w:rsidP="00477D61">
            <w:pPr>
              <w:jc w:val="right"/>
              <w:rPr>
                <w:rFonts w:cs="Arial"/>
                <w:szCs w:val="24"/>
              </w:rPr>
            </w:pPr>
            <w:r w:rsidRPr="00595FE6">
              <w:rPr>
                <w:rFonts w:cs="Arial"/>
                <w:szCs w:val="24"/>
              </w:rPr>
              <w:t>27%</w:t>
            </w:r>
          </w:p>
        </w:tc>
        <w:tc>
          <w:tcPr>
            <w:tcW w:w="1241" w:type="dxa"/>
          </w:tcPr>
          <w:p w14:paraId="248B5428" w14:textId="77777777" w:rsidR="00D86E33" w:rsidRPr="00595FE6" w:rsidRDefault="00D86E33" w:rsidP="00477D61">
            <w:pPr>
              <w:jc w:val="right"/>
              <w:rPr>
                <w:rFonts w:cs="Arial"/>
                <w:szCs w:val="24"/>
              </w:rPr>
            </w:pPr>
          </w:p>
          <w:p w14:paraId="10283E41" w14:textId="77777777" w:rsidR="00D86E33" w:rsidRPr="002936E3" w:rsidRDefault="00D86E33" w:rsidP="00477D61">
            <w:pPr>
              <w:jc w:val="right"/>
              <w:rPr>
                <w:rFonts w:cs="Arial"/>
                <w:szCs w:val="24"/>
              </w:rPr>
            </w:pPr>
            <w:r w:rsidRPr="00595FE6">
              <w:rPr>
                <w:rFonts w:cs="Arial"/>
                <w:szCs w:val="24"/>
              </w:rPr>
              <w:t>28%</w:t>
            </w:r>
          </w:p>
        </w:tc>
        <w:tc>
          <w:tcPr>
            <w:tcW w:w="1352" w:type="dxa"/>
          </w:tcPr>
          <w:p w14:paraId="72E8EE2B" w14:textId="77777777" w:rsidR="00D86E33" w:rsidRPr="00595FE6" w:rsidRDefault="00D86E33" w:rsidP="00477D61">
            <w:pPr>
              <w:jc w:val="right"/>
              <w:rPr>
                <w:rFonts w:cs="Arial"/>
                <w:szCs w:val="24"/>
              </w:rPr>
            </w:pPr>
          </w:p>
          <w:p w14:paraId="6D05EE6A" w14:textId="77777777" w:rsidR="00D86E33" w:rsidRPr="002936E3" w:rsidRDefault="00D86E33" w:rsidP="00477D61">
            <w:pPr>
              <w:jc w:val="right"/>
              <w:rPr>
                <w:rFonts w:cs="Arial"/>
                <w:szCs w:val="24"/>
              </w:rPr>
            </w:pPr>
            <w:r w:rsidRPr="00595FE6">
              <w:rPr>
                <w:rFonts w:cs="Arial"/>
                <w:szCs w:val="24"/>
              </w:rPr>
              <w:t>26%</w:t>
            </w:r>
          </w:p>
        </w:tc>
        <w:tc>
          <w:tcPr>
            <w:tcW w:w="1365" w:type="dxa"/>
          </w:tcPr>
          <w:p w14:paraId="17985005" w14:textId="77777777" w:rsidR="00D86E33" w:rsidRPr="00595FE6" w:rsidRDefault="00D86E33" w:rsidP="00477D61">
            <w:pPr>
              <w:jc w:val="right"/>
              <w:rPr>
                <w:rFonts w:cs="Arial"/>
                <w:szCs w:val="24"/>
              </w:rPr>
            </w:pPr>
          </w:p>
          <w:p w14:paraId="49429EDE" w14:textId="77777777" w:rsidR="00D86E33" w:rsidRPr="002936E3" w:rsidRDefault="00D86E33" w:rsidP="00477D61">
            <w:pPr>
              <w:jc w:val="right"/>
              <w:rPr>
                <w:rFonts w:cs="Arial"/>
                <w:szCs w:val="24"/>
              </w:rPr>
            </w:pPr>
            <w:r w:rsidRPr="00595FE6">
              <w:rPr>
                <w:rFonts w:cs="Arial"/>
                <w:szCs w:val="24"/>
              </w:rPr>
              <w:t>26%</w:t>
            </w:r>
          </w:p>
        </w:tc>
        <w:tc>
          <w:tcPr>
            <w:tcW w:w="1291" w:type="dxa"/>
          </w:tcPr>
          <w:p w14:paraId="1BD57654" w14:textId="77777777" w:rsidR="00D86E33" w:rsidRPr="00595FE6" w:rsidRDefault="00D86E33" w:rsidP="00477D61">
            <w:pPr>
              <w:jc w:val="right"/>
              <w:rPr>
                <w:rFonts w:cs="Arial"/>
                <w:szCs w:val="24"/>
              </w:rPr>
            </w:pPr>
          </w:p>
          <w:p w14:paraId="67293986" w14:textId="77777777" w:rsidR="00D86E33" w:rsidRPr="002936E3" w:rsidRDefault="00D86E33" w:rsidP="00477D61">
            <w:pPr>
              <w:jc w:val="right"/>
              <w:rPr>
                <w:rFonts w:cs="Arial"/>
                <w:szCs w:val="24"/>
              </w:rPr>
            </w:pPr>
            <w:r w:rsidRPr="00595FE6">
              <w:rPr>
                <w:rFonts w:cs="Arial"/>
                <w:szCs w:val="24"/>
              </w:rPr>
              <w:t>29%</w:t>
            </w:r>
          </w:p>
        </w:tc>
        <w:tc>
          <w:tcPr>
            <w:tcW w:w="1291" w:type="dxa"/>
          </w:tcPr>
          <w:p w14:paraId="3390AEAF" w14:textId="77777777" w:rsidR="00D86E33" w:rsidRPr="00595FE6" w:rsidRDefault="00D86E33" w:rsidP="00477D61">
            <w:pPr>
              <w:jc w:val="right"/>
              <w:rPr>
                <w:rFonts w:cs="Arial"/>
                <w:szCs w:val="24"/>
              </w:rPr>
            </w:pPr>
          </w:p>
          <w:p w14:paraId="508A43B8" w14:textId="77777777" w:rsidR="00D86E33" w:rsidRPr="002936E3" w:rsidRDefault="00D86E33" w:rsidP="00477D61">
            <w:pPr>
              <w:jc w:val="right"/>
              <w:rPr>
                <w:rFonts w:cs="Arial"/>
                <w:szCs w:val="24"/>
              </w:rPr>
            </w:pPr>
            <w:r w:rsidRPr="00595FE6">
              <w:rPr>
                <w:rFonts w:cs="Arial"/>
                <w:szCs w:val="24"/>
              </w:rPr>
              <w:t>26%</w:t>
            </w:r>
          </w:p>
        </w:tc>
      </w:tr>
      <w:tr w:rsidR="00247B54" w:rsidRPr="002936E3" w14:paraId="7A9311A0" w14:textId="77777777" w:rsidTr="00516D82">
        <w:tc>
          <w:tcPr>
            <w:tcW w:w="1707" w:type="dxa"/>
          </w:tcPr>
          <w:p w14:paraId="45CA0369" w14:textId="77777777" w:rsidR="00D86E33" w:rsidRPr="002936E3" w:rsidRDefault="00D86E33">
            <w:pPr>
              <w:rPr>
                <w:rFonts w:cs="Arial"/>
                <w:szCs w:val="24"/>
              </w:rPr>
            </w:pPr>
            <w:r>
              <w:rPr>
                <w:rFonts w:cs="Arial"/>
                <w:szCs w:val="24"/>
              </w:rPr>
              <w:t>% of pupils with no identified SEN</w:t>
            </w:r>
          </w:p>
        </w:tc>
        <w:tc>
          <w:tcPr>
            <w:tcW w:w="1097" w:type="dxa"/>
          </w:tcPr>
          <w:p w14:paraId="71F1AB42" w14:textId="77777777" w:rsidR="00D86E33" w:rsidRPr="00595FE6" w:rsidRDefault="00D86E33" w:rsidP="00477D61">
            <w:pPr>
              <w:jc w:val="right"/>
              <w:rPr>
                <w:rFonts w:cs="Arial"/>
                <w:szCs w:val="24"/>
              </w:rPr>
            </w:pPr>
          </w:p>
          <w:p w14:paraId="5F43F431" w14:textId="77777777" w:rsidR="00D86E33" w:rsidRPr="002936E3" w:rsidRDefault="00D86E33" w:rsidP="00477D61">
            <w:pPr>
              <w:jc w:val="right"/>
              <w:rPr>
                <w:rFonts w:cs="Arial"/>
                <w:szCs w:val="24"/>
              </w:rPr>
            </w:pPr>
            <w:r w:rsidRPr="00595FE6">
              <w:rPr>
                <w:rFonts w:cs="Arial"/>
                <w:szCs w:val="24"/>
              </w:rPr>
              <w:t>42%</w:t>
            </w:r>
          </w:p>
        </w:tc>
        <w:tc>
          <w:tcPr>
            <w:tcW w:w="1241" w:type="dxa"/>
          </w:tcPr>
          <w:p w14:paraId="4CFBE753" w14:textId="77777777" w:rsidR="00D86E33" w:rsidRPr="00595FE6" w:rsidRDefault="00D86E33" w:rsidP="00477D61">
            <w:pPr>
              <w:jc w:val="right"/>
              <w:rPr>
                <w:rFonts w:cs="Arial"/>
                <w:szCs w:val="24"/>
              </w:rPr>
            </w:pPr>
          </w:p>
          <w:p w14:paraId="76E627BA" w14:textId="77777777" w:rsidR="00D86E33" w:rsidRPr="002936E3" w:rsidRDefault="00D86E33" w:rsidP="00477D61">
            <w:pPr>
              <w:jc w:val="right"/>
              <w:rPr>
                <w:rFonts w:cs="Arial"/>
                <w:szCs w:val="24"/>
              </w:rPr>
            </w:pPr>
            <w:r w:rsidRPr="00595FE6">
              <w:rPr>
                <w:rFonts w:cs="Arial"/>
                <w:szCs w:val="24"/>
              </w:rPr>
              <w:t>41%</w:t>
            </w:r>
          </w:p>
        </w:tc>
        <w:tc>
          <w:tcPr>
            <w:tcW w:w="1352" w:type="dxa"/>
          </w:tcPr>
          <w:p w14:paraId="768EFCD5" w14:textId="77777777" w:rsidR="00D86E33" w:rsidRPr="00595FE6" w:rsidRDefault="00D86E33" w:rsidP="00477D61">
            <w:pPr>
              <w:jc w:val="right"/>
              <w:rPr>
                <w:rFonts w:cs="Arial"/>
                <w:szCs w:val="24"/>
              </w:rPr>
            </w:pPr>
          </w:p>
          <w:p w14:paraId="668677BB" w14:textId="77777777" w:rsidR="00D86E33" w:rsidRPr="002936E3" w:rsidRDefault="00D86E33" w:rsidP="00477D61">
            <w:pPr>
              <w:jc w:val="right"/>
              <w:rPr>
                <w:rFonts w:cs="Arial"/>
                <w:szCs w:val="24"/>
              </w:rPr>
            </w:pPr>
            <w:r w:rsidRPr="00595FE6">
              <w:rPr>
                <w:rFonts w:cs="Arial"/>
                <w:szCs w:val="24"/>
              </w:rPr>
              <w:t>38%</w:t>
            </w:r>
          </w:p>
        </w:tc>
        <w:tc>
          <w:tcPr>
            <w:tcW w:w="1365" w:type="dxa"/>
          </w:tcPr>
          <w:p w14:paraId="4FAC209E" w14:textId="77777777" w:rsidR="00D86E33" w:rsidRPr="00595FE6" w:rsidRDefault="00D86E33" w:rsidP="00477D61">
            <w:pPr>
              <w:jc w:val="right"/>
              <w:rPr>
                <w:rFonts w:cs="Arial"/>
                <w:szCs w:val="24"/>
              </w:rPr>
            </w:pPr>
          </w:p>
          <w:p w14:paraId="196C2584" w14:textId="77777777" w:rsidR="00D86E33" w:rsidRPr="002936E3" w:rsidRDefault="00D86E33" w:rsidP="00477D61">
            <w:pPr>
              <w:jc w:val="right"/>
              <w:rPr>
                <w:rFonts w:cs="Arial"/>
                <w:szCs w:val="24"/>
              </w:rPr>
            </w:pPr>
            <w:r w:rsidRPr="00595FE6">
              <w:rPr>
                <w:rFonts w:cs="Arial"/>
                <w:szCs w:val="24"/>
              </w:rPr>
              <w:t>37%</w:t>
            </w:r>
          </w:p>
        </w:tc>
        <w:tc>
          <w:tcPr>
            <w:tcW w:w="1291" w:type="dxa"/>
          </w:tcPr>
          <w:p w14:paraId="64E803CE" w14:textId="77777777" w:rsidR="00D86E33" w:rsidRPr="00595FE6" w:rsidRDefault="00D86E33" w:rsidP="00477D61">
            <w:pPr>
              <w:jc w:val="right"/>
              <w:rPr>
                <w:rFonts w:cs="Arial"/>
                <w:szCs w:val="24"/>
              </w:rPr>
            </w:pPr>
          </w:p>
          <w:p w14:paraId="33E6E149" w14:textId="77777777" w:rsidR="00D86E33" w:rsidRPr="002936E3" w:rsidRDefault="00D86E33" w:rsidP="00477D61">
            <w:pPr>
              <w:jc w:val="right"/>
              <w:rPr>
                <w:rFonts w:cs="Arial"/>
                <w:szCs w:val="24"/>
              </w:rPr>
            </w:pPr>
            <w:r w:rsidRPr="00595FE6">
              <w:rPr>
                <w:rFonts w:cs="Arial"/>
                <w:szCs w:val="24"/>
              </w:rPr>
              <w:t>28%</w:t>
            </w:r>
          </w:p>
        </w:tc>
        <w:tc>
          <w:tcPr>
            <w:tcW w:w="1291" w:type="dxa"/>
          </w:tcPr>
          <w:p w14:paraId="3B5D7321" w14:textId="77777777" w:rsidR="00D86E33" w:rsidRPr="00595FE6" w:rsidRDefault="00D86E33" w:rsidP="00477D61">
            <w:pPr>
              <w:jc w:val="right"/>
              <w:rPr>
                <w:rFonts w:cs="Arial"/>
                <w:szCs w:val="24"/>
              </w:rPr>
            </w:pPr>
          </w:p>
          <w:p w14:paraId="0B168904" w14:textId="77777777" w:rsidR="00D86E33" w:rsidRPr="002936E3" w:rsidRDefault="00D86E33" w:rsidP="00477D61">
            <w:pPr>
              <w:jc w:val="right"/>
              <w:rPr>
                <w:rFonts w:cs="Arial"/>
                <w:szCs w:val="24"/>
              </w:rPr>
            </w:pPr>
            <w:r w:rsidRPr="00595FE6">
              <w:rPr>
                <w:rFonts w:cs="Arial"/>
                <w:szCs w:val="24"/>
              </w:rPr>
              <w:t>27%</w:t>
            </w:r>
          </w:p>
        </w:tc>
      </w:tr>
    </w:tbl>
    <w:p w14:paraId="11F6F639" w14:textId="572D2FDD" w:rsidR="0040360A" w:rsidRPr="003D63FC" w:rsidRDefault="00D86E33" w:rsidP="00D9246A">
      <w:pPr>
        <w:spacing w:line="240" w:lineRule="auto"/>
        <w:rPr>
          <w:rFonts w:eastAsia="Calibri" w:cs="Arial"/>
          <w:b/>
          <w:bCs/>
          <w:color w:val="3071C3" w:themeColor="text2" w:themeTint="BF"/>
        </w:rPr>
      </w:pPr>
      <w:r w:rsidRPr="003376F6">
        <w:rPr>
          <w:rFonts w:cs="Arial"/>
          <w:b/>
          <w:szCs w:val="24"/>
        </w:rPr>
        <w:t>Source:</w:t>
      </w:r>
      <w:r w:rsidR="0040360A" w:rsidRPr="0042426E">
        <w:rPr>
          <w:rFonts w:cs="Arial"/>
          <w:szCs w:val="24"/>
        </w:rPr>
        <w:t xml:space="preserve"> </w:t>
      </w:r>
      <w:r w:rsidR="0040360A" w:rsidRPr="0042426E">
        <w:rPr>
          <w:rFonts w:eastAsia="Calibri" w:cs="Arial"/>
        </w:rPr>
        <w:t>Special</w:t>
      </w:r>
      <w:r w:rsidR="0040360A" w:rsidRPr="00B557A0">
        <w:rPr>
          <w:rFonts w:eastAsia="Calibri" w:cs="Arial"/>
        </w:rPr>
        <w:t xml:space="preserve"> education need for CLA at 31 March in Brighton &amp; Hove, South-East, and England</w:t>
      </w:r>
      <w:r w:rsidR="0040360A">
        <w:rPr>
          <w:rFonts w:eastAsia="Calibri" w:cs="Arial"/>
        </w:rPr>
        <w:t xml:space="preserve">, 2022/23 </w:t>
      </w:r>
      <w:r w:rsidR="00970466">
        <w:rPr>
          <w:rFonts w:eastAsia="Calibri" w:cs="Arial"/>
        </w:rPr>
        <w:t xml:space="preserve">to </w:t>
      </w:r>
      <w:r w:rsidR="0040360A">
        <w:rPr>
          <w:rFonts w:eastAsia="Calibri" w:cs="Arial"/>
        </w:rPr>
        <w:t>2023/24</w:t>
      </w:r>
      <w:r w:rsidR="0040360A" w:rsidRPr="00B557A0">
        <w:rPr>
          <w:rFonts w:eastAsia="Calibri" w:cs="Arial"/>
        </w:rPr>
        <w:t xml:space="preserve"> </w:t>
      </w:r>
    </w:p>
    <w:p w14:paraId="7502AF53" w14:textId="447302C2" w:rsidR="00D86E33" w:rsidRPr="00477D61" w:rsidRDefault="00D86E33" w:rsidP="00477D61">
      <w:pPr>
        <w:spacing w:after="0" w:line="240" w:lineRule="auto"/>
        <w:rPr>
          <w:rFonts w:cs="Arial"/>
          <w:b/>
          <w:color w:val="0079C2"/>
          <w:szCs w:val="24"/>
        </w:rPr>
      </w:pPr>
      <w:r w:rsidRPr="00477D61">
        <w:rPr>
          <w:rFonts w:cs="Arial"/>
          <w:b/>
          <w:color w:val="0079C2"/>
          <w:szCs w:val="24"/>
        </w:rPr>
        <w:t xml:space="preserve">Children on Child Protection Plan (CPPO) excluding children looked after </w:t>
      </w:r>
    </w:p>
    <w:p w14:paraId="600FC5B7" w14:textId="0F56F9A7" w:rsidR="004E1C75" w:rsidRDefault="008D339B" w:rsidP="00D9246A">
      <w:pPr>
        <w:spacing w:line="240" w:lineRule="auto"/>
        <w:rPr>
          <w:rFonts w:cs="Arial"/>
          <w:szCs w:val="24"/>
        </w:rPr>
      </w:pPr>
      <w:r>
        <w:rPr>
          <w:rFonts w:cs="Arial"/>
          <w:szCs w:val="24"/>
        </w:rPr>
        <w:t xml:space="preserve">Brighton and Hove </w:t>
      </w:r>
      <w:r w:rsidR="00BB12CA">
        <w:rPr>
          <w:rFonts w:cs="Arial"/>
          <w:szCs w:val="24"/>
        </w:rPr>
        <w:t>have</w:t>
      </w:r>
      <w:r w:rsidR="00A03774">
        <w:rPr>
          <w:rFonts w:cs="Arial"/>
          <w:szCs w:val="24"/>
        </w:rPr>
        <w:t xml:space="preserve"> the </w:t>
      </w:r>
      <w:r w:rsidR="006F5E92">
        <w:rPr>
          <w:rFonts w:cs="Arial"/>
          <w:szCs w:val="24"/>
        </w:rPr>
        <w:t>highest p</w:t>
      </w:r>
      <w:r w:rsidR="00BD25A6">
        <w:rPr>
          <w:rFonts w:cs="Arial"/>
          <w:szCs w:val="24"/>
        </w:rPr>
        <w:t>roportion</w:t>
      </w:r>
      <w:r w:rsidR="006F5E92">
        <w:rPr>
          <w:rFonts w:cs="Arial"/>
          <w:szCs w:val="24"/>
        </w:rPr>
        <w:t xml:space="preserve"> of children </w:t>
      </w:r>
      <w:r w:rsidR="00017842">
        <w:rPr>
          <w:rFonts w:cs="Arial"/>
          <w:szCs w:val="24"/>
        </w:rPr>
        <w:t>on child protection pla</w:t>
      </w:r>
      <w:r w:rsidR="00BB12CA">
        <w:rPr>
          <w:rFonts w:cs="Arial"/>
          <w:szCs w:val="24"/>
        </w:rPr>
        <w:t>n with SEN support than in England and South-East</w:t>
      </w:r>
      <w:r w:rsidR="00477D61">
        <w:rPr>
          <w:rFonts w:cs="Arial"/>
          <w:szCs w:val="24"/>
        </w:rPr>
        <w:t>, and it</w:t>
      </w:r>
      <w:r w:rsidR="00BD25A6">
        <w:rPr>
          <w:rFonts w:cs="Arial"/>
          <w:szCs w:val="24"/>
        </w:rPr>
        <w:t xml:space="preserve"> </w:t>
      </w:r>
      <w:r w:rsidR="004E1C75">
        <w:rPr>
          <w:rFonts w:cs="Arial"/>
          <w:szCs w:val="24"/>
        </w:rPr>
        <w:t xml:space="preserve">increased between 2022/23 and 2023/24. </w:t>
      </w:r>
    </w:p>
    <w:p w14:paraId="030D0442" w14:textId="1FA902E1" w:rsidR="00D86E33" w:rsidRDefault="00477D61" w:rsidP="00D9246A">
      <w:pPr>
        <w:spacing w:line="240" w:lineRule="auto"/>
        <w:rPr>
          <w:rFonts w:cs="Arial"/>
          <w:szCs w:val="24"/>
        </w:rPr>
      </w:pPr>
      <w:r>
        <w:rPr>
          <w:rFonts w:cs="Arial"/>
          <w:szCs w:val="24"/>
        </w:rPr>
        <w:t>There are</w:t>
      </w:r>
      <w:r w:rsidR="00D86E33">
        <w:rPr>
          <w:rFonts w:cs="Arial"/>
          <w:szCs w:val="24"/>
        </w:rPr>
        <w:t xml:space="preserve"> more CPPO pupils on SEN support compared to </w:t>
      </w:r>
      <w:r w:rsidR="00670F46">
        <w:rPr>
          <w:rFonts w:cs="Arial"/>
          <w:szCs w:val="24"/>
        </w:rPr>
        <w:t xml:space="preserve">an </w:t>
      </w:r>
      <w:r w:rsidR="00D86E33">
        <w:rPr>
          <w:rFonts w:cs="Arial"/>
          <w:szCs w:val="24"/>
        </w:rPr>
        <w:t xml:space="preserve">EHC plan. </w:t>
      </w:r>
      <w:r>
        <w:rPr>
          <w:rFonts w:cs="Arial"/>
          <w:szCs w:val="24"/>
        </w:rPr>
        <w:t>In 2023/24 t</w:t>
      </w:r>
      <w:r w:rsidR="00D86E33">
        <w:rPr>
          <w:rFonts w:cs="Arial"/>
          <w:szCs w:val="24"/>
        </w:rPr>
        <w:t xml:space="preserve">here were 9,100 (30%) CPPO on SEN support in England </w:t>
      </w:r>
      <w:r>
        <w:rPr>
          <w:rFonts w:cs="Arial"/>
          <w:szCs w:val="24"/>
        </w:rPr>
        <w:t xml:space="preserve">and </w:t>
      </w:r>
      <w:r w:rsidR="00D86E33">
        <w:rPr>
          <w:rFonts w:cs="Arial"/>
          <w:szCs w:val="24"/>
        </w:rPr>
        <w:t xml:space="preserve">3,680 (12%) with </w:t>
      </w:r>
      <w:r w:rsidR="00142398">
        <w:rPr>
          <w:rFonts w:cs="Arial"/>
          <w:szCs w:val="24"/>
        </w:rPr>
        <w:t xml:space="preserve">an </w:t>
      </w:r>
      <w:r w:rsidR="00D86E33">
        <w:rPr>
          <w:rFonts w:cs="Arial"/>
          <w:szCs w:val="24"/>
        </w:rPr>
        <w:t>EHC plan. In the South-East</w:t>
      </w:r>
      <w:r w:rsidR="00142398">
        <w:rPr>
          <w:rFonts w:cs="Arial"/>
          <w:szCs w:val="24"/>
        </w:rPr>
        <w:t>,</w:t>
      </w:r>
      <w:r w:rsidR="00D86E33">
        <w:rPr>
          <w:rFonts w:cs="Arial"/>
          <w:szCs w:val="24"/>
        </w:rPr>
        <w:t xml:space="preserve"> this was 1,250 (31%) </w:t>
      </w:r>
      <w:r>
        <w:rPr>
          <w:rFonts w:cs="Arial"/>
          <w:szCs w:val="24"/>
        </w:rPr>
        <w:t>and</w:t>
      </w:r>
      <w:r w:rsidR="00D86E33">
        <w:rPr>
          <w:rFonts w:cs="Arial"/>
          <w:szCs w:val="24"/>
        </w:rPr>
        <w:t xml:space="preserve"> 550 (14%) and in Brighton and Hove 60 (41%) </w:t>
      </w:r>
      <w:r>
        <w:rPr>
          <w:rFonts w:cs="Arial"/>
          <w:szCs w:val="24"/>
        </w:rPr>
        <w:t>and</w:t>
      </w:r>
      <w:r w:rsidR="00D86E33">
        <w:rPr>
          <w:rFonts w:cs="Arial"/>
          <w:szCs w:val="24"/>
        </w:rPr>
        <w:t xml:space="preserve"> 23 (16%) for SEN support and </w:t>
      </w:r>
      <w:r w:rsidR="001572D3">
        <w:rPr>
          <w:rFonts w:cs="Arial"/>
          <w:szCs w:val="24"/>
        </w:rPr>
        <w:t>EHC Plan</w:t>
      </w:r>
      <w:r w:rsidR="00D86E33">
        <w:rPr>
          <w:rFonts w:cs="Arial"/>
          <w:szCs w:val="24"/>
        </w:rPr>
        <w:t xml:space="preserve"> respectively</w:t>
      </w:r>
      <w:r>
        <w:rPr>
          <w:rFonts w:cs="Arial"/>
          <w:szCs w:val="24"/>
        </w:rPr>
        <w:t>.</w:t>
      </w:r>
      <w:r w:rsidR="00912CD9">
        <w:rPr>
          <w:rStyle w:val="EndnoteReference"/>
          <w:szCs w:val="24"/>
        </w:rPr>
        <w:endnoteReference w:id="56"/>
      </w:r>
    </w:p>
    <w:p w14:paraId="25690A41" w14:textId="74870022" w:rsidR="00D86E33" w:rsidRPr="00DB22FC" w:rsidRDefault="00D86E33" w:rsidP="00D9246A">
      <w:pPr>
        <w:spacing w:line="240" w:lineRule="auto"/>
        <w:rPr>
          <w:rFonts w:cs="Arial"/>
          <w:szCs w:val="24"/>
        </w:rPr>
      </w:pPr>
      <w:r w:rsidRPr="00DB22FC">
        <w:rPr>
          <w:rFonts w:cs="Arial"/>
          <w:szCs w:val="24"/>
        </w:rPr>
        <w:t xml:space="preserve">For the same year, </w:t>
      </w:r>
      <w:r>
        <w:rPr>
          <w:rFonts w:cs="Arial"/>
          <w:szCs w:val="24"/>
        </w:rPr>
        <w:t>there were 58%</w:t>
      </w:r>
      <w:r w:rsidR="005B5CCB">
        <w:rPr>
          <w:rFonts w:cs="Arial"/>
          <w:szCs w:val="24"/>
        </w:rPr>
        <w:t xml:space="preserve"> (</w:t>
      </w:r>
      <w:r>
        <w:rPr>
          <w:rFonts w:cs="Arial"/>
          <w:szCs w:val="24"/>
        </w:rPr>
        <w:t xml:space="preserve">17,130) </w:t>
      </w:r>
      <w:r w:rsidRPr="00DB22FC">
        <w:rPr>
          <w:rFonts w:cs="Arial"/>
          <w:szCs w:val="24"/>
        </w:rPr>
        <w:t>C</w:t>
      </w:r>
      <w:r>
        <w:rPr>
          <w:rFonts w:cs="Arial"/>
          <w:szCs w:val="24"/>
        </w:rPr>
        <w:t>PPO</w:t>
      </w:r>
      <w:r w:rsidRPr="00DB22FC">
        <w:rPr>
          <w:rFonts w:cs="Arial"/>
          <w:szCs w:val="24"/>
        </w:rPr>
        <w:t xml:space="preserve"> </w:t>
      </w:r>
      <w:r w:rsidR="00477D61">
        <w:rPr>
          <w:rFonts w:cs="Arial"/>
          <w:szCs w:val="24"/>
        </w:rPr>
        <w:t xml:space="preserve">pupils </w:t>
      </w:r>
      <w:r w:rsidRPr="00DB22FC">
        <w:rPr>
          <w:rFonts w:cs="Arial"/>
          <w:szCs w:val="24"/>
        </w:rPr>
        <w:t xml:space="preserve">with no identified SEN in England compared to </w:t>
      </w:r>
      <w:r w:rsidR="00230966">
        <w:rPr>
          <w:rFonts w:cs="Arial"/>
          <w:szCs w:val="24"/>
        </w:rPr>
        <w:t>55% (</w:t>
      </w:r>
      <w:r>
        <w:rPr>
          <w:rFonts w:cs="Arial"/>
          <w:szCs w:val="24"/>
        </w:rPr>
        <w:t xml:space="preserve">2,190) in </w:t>
      </w:r>
      <w:r w:rsidR="00230966">
        <w:rPr>
          <w:rFonts w:cs="Arial"/>
          <w:szCs w:val="24"/>
        </w:rPr>
        <w:t xml:space="preserve">the </w:t>
      </w:r>
      <w:r w:rsidRPr="00DB22FC">
        <w:rPr>
          <w:rFonts w:cs="Arial"/>
          <w:szCs w:val="24"/>
        </w:rPr>
        <w:t>South-East</w:t>
      </w:r>
      <w:r>
        <w:rPr>
          <w:rFonts w:cs="Arial"/>
          <w:szCs w:val="24"/>
        </w:rPr>
        <w:t xml:space="preserve"> </w:t>
      </w:r>
      <w:r w:rsidRPr="00DB22FC">
        <w:rPr>
          <w:rFonts w:cs="Arial"/>
          <w:szCs w:val="24"/>
        </w:rPr>
        <w:t xml:space="preserve">and </w:t>
      </w:r>
      <w:r w:rsidR="004E0621">
        <w:rPr>
          <w:rFonts w:cs="Arial"/>
          <w:szCs w:val="24"/>
        </w:rPr>
        <w:t xml:space="preserve">was </w:t>
      </w:r>
      <w:r w:rsidRPr="00DB22FC">
        <w:rPr>
          <w:rFonts w:cs="Arial"/>
          <w:szCs w:val="24"/>
        </w:rPr>
        <w:t xml:space="preserve">lowest for Brighton &amp; Hove </w:t>
      </w:r>
      <w:r w:rsidR="004E0621">
        <w:rPr>
          <w:rFonts w:cs="Arial"/>
          <w:szCs w:val="24"/>
        </w:rPr>
        <w:t>at</w:t>
      </w:r>
      <w:r>
        <w:rPr>
          <w:rFonts w:cs="Arial"/>
          <w:szCs w:val="24"/>
        </w:rPr>
        <w:t xml:space="preserve"> 44</w:t>
      </w:r>
      <w:r w:rsidRPr="00DB22FC">
        <w:rPr>
          <w:rFonts w:cs="Arial"/>
          <w:szCs w:val="24"/>
        </w:rPr>
        <w:t>%</w:t>
      </w:r>
      <w:r w:rsidR="004E0621">
        <w:rPr>
          <w:rFonts w:cs="Arial"/>
          <w:szCs w:val="24"/>
        </w:rPr>
        <w:t xml:space="preserve"> (</w:t>
      </w:r>
      <w:r>
        <w:rPr>
          <w:rFonts w:cs="Arial"/>
          <w:szCs w:val="24"/>
        </w:rPr>
        <w:t>65)</w:t>
      </w:r>
      <w:r w:rsidRPr="00DB22FC">
        <w:rPr>
          <w:rFonts w:cs="Arial"/>
          <w:szCs w:val="24"/>
        </w:rPr>
        <w:t>.</w:t>
      </w:r>
    </w:p>
    <w:p w14:paraId="38CB6DF9" w14:textId="4D8FA913" w:rsidR="0042426E" w:rsidRPr="003376F6" w:rsidRDefault="0042426E" w:rsidP="00D9246A">
      <w:pPr>
        <w:spacing w:line="240" w:lineRule="auto"/>
        <w:rPr>
          <w:b/>
          <w:color w:val="A65588"/>
        </w:rPr>
      </w:pPr>
      <w:r w:rsidRPr="003376F6">
        <w:rPr>
          <w:b/>
          <w:color w:val="A65588"/>
        </w:rPr>
        <w:t xml:space="preserve">Table </w:t>
      </w:r>
      <w:r w:rsidR="001F7135" w:rsidRPr="003376F6">
        <w:rPr>
          <w:b/>
          <w:color w:val="A65588"/>
        </w:rPr>
        <w:fldChar w:fldCharType="begin"/>
      </w:r>
      <w:r w:rsidR="001F7135" w:rsidRPr="003376F6">
        <w:rPr>
          <w:b/>
          <w:color w:val="A65588"/>
        </w:rPr>
        <w:instrText xml:space="preserve"> SEQ Table \* ARABIC </w:instrText>
      </w:r>
      <w:r w:rsidR="001F7135" w:rsidRPr="003376F6">
        <w:rPr>
          <w:b/>
          <w:color w:val="A65588"/>
        </w:rPr>
        <w:fldChar w:fldCharType="separate"/>
      </w:r>
      <w:r w:rsidR="009A41AE">
        <w:rPr>
          <w:b/>
          <w:noProof/>
          <w:color w:val="A65588"/>
        </w:rPr>
        <w:t>10</w:t>
      </w:r>
      <w:r w:rsidR="001F7135" w:rsidRPr="003376F6">
        <w:rPr>
          <w:b/>
          <w:color w:val="A65588"/>
        </w:rPr>
        <w:fldChar w:fldCharType="end"/>
      </w:r>
      <w:r w:rsidRPr="003376F6">
        <w:rPr>
          <w:b/>
          <w:color w:val="A65588"/>
        </w:rPr>
        <w:t>: Special education</w:t>
      </w:r>
      <w:r w:rsidR="001773A4" w:rsidRPr="003376F6">
        <w:rPr>
          <w:b/>
          <w:color w:val="A65588"/>
        </w:rPr>
        <w:t>al</w:t>
      </w:r>
      <w:r w:rsidRPr="003376F6">
        <w:rPr>
          <w:b/>
          <w:color w:val="A65588"/>
        </w:rPr>
        <w:t xml:space="preserve"> needs for children on child protection plan</w:t>
      </w:r>
      <w:r w:rsidR="003376F6">
        <w:rPr>
          <w:b/>
          <w:bCs/>
          <w:color w:val="A65588"/>
        </w:rPr>
        <w:t>,</w:t>
      </w:r>
      <w:r>
        <w:rPr>
          <w:b/>
          <w:color w:val="A65588"/>
        </w:rPr>
        <w:t xml:space="preserve"> </w:t>
      </w:r>
      <w:r w:rsidRPr="003376F6">
        <w:rPr>
          <w:b/>
          <w:color w:val="A65588"/>
        </w:rPr>
        <w:t xml:space="preserve">Brighton and Hove, South-East and England, </w:t>
      </w:r>
      <w:r w:rsidRPr="003376F6">
        <w:rPr>
          <w:b/>
          <w:bCs/>
          <w:color w:val="A65588"/>
        </w:rPr>
        <w:t xml:space="preserve">31 March </w:t>
      </w:r>
      <w:r w:rsidRPr="003376F6">
        <w:rPr>
          <w:b/>
          <w:color w:val="A65588"/>
        </w:rPr>
        <w:t xml:space="preserve">2022/23 </w:t>
      </w:r>
      <w:r w:rsidRPr="003376F6">
        <w:rPr>
          <w:b/>
          <w:bCs/>
          <w:color w:val="A65588"/>
        </w:rPr>
        <w:t>and</w:t>
      </w:r>
      <w:r w:rsidRPr="003376F6">
        <w:rPr>
          <w:b/>
          <w:color w:val="A65588"/>
        </w:rPr>
        <w:t xml:space="preserve"> 2023/24</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1097"/>
        <w:gridCol w:w="1241"/>
        <w:gridCol w:w="1352"/>
        <w:gridCol w:w="1365"/>
        <w:gridCol w:w="1291"/>
        <w:gridCol w:w="1291"/>
      </w:tblGrid>
      <w:tr w:rsidR="00247B54" w:rsidRPr="002936E3" w14:paraId="0041641B" w14:textId="77777777" w:rsidTr="009849C1">
        <w:tc>
          <w:tcPr>
            <w:tcW w:w="1707" w:type="dxa"/>
            <w:tcBorders>
              <w:bottom w:val="nil"/>
            </w:tcBorders>
            <w:shd w:val="clear" w:color="auto" w:fill="086A76"/>
          </w:tcPr>
          <w:p w14:paraId="2DE8A7B5" w14:textId="77777777" w:rsidR="00D86E33" w:rsidRPr="002936E3" w:rsidRDefault="00D86E33">
            <w:pPr>
              <w:rPr>
                <w:rFonts w:cs="Arial"/>
                <w:szCs w:val="24"/>
              </w:rPr>
            </w:pPr>
          </w:p>
        </w:tc>
        <w:tc>
          <w:tcPr>
            <w:tcW w:w="1097" w:type="dxa"/>
            <w:tcBorders>
              <w:bottom w:val="nil"/>
            </w:tcBorders>
            <w:shd w:val="clear" w:color="auto" w:fill="086A76"/>
          </w:tcPr>
          <w:p w14:paraId="517689EB" w14:textId="77777777" w:rsidR="00D86E33" w:rsidRPr="00663931" w:rsidRDefault="00D86E33">
            <w:pPr>
              <w:rPr>
                <w:rFonts w:cs="Arial"/>
                <w:color w:val="FFFFFF" w:themeColor="background1"/>
                <w:szCs w:val="24"/>
              </w:rPr>
            </w:pPr>
            <w:r w:rsidRPr="00663931">
              <w:rPr>
                <w:rFonts w:cs="Arial"/>
                <w:color w:val="FFFFFF" w:themeColor="background1"/>
                <w:szCs w:val="24"/>
              </w:rPr>
              <w:t>England</w:t>
            </w:r>
          </w:p>
        </w:tc>
        <w:tc>
          <w:tcPr>
            <w:tcW w:w="1241" w:type="dxa"/>
            <w:tcBorders>
              <w:bottom w:val="nil"/>
            </w:tcBorders>
            <w:shd w:val="clear" w:color="auto" w:fill="086A76"/>
          </w:tcPr>
          <w:p w14:paraId="4B95DAEE" w14:textId="77777777" w:rsidR="00D86E33" w:rsidRPr="00663931" w:rsidRDefault="00D86E33">
            <w:pPr>
              <w:rPr>
                <w:rFonts w:cs="Arial"/>
                <w:color w:val="FFFFFF" w:themeColor="background1"/>
                <w:szCs w:val="24"/>
              </w:rPr>
            </w:pPr>
            <w:r w:rsidRPr="00663931">
              <w:rPr>
                <w:rFonts w:cs="Arial"/>
                <w:color w:val="FFFFFF" w:themeColor="background1"/>
                <w:szCs w:val="24"/>
              </w:rPr>
              <w:t>England</w:t>
            </w:r>
          </w:p>
        </w:tc>
        <w:tc>
          <w:tcPr>
            <w:tcW w:w="1352" w:type="dxa"/>
            <w:tcBorders>
              <w:bottom w:val="nil"/>
            </w:tcBorders>
            <w:shd w:val="clear" w:color="auto" w:fill="086A76"/>
          </w:tcPr>
          <w:p w14:paraId="4EFCBF24" w14:textId="77777777" w:rsidR="00D86E33" w:rsidRPr="00663931" w:rsidRDefault="00D86E33">
            <w:pPr>
              <w:rPr>
                <w:rFonts w:cs="Arial"/>
                <w:color w:val="FFFFFF" w:themeColor="background1"/>
                <w:szCs w:val="24"/>
              </w:rPr>
            </w:pPr>
            <w:r w:rsidRPr="00663931">
              <w:rPr>
                <w:rFonts w:cs="Arial"/>
                <w:color w:val="FFFFFF" w:themeColor="background1"/>
                <w:szCs w:val="24"/>
              </w:rPr>
              <w:t>South-East</w:t>
            </w:r>
          </w:p>
        </w:tc>
        <w:tc>
          <w:tcPr>
            <w:tcW w:w="1365" w:type="dxa"/>
            <w:tcBorders>
              <w:bottom w:val="nil"/>
            </w:tcBorders>
            <w:shd w:val="clear" w:color="auto" w:fill="086A76"/>
          </w:tcPr>
          <w:p w14:paraId="513DAA62" w14:textId="77777777" w:rsidR="00D86E33" w:rsidRPr="00663931" w:rsidRDefault="00D86E33">
            <w:pPr>
              <w:rPr>
                <w:rFonts w:cs="Arial"/>
                <w:color w:val="FFFFFF" w:themeColor="background1"/>
                <w:szCs w:val="24"/>
              </w:rPr>
            </w:pPr>
            <w:r w:rsidRPr="00663931">
              <w:rPr>
                <w:rFonts w:cs="Arial"/>
                <w:color w:val="FFFFFF" w:themeColor="background1"/>
                <w:szCs w:val="24"/>
              </w:rPr>
              <w:t>South-East</w:t>
            </w:r>
          </w:p>
        </w:tc>
        <w:tc>
          <w:tcPr>
            <w:tcW w:w="1291" w:type="dxa"/>
            <w:tcBorders>
              <w:bottom w:val="nil"/>
            </w:tcBorders>
            <w:shd w:val="clear" w:color="auto" w:fill="086A76"/>
          </w:tcPr>
          <w:p w14:paraId="45BE576E" w14:textId="77777777" w:rsidR="00D86E33" w:rsidRPr="00663931" w:rsidRDefault="00D86E33">
            <w:pPr>
              <w:jc w:val="center"/>
              <w:rPr>
                <w:rFonts w:cs="Arial"/>
                <w:color w:val="FFFFFF" w:themeColor="background1"/>
                <w:szCs w:val="24"/>
              </w:rPr>
            </w:pPr>
            <w:r w:rsidRPr="00663931">
              <w:rPr>
                <w:rFonts w:cs="Arial"/>
                <w:color w:val="FFFFFF" w:themeColor="background1"/>
                <w:szCs w:val="24"/>
              </w:rPr>
              <w:t>Brighton &amp; Hove</w:t>
            </w:r>
          </w:p>
        </w:tc>
        <w:tc>
          <w:tcPr>
            <w:tcW w:w="1291" w:type="dxa"/>
            <w:tcBorders>
              <w:bottom w:val="nil"/>
            </w:tcBorders>
            <w:shd w:val="clear" w:color="auto" w:fill="086A76"/>
          </w:tcPr>
          <w:p w14:paraId="322CEB08" w14:textId="77777777" w:rsidR="00D86E33" w:rsidRPr="00663931" w:rsidRDefault="00D86E33">
            <w:pPr>
              <w:jc w:val="center"/>
              <w:rPr>
                <w:rFonts w:cs="Arial"/>
                <w:color w:val="FFFFFF" w:themeColor="background1"/>
                <w:szCs w:val="24"/>
              </w:rPr>
            </w:pPr>
            <w:r w:rsidRPr="00663931">
              <w:rPr>
                <w:rFonts w:cs="Arial"/>
                <w:color w:val="FFFFFF" w:themeColor="background1"/>
                <w:szCs w:val="24"/>
              </w:rPr>
              <w:t>Brighton &amp; Hove</w:t>
            </w:r>
          </w:p>
        </w:tc>
      </w:tr>
      <w:tr w:rsidR="00247B54" w:rsidRPr="002936E3" w14:paraId="782E4E5A" w14:textId="77777777" w:rsidTr="009849C1">
        <w:tc>
          <w:tcPr>
            <w:tcW w:w="1707" w:type="dxa"/>
            <w:tcBorders>
              <w:top w:val="nil"/>
            </w:tcBorders>
            <w:shd w:val="clear" w:color="auto" w:fill="086A76"/>
          </w:tcPr>
          <w:p w14:paraId="67AA1D3F" w14:textId="77777777" w:rsidR="00D86E33" w:rsidRPr="002936E3" w:rsidRDefault="00D86E33">
            <w:pPr>
              <w:rPr>
                <w:rFonts w:cs="Arial"/>
                <w:szCs w:val="24"/>
              </w:rPr>
            </w:pPr>
          </w:p>
        </w:tc>
        <w:tc>
          <w:tcPr>
            <w:tcW w:w="1097" w:type="dxa"/>
            <w:tcBorders>
              <w:top w:val="nil"/>
            </w:tcBorders>
            <w:shd w:val="clear" w:color="auto" w:fill="086A76"/>
          </w:tcPr>
          <w:p w14:paraId="0430F7FF" w14:textId="77777777" w:rsidR="00D86E33" w:rsidRPr="00663931" w:rsidRDefault="00D86E33">
            <w:pPr>
              <w:rPr>
                <w:rFonts w:cs="Arial"/>
                <w:color w:val="FFFFFF" w:themeColor="background1"/>
                <w:szCs w:val="24"/>
              </w:rPr>
            </w:pPr>
            <w:r w:rsidRPr="00663931">
              <w:rPr>
                <w:rFonts w:cs="Arial"/>
                <w:color w:val="FFFFFF" w:themeColor="background1"/>
                <w:szCs w:val="24"/>
              </w:rPr>
              <w:t>2022/23</w:t>
            </w:r>
          </w:p>
        </w:tc>
        <w:tc>
          <w:tcPr>
            <w:tcW w:w="1241" w:type="dxa"/>
            <w:tcBorders>
              <w:top w:val="nil"/>
            </w:tcBorders>
            <w:shd w:val="clear" w:color="auto" w:fill="086A76"/>
          </w:tcPr>
          <w:p w14:paraId="65A6A808" w14:textId="77777777" w:rsidR="00D86E33" w:rsidRPr="00663931" w:rsidRDefault="00D86E33">
            <w:pPr>
              <w:rPr>
                <w:rFonts w:cs="Arial"/>
                <w:color w:val="FFFFFF" w:themeColor="background1"/>
                <w:szCs w:val="24"/>
              </w:rPr>
            </w:pPr>
            <w:r w:rsidRPr="00663931">
              <w:rPr>
                <w:rFonts w:cs="Arial"/>
                <w:color w:val="FFFFFF" w:themeColor="background1"/>
                <w:szCs w:val="24"/>
              </w:rPr>
              <w:t>2023/24</w:t>
            </w:r>
          </w:p>
        </w:tc>
        <w:tc>
          <w:tcPr>
            <w:tcW w:w="1352" w:type="dxa"/>
            <w:tcBorders>
              <w:top w:val="nil"/>
            </w:tcBorders>
            <w:shd w:val="clear" w:color="auto" w:fill="086A76"/>
          </w:tcPr>
          <w:p w14:paraId="4589362A" w14:textId="77777777" w:rsidR="00D86E33" w:rsidRPr="00663931" w:rsidRDefault="00D86E33">
            <w:pPr>
              <w:rPr>
                <w:rFonts w:cs="Arial"/>
                <w:color w:val="FFFFFF" w:themeColor="background1"/>
                <w:szCs w:val="24"/>
              </w:rPr>
            </w:pPr>
            <w:r w:rsidRPr="00663931">
              <w:rPr>
                <w:rFonts w:cs="Arial"/>
                <w:color w:val="FFFFFF" w:themeColor="background1"/>
                <w:szCs w:val="24"/>
              </w:rPr>
              <w:t>2022/23</w:t>
            </w:r>
          </w:p>
        </w:tc>
        <w:tc>
          <w:tcPr>
            <w:tcW w:w="1365" w:type="dxa"/>
            <w:tcBorders>
              <w:top w:val="nil"/>
            </w:tcBorders>
            <w:shd w:val="clear" w:color="auto" w:fill="086A76"/>
          </w:tcPr>
          <w:p w14:paraId="3BEFBB61" w14:textId="77777777" w:rsidR="00D86E33" w:rsidRPr="00663931" w:rsidRDefault="00D86E33">
            <w:pPr>
              <w:rPr>
                <w:rFonts w:cs="Arial"/>
                <w:color w:val="FFFFFF" w:themeColor="background1"/>
                <w:szCs w:val="24"/>
              </w:rPr>
            </w:pPr>
            <w:r w:rsidRPr="00663931">
              <w:rPr>
                <w:rFonts w:cs="Arial"/>
                <w:color w:val="FFFFFF" w:themeColor="background1"/>
                <w:szCs w:val="24"/>
              </w:rPr>
              <w:t>2023/24</w:t>
            </w:r>
          </w:p>
        </w:tc>
        <w:tc>
          <w:tcPr>
            <w:tcW w:w="1291" w:type="dxa"/>
            <w:tcBorders>
              <w:top w:val="nil"/>
            </w:tcBorders>
            <w:shd w:val="clear" w:color="auto" w:fill="086A76"/>
          </w:tcPr>
          <w:p w14:paraId="76F45512" w14:textId="77777777" w:rsidR="00D86E33" w:rsidRPr="00663931" w:rsidRDefault="00D86E33">
            <w:pPr>
              <w:rPr>
                <w:rFonts w:cs="Arial"/>
                <w:color w:val="FFFFFF" w:themeColor="background1"/>
                <w:szCs w:val="24"/>
              </w:rPr>
            </w:pPr>
            <w:r w:rsidRPr="00663931">
              <w:rPr>
                <w:rFonts w:cs="Arial"/>
                <w:color w:val="FFFFFF" w:themeColor="background1"/>
                <w:szCs w:val="24"/>
              </w:rPr>
              <w:t>2022/23</w:t>
            </w:r>
          </w:p>
        </w:tc>
        <w:tc>
          <w:tcPr>
            <w:tcW w:w="1291" w:type="dxa"/>
            <w:tcBorders>
              <w:top w:val="nil"/>
            </w:tcBorders>
            <w:shd w:val="clear" w:color="auto" w:fill="086A76"/>
          </w:tcPr>
          <w:p w14:paraId="167095C4" w14:textId="77777777" w:rsidR="00D86E33" w:rsidRPr="00663931" w:rsidRDefault="00D86E33">
            <w:pPr>
              <w:rPr>
                <w:rFonts w:cs="Arial"/>
                <w:color w:val="FFFFFF" w:themeColor="background1"/>
                <w:szCs w:val="24"/>
              </w:rPr>
            </w:pPr>
            <w:r w:rsidRPr="00663931">
              <w:rPr>
                <w:rFonts w:cs="Arial"/>
                <w:color w:val="FFFFFF" w:themeColor="background1"/>
                <w:szCs w:val="24"/>
              </w:rPr>
              <w:t>2023/24</w:t>
            </w:r>
          </w:p>
        </w:tc>
      </w:tr>
      <w:tr w:rsidR="00247B54" w:rsidRPr="002936E3" w14:paraId="7C6F44A7" w14:textId="77777777" w:rsidTr="00516D82">
        <w:tc>
          <w:tcPr>
            <w:tcW w:w="1707" w:type="dxa"/>
          </w:tcPr>
          <w:p w14:paraId="2380BDD8" w14:textId="77777777" w:rsidR="00D86E33" w:rsidRPr="002936E3" w:rsidRDefault="00D86E33">
            <w:pPr>
              <w:rPr>
                <w:rFonts w:cs="Arial"/>
                <w:szCs w:val="24"/>
              </w:rPr>
            </w:pPr>
            <w:r>
              <w:rPr>
                <w:rFonts w:cs="Arial"/>
                <w:szCs w:val="24"/>
              </w:rPr>
              <w:t>% of pupils with EHC plan</w:t>
            </w:r>
          </w:p>
        </w:tc>
        <w:tc>
          <w:tcPr>
            <w:tcW w:w="1097" w:type="dxa"/>
          </w:tcPr>
          <w:p w14:paraId="1CFFD7B8" w14:textId="77777777" w:rsidR="00D86E33" w:rsidRPr="00595FE6" w:rsidRDefault="00D86E33" w:rsidP="00477D61">
            <w:pPr>
              <w:jc w:val="right"/>
              <w:rPr>
                <w:rFonts w:cs="Arial"/>
                <w:szCs w:val="24"/>
              </w:rPr>
            </w:pPr>
          </w:p>
          <w:p w14:paraId="1E0375ED" w14:textId="77777777" w:rsidR="00D86E33" w:rsidRPr="002936E3" w:rsidRDefault="00D86E33" w:rsidP="00477D61">
            <w:pPr>
              <w:jc w:val="right"/>
              <w:rPr>
                <w:rFonts w:cs="Arial"/>
                <w:szCs w:val="24"/>
              </w:rPr>
            </w:pPr>
            <w:r w:rsidRPr="00595FE6">
              <w:rPr>
                <w:rFonts w:cs="Arial"/>
                <w:szCs w:val="24"/>
              </w:rPr>
              <w:t>11%</w:t>
            </w:r>
          </w:p>
        </w:tc>
        <w:tc>
          <w:tcPr>
            <w:tcW w:w="1241" w:type="dxa"/>
          </w:tcPr>
          <w:p w14:paraId="05CFD4E6" w14:textId="77777777" w:rsidR="00D86E33" w:rsidRPr="00595FE6" w:rsidRDefault="00D86E33" w:rsidP="00477D61">
            <w:pPr>
              <w:jc w:val="right"/>
              <w:rPr>
                <w:rFonts w:cs="Arial"/>
                <w:szCs w:val="24"/>
              </w:rPr>
            </w:pPr>
          </w:p>
          <w:p w14:paraId="11274031" w14:textId="77777777" w:rsidR="00D86E33" w:rsidRPr="002936E3" w:rsidRDefault="00D86E33" w:rsidP="00477D61">
            <w:pPr>
              <w:jc w:val="right"/>
              <w:rPr>
                <w:rFonts w:cs="Arial"/>
                <w:szCs w:val="24"/>
              </w:rPr>
            </w:pPr>
            <w:r w:rsidRPr="00595FE6">
              <w:rPr>
                <w:rFonts w:cs="Arial"/>
                <w:szCs w:val="24"/>
              </w:rPr>
              <w:t>12%</w:t>
            </w:r>
          </w:p>
        </w:tc>
        <w:tc>
          <w:tcPr>
            <w:tcW w:w="1352" w:type="dxa"/>
          </w:tcPr>
          <w:p w14:paraId="29D659F7" w14:textId="77777777" w:rsidR="00D86E33" w:rsidRPr="00595FE6" w:rsidRDefault="00D86E33" w:rsidP="00477D61">
            <w:pPr>
              <w:jc w:val="right"/>
              <w:rPr>
                <w:rFonts w:cs="Arial"/>
                <w:szCs w:val="24"/>
              </w:rPr>
            </w:pPr>
          </w:p>
          <w:p w14:paraId="1F461B1F" w14:textId="77777777" w:rsidR="00D86E33" w:rsidRPr="002936E3" w:rsidRDefault="00D86E33" w:rsidP="00477D61">
            <w:pPr>
              <w:jc w:val="right"/>
              <w:rPr>
                <w:rFonts w:cs="Arial"/>
                <w:szCs w:val="24"/>
              </w:rPr>
            </w:pPr>
            <w:r w:rsidRPr="00595FE6">
              <w:rPr>
                <w:rFonts w:cs="Arial"/>
                <w:szCs w:val="24"/>
              </w:rPr>
              <w:t>13%</w:t>
            </w:r>
          </w:p>
        </w:tc>
        <w:tc>
          <w:tcPr>
            <w:tcW w:w="1365" w:type="dxa"/>
          </w:tcPr>
          <w:p w14:paraId="5F8B2530" w14:textId="77777777" w:rsidR="00D86E33" w:rsidRPr="00595FE6" w:rsidRDefault="00D86E33" w:rsidP="00477D61">
            <w:pPr>
              <w:jc w:val="right"/>
              <w:rPr>
                <w:rFonts w:cs="Arial"/>
                <w:szCs w:val="24"/>
              </w:rPr>
            </w:pPr>
          </w:p>
          <w:p w14:paraId="781E93BA" w14:textId="77777777" w:rsidR="00D86E33" w:rsidRPr="002936E3" w:rsidRDefault="00D86E33" w:rsidP="00477D61">
            <w:pPr>
              <w:jc w:val="right"/>
              <w:rPr>
                <w:rFonts w:cs="Arial"/>
                <w:szCs w:val="24"/>
              </w:rPr>
            </w:pPr>
            <w:r w:rsidRPr="00595FE6">
              <w:rPr>
                <w:rFonts w:cs="Arial"/>
                <w:szCs w:val="24"/>
              </w:rPr>
              <w:t>14%</w:t>
            </w:r>
          </w:p>
        </w:tc>
        <w:tc>
          <w:tcPr>
            <w:tcW w:w="1291" w:type="dxa"/>
          </w:tcPr>
          <w:p w14:paraId="481638FC" w14:textId="77777777" w:rsidR="00D86E33" w:rsidRPr="00595FE6" w:rsidRDefault="00D86E33" w:rsidP="00477D61">
            <w:pPr>
              <w:jc w:val="right"/>
              <w:rPr>
                <w:rFonts w:cs="Arial"/>
                <w:szCs w:val="24"/>
              </w:rPr>
            </w:pPr>
          </w:p>
          <w:p w14:paraId="1795037A" w14:textId="77777777" w:rsidR="00D86E33" w:rsidRPr="002936E3" w:rsidRDefault="00D86E33" w:rsidP="00477D61">
            <w:pPr>
              <w:jc w:val="right"/>
              <w:rPr>
                <w:rFonts w:cs="Arial"/>
                <w:szCs w:val="24"/>
              </w:rPr>
            </w:pPr>
            <w:r w:rsidRPr="00595FE6">
              <w:rPr>
                <w:rFonts w:cs="Arial"/>
                <w:szCs w:val="24"/>
              </w:rPr>
              <w:t>13%</w:t>
            </w:r>
          </w:p>
        </w:tc>
        <w:tc>
          <w:tcPr>
            <w:tcW w:w="1291" w:type="dxa"/>
          </w:tcPr>
          <w:p w14:paraId="4AB31053" w14:textId="77777777" w:rsidR="00D86E33" w:rsidRPr="00595FE6" w:rsidRDefault="00D86E33" w:rsidP="00477D61">
            <w:pPr>
              <w:jc w:val="right"/>
              <w:rPr>
                <w:rFonts w:cs="Arial"/>
                <w:szCs w:val="24"/>
              </w:rPr>
            </w:pPr>
          </w:p>
          <w:p w14:paraId="5286120C" w14:textId="77777777" w:rsidR="00D86E33" w:rsidRPr="002936E3" w:rsidRDefault="00D86E33" w:rsidP="00477D61">
            <w:pPr>
              <w:jc w:val="right"/>
              <w:rPr>
                <w:rFonts w:cs="Arial"/>
                <w:szCs w:val="24"/>
              </w:rPr>
            </w:pPr>
            <w:r w:rsidRPr="00595FE6">
              <w:rPr>
                <w:rFonts w:cs="Arial"/>
                <w:szCs w:val="24"/>
              </w:rPr>
              <w:t>16%</w:t>
            </w:r>
          </w:p>
        </w:tc>
      </w:tr>
      <w:tr w:rsidR="00247B54" w:rsidRPr="002936E3" w14:paraId="3DB7C6D1" w14:textId="77777777" w:rsidTr="00516D82">
        <w:tc>
          <w:tcPr>
            <w:tcW w:w="1707" w:type="dxa"/>
          </w:tcPr>
          <w:p w14:paraId="53A9A2E4" w14:textId="77777777" w:rsidR="00D86E33" w:rsidRPr="002936E3" w:rsidRDefault="00D86E33">
            <w:pPr>
              <w:rPr>
                <w:rFonts w:cs="Arial"/>
                <w:szCs w:val="24"/>
              </w:rPr>
            </w:pPr>
            <w:r>
              <w:rPr>
                <w:rFonts w:cs="Arial"/>
                <w:szCs w:val="24"/>
              </w:rPr>
              <w:t>% of pupils with SEN support</w:t>
            </w:r>
          </w:p>
        </w:tc>
        <w:tc>
          <w:tcPr>
            <w:tcW w:w="1097" w:type="dxa"/>
          </w:tcPr>
          <w:p w14:paraId="2DDAF825" w14:textId="77777777" w:rsidR="00D86E33" w:rsidRPr="00595FE6" w:rsidRDefault="00D86E33" w:rsidP="00477D61">
            <w:pPr>
              <w:jc w:val="right"/>
              <w:rPr>
                <w:rFonts w:cs="Arial"/>
                <w:szCs w:val="24"/>
              </w:rPr>
            </w:pPr>
          </w:p>
          <w:p w14:paraId="446E6BD2" w14:textId="77777777" w:rsidR="00D86E33" w:rsidRPr="002936E3" w:rsidRDefault="00D86E33" w:rsidP="00477D61">
            <w:pPr>
              <w:jc w:val="right"/>
              <w:rPr>
                <w:rFonts w:cs="Arial"/>
                <w:szCs w:val="24"/>
              </w:rPr>
            </w:pPr>
            <w:r w:rsidRPr="00595FE6">
              <w:rPr>
                <w:rFonts w:cs="Arial"/>
                <w:szCs w:val="24"/>
              </w:rPr>
              <w:t>30%</w:t>
            </w:r>
          </w:p>
        </w:tc>
        <w:tc>
          <w:tcPr>
            <w:tcW w:w="1241" w:type="dxa"/>
          </w:tcPr>
          <w:p w14:paraId="5B2B42F6" w14:textId="77777777" w:rsidR="00D86E33" w:rsidRPr="00595FE6" w:rsidRDefault="00D86E33" w:rsidP="00477D61">
            <w:pPr>
              <w:jc w:val="right"/>
              <w:rPr>
                <w:rFonts w:cs="Arial"/>
                <w:szCs w:val="24"/>
              </w:rPr>
            </w:pPr>
          </w:p>
          <w:p w14:paraId="25B4B1E2" w14:textId="77777777" w:rsidR="00D86E33" w:rsidRPr="002936E3" w:rsidRDefault="00D86E33" w:rsidP="00477D61">
            <w:pPr>
              <w:jc w:val="right"/>
              <w:rPr>
                <w:rFonts w:cs="Arial"/>
                <w:szCs w:val="24"/>
              </w:rPr>
            </w:pPr>
            <w:r w:rsidRPr="00595FE6">
              <w:rPr>
                <w:rFonts w:cs="Arial"/>
                <w:szCs w:val="24"/>
              </w:rPr>
              <w:t>30%</w:t>
            </w:r>
          </w:p>
        </w:tc>
        <w:tc>
          <w:tcPr>
            <w:tcW w:w="1352" w:type="dxa"/>
          </w:tcPr>
          <w:p w14:paraId="2018EEC4" w14:textId="77777777" w:rsidR="00D86E33" w:rsidRPr="00595FE6" w:rsidRDefault="00D86E33" w:rsidP="00477D61">
            <w:pPr>
              <w:jc w:val="right"/>
              <w:rPr>
                <w:rFonts w:cs="Arial"/>
                <w:szCs w:val="24"/>
              </w:rPr>
            </w:pPr>
          </w:p>
          <w:p w14:paraId="778C8980" w14:textId="77777777" w:rsidR="00D86E33" w:rsidRPr="002936E3" w:rsidRDefault="00D86E33" w:rsidP="00477D61">
            <w:pPr>
              <w:jc w:val="right"/>
              <w:rPr>
                <w:rFonts w:cs="Arial"/>
                <w:szCs w:val="24"/>
              </w:rPr>
            </w:pPr>
            <w:r w:rsidRPr="00595FE6">
              <w:rPr>
                <w:rFonts w:cs="Arial"/>
                <w:szCs w:val="24"/>
              </w:rPr>
              <w:t>31%</w:t>
            </w:r>
          </w:p>
        </w:tc>
        <w:tc>
          <w:tcPr>
            <w:tcW w:w="1365" w:type="dxa"/>
          </w:tcPr>
          <w:p w14:paraId="6583EB75" w14:textId="77777777" w:rsidR="00D86E33" w:rsidRPr="00595FE6" w:rsidRDefault="00D86E33" w:rsidP="00477D61">
            <w:pPr>
              <w:jc w:val="right"/>
              <w:rPr>
                <w:rFonts w:cs="Arial"/>
                <w:szCs w:val="24"/>
              </w:rPr>
            </w:pPr>
          </w:p>
          <w:p w14:paraId="10ECE05E" w14:textId="77777777" w:rsidR="00D86E33" w:rsidRPr="002936E3" w:rsidRDefault="00D86E33" w:rsidP="00477D61">
            <w:pPr>
              <w:jc w:val="right"/>
              <w:rPr>
                <w:rFonts w:cs="Arial"/>
                <w:szCs w:val="24"/>
              </w:rPr>
            </w:pPr>
            <w:r w:rsidRPr="00595FE6">
              <w:rPr>
                <w:rFonts w:cs="Arial"/>
                <w:szCs w:val="24"/>
              </w:rPr>
              <w:t>31%</w:t>
            </w:r>
          </w:p>
        </w:tc>
        <w:tc>
          <w:tcPr>
            <w:tcW w:w="1291" w:type="dxa"/>
          </w:tcPr>
          <w:p w14:paraId="6A682919" w14:textId="77777777" w:rsidR="00D86E33" w:rsidRPr="00595FE6" w:rsidRDefault="00D86E33" w:rsidP="00477D61">
            <w:pPr>
              <w:jc w:val="right"/>
              <w:rPr>
                <w:rFonts w:cs="Arial"/>
                <w:szCs w:val="24"/>
              </w:rPr>
            </w:pPr>
          </w:p>
          <w:p w14:paraId="38FD91B4" w14:textId="77777777" w:rsidR="00D86E33" w:rsidRPr="002936E3" w:rsidRDefault="00D86E33" w:rsidP="00477D61">
            <w:pPr>
              <w:jc w:val="right"/>
              <w:rPr>
                <w:rFonts w:cs="Arial"/>
                <w:szCs w:val="24"/>
              </w:rPr>
            </w:pPr>
            <w:r w:rsidRPr="00595FE6">
              <w:rPr>
                <w:rFonts w:cs="Arial"/>
                <w:szCs w:val="24"/>
              </w:rPr>
              <w:t>38%</w:t>
            </w:r>
          </w:p>
        </w:tc>
        <w:tc>
          <w:tcPr>
            <w:tcW w:w="1291" w:type="dxa"/>
          </w:tcPr>
          <w:p w14:paraId="72CB7643" w14:textId="77777777" w:rsidR="00D86E33" w:rsidRPr="00595FE6" w:rsidRDefault="00D86E33" w:rsidP="00477D61">
            <w:pPr>
              <w:jc w:val="right"/>
              <w:rPr>
                <w:rFonts w:cs="Arial"/>
                <w:szCs w:val="24"/>
              </w:rPr>
            </w:pPr>
          </w:p>
          <w:p w14:paraId="0284DA4F" w14:textId="77777777" w:rsidR="00D86E33" w:rsidRPr="002936E3" w:rsidRDefault="00D86E33" w:rsidP="00477D61">
            <w:pPr>
              <w:jc w:val="right"/>
              <w:rPr>
                <w:rFonts w:cs="Arial"/>
                <w:szCs w:val="24"/>
              </w:rPr>
            </w:pPr>
            <w:r w:rsidRPr="00595FE6">
              <w:rPr>
                <w:rFonts w:cs="Arial"/>
                <w:szCs w:val="24"/>
              </w:rPr>
              <w:t>41%</w:t>
            </w:r>
          </w:p>
        </w:tc>
      </w:tr>
      <w:tr w:rsidR="00247B54" w:rsidRPr="002936E3" w14:paraId="3EEFDAD1" w14:textId="77777777" w:rsidTr="00516D82">
        <w:tc>
          <w:tcPr>
            <w:tcW w:w="1707" w:type="dxa"/>
          </w:tcPr>
          <w:p w14:paraId="4E5309A8" w14:textId="77777777" w:rsidR="00D86E33" w:rsidRPr="002936E3" w:rsidRDefault="00D86E33">
            <w:pPr>
              <w:rPr>
                <w:rFonts w:cs="Arial"/>
                <w:szCs w:val="24"/>
              </w:rPr>
            </w:pPr>
            <w:r>
              <w:rPr>
                <w:rFonts w:cs="Arial"/>
                <w:szCs w:val="24"/>
              </w:rPr>
              <w:t>% of pupils with no identified SEN</w:t>
            </w:r>
          </w:p>
        </w:tc>
        <w:tc>
          <w:tcPr>
            <w:tcW w:w="1097" w:type="dxa"/>
          </w:tcPr>
          <w:p w14:paraId="62A658AE" w14:textId="77777777" w:rsidR="00D86E33" w:rsidRPr="00595FE6" w:rsidRDefault="00D86E33" w:rsidP="00477D61">
            <w:pPr>
              <w:jc w:val="right"/>
              <w:rPr>
                <w:rFonts w:cs="Arial"/>
                <w:szCs w:val="24"/>
              </w:rPr>
            </w:pPr>
          </w:p>
          <w:p w14:paraId="22A50592" w14:textId="77777777" w:rsidR="00D86E33" w:rsidRPr="002936E3" w:rsidRDefault="00D86E33" w:rsidP="00477D61">
            <w:pPr>
              <w:jc w:val="right"/>
              <w:rPr>
                <w:rFonts w:cs="Arial"/>
                <w:szCs w:val="24"/>
              </w:rPr>
            </w:pPr>
            <w:r w:rsidRPr="00595FE6">
              <w:rPr>
                <w:rFonts w:cs="Arial"/>
                <w:szCs w:val="24"/>
              </w:rPr>
              <w:t>60%</w:t>
            </w:r>
          </w:p>
        </w:tc>
        <w:tc>
          <w:tcPr>
            <w:tcW w:w="1241" w:type="dxa"/>
          </w:tcPr>
          <w:p w14:paraId="2FD37D45" w14:textId="77777777" w:rsidR="00D86E33" w:rsidRPr="00595FE6" w:rsidRDefault="00D86E33" w:rsidP="00477D61">
            <w:pPr>
              <w:jc w:val="right"/>
              <w:rPr>
                <w:rFonts w:cs="Arial"/>
                <w:szCs w:val="24"/>
              </w:rPr>
            </w:pPr>
          </w:p>
          <w:p w14:paraId="5F7981A1" w14:textId="77777777" w:rsidR="00D86E33" w:rsidRPr="002936E3" w:rsidRDefault="00D86E33" w:rsidP="00477D61">
            <w:pPr>
              <w:jc w:val="right"/>
              <w:rPr>
                <w:rFonts w:cs="Arial"/>
                <w:szCs w:val="24"/>
              </w:rPr>
            </w:pPr>
            <w:r w:rsidRPr="00595FE6">
              <w:rPr>
                <w:rFonts w:cs="Arial"/>
                <w:szCs w:val="24"/>
              </w:rPr>
              <w:t>58%</w:t>
            </w:r>
          </w:p>
        </w:tc>
        <w:tc>
          <w:tcPr>
            <w:tcW w:w="1352" w:type="dxa"/>
          </w:tcPr>
          <w:p w14:paraId="536ED4DB" w14:textId="77777777" w:rsidR="00D86E33" w:rsidRPr="00595FE6" w:rsidRDefault="00D86E33" w:rsidP="00477D61">
            <w:pPr>
              <w:jc w:val="right"/>
              <w:rPr>
                <w:rFonts w:cs="Arial"/>
                <w:szCs w:val="24"/>
              </w:rPr>
            </w:pPr>
          </w:p>
          <w:p w14:paraId="5DE8A774" w14:textId="77777777" w:rsidR="00D86E33" w:rsidRPr="002936E3" w:rsidRDefault="00D86E33" w:rsidP="00477D61">
            <w:pPr>
              <w:jc w:val="right"/>
              <w:rPr>
                <w:rFonts w:cs="Arial"/>
                <w:szCs w:val="24"/>
              </w:rPr>
            </w:pPr>
            <w:r w:rsidRPr="00595FE6">
              <w:rPr>
                <w:rFonts w:cs="Arial"/>
                <w:szCs w:val="24"/>
              </w:rPr>
              <w:t>57%</w:t>
            </w:r>
          </w:p>
        </w:tc>
        <w:tc>
          <w:tcPr>
            <w:tcW w:w="1365" w:type="dxa"/>
          </w:tcPr>
          <w:p w14:paraId="416CFB6F" w14:textId="77777777" w:rsidR="00D86E33" w:rsidRPr="00595FE6" w:rsidRDefault="00D86E33" w:rsidP="00477D61">
            <w:pPr>
              <w:jc w:val="right"/>
              <w:rPr>
                <w:rFonts w:cs="Arial"/>
                <w:szCs w:val="24"/>
              </w:rPr>
            </w:pPr>
          </w:p>
          <w:p w14:paraId="0CF6B98E" w14:textId="77777777" w:rsidR="00D86E33" w:rsidRPr="002936E3" w:rsidRDefault="00D86E33" w:rsidP="00477D61">
            <w:pPr>
              <w:jc w:val="right"/>
              <w:rPr>
                <w:rFonts w:cs="Arial"/>
                <w:szCs w:val="24"/>
              </w:rPr>
            </w:pPr>
            <w:r w:rsidRPr="00595FE6">
              <w:rPr>
                <w:rFonts w:cs="Arial"/>
                <w:szCs w:val="24"/>
              </w:rPr>
              <w:t>55%</w:t>
            </w:r>
          </w:p>
        </w:tc>
        <w:tc>
          <w:tcPr>
            <w:tcW w:w="1291" w:type="dxa"/>
          </w:tcPr>
          <w:p w14:paraId="70392319" w14:textId="77777777" w:rsidR="00D86E33" w:rsidRPr="00595FE6" w:rsidRDefault="00D86E33" w:rsidP="00477D61">
            <w:pPr>
              <w:jc w:val="right"/>
              <w:rPr>
                <w:rFonts w:cs="Arial"/>
                <w:szCs w:val="24"/>
              </w:rPr>
            </w:pPr>
          </w:p>
          <w:p w14:paraId="5B045DDB" w14:textId="77777777" w:rsidR="00D86E33" w:rsidRPr="002936E3" w:rsidRDefault="00D86E33" w:rsidP="00477D61">
            <w:pPr>
              <w:jc w:val="right"/>
              <w:rPr>
                <w:rFonts w:cs="Arial"/>
                <w:szCs w:val="24"/>
              </w:rPr>
            </w:pPr>
            <w:r w:rsidRPr="00595FE6">
              <w:rPr>
                <w:rFonts w:cs="Arial"/>
                <w:szCs w:val="24"/>
              </w:rPr>
              <w:t>49%</w:t>
            </w:r>
          </w:p>
        </w:tc>
        <w:tc>
          <w:tcPr>
            <w:tcW w:w="1291" w:type="dxa"/>
          </w:tcPr>
          <w:p w14:paraId="51918A6D" w14:textId="77777777" w:rsidR="00D86E33" w:rsidRPr="00595FE6" w:rsidRDefault="00D86E33" w:rsidP="00477D61">
            <w:pPr>
              <w:jc w:val="right"/>
              <w:rPr>
                <w:rFonts w:cs="Arial"/>
                <w:szCs w:val="24"/>
              </w:rPr>
            </w:pPr>
          </w:p>
          <w:p w14:paraId="577858B4" w14:textId="77777777" w:rsidR="00D86E33" w:rsidRPr="002936E3" w:rsidRDefault="00D86E33" w:rsidP="00477D61">
            <w:pPr>
              <w:jc w:val="right"/>
              <w:rPr>
                <w:rFonts w:cs="Arial"/>
                <w:szCs w:val="24"/>
              </w:rPr>
            </w:pPr>
            <w:r w:rsidRPr="00595FE6">
              <w:rPr>
                <w:rFonts w:cs="Arial"/>
                <w:szCs w:val="24"/>
              </w:rPr>
              <w:t>44%</w:t>
            </w:r>
          </w:p>
        </w:tc>
      </w:tr>
    </w:tbl>
    <w:p w14:paraId="12AA4D35" w14:textId="657C8A6A" w:rsidR="00D86E33" w:rsidRPr="005A7177" w:rsidRDefault="00D86E33" w:rsidP="00D9246A">
      <w:pPr>
        <w:spacing w:line="240" w:lineRule="auto"/>
        <w:rPr>
          <w:rFonts w:eastAsia="Calibri" w:cs="Arial"/>
          <w:b/>
          <w:color w:val="3071C3" w:themeColor="text2" w:themeTint="BF"/>
        </w:rPr>
      </w:pPr>
      <w:r w:rsidRPr="003376F6">
        <w:rPr>
          <w:rFonts w:cs="Arial"/>
          <w:b/>
          <w:szCs w:val="24"/>
        </w:rPr>
        <w:t>Source:</w:t>
      </w:r>
      <w:r w:rsidR="005A7177" w:rsidRPr="000A09E9">
        <w:rPr>
          <w:rFonts w:cs="Arial"/>
          <w:szCs w:val="24"/>
        </w:rPr>
        <w:t xml:space="preserve"> </w:t>
      </w:r>
      <w:r w:rsidR="005A7177" w:rsidRPr="000A09E9">
        <w:rPr>
          <w:rFonts w:eastAsia="Calibri" w:cs="Arial"/>
        </w:rPr>
        <w:t>Special</w:t>
      </w:r>
      <w:r w:rsidR="005A7177" w:rsidRPr="00B557A0">
        <w:rPr>
          <w:rFonts w:eastAsia="Calibri" w:cs="Arial"/>
        </w:rPr>
        <w:t xml:space="preserve"> education need for CPPO at 31 March in Brighton &amp; Hove, South-East, and England</w:t>
      </w:r>
      <w:r w:rsidR="005A7177">
        <w:rPr>
          <w:rFonts w:eastAsia="Calibri" w:cs="Arial"/>
        </w:rPr>
        <w:t xml:space="preserve">, 2022/23 – 2023/24 </w:t>
      </w:r>
    </w:p>
    <w:p w14:paraId="6D482AA8" w14:textId="6CAACB22" w:rsidR="00C24B37" w:rsidRDefault="00C24B37" w:rsidP="00D9246A">
      <w:pPr>
        <w:pStyle w:val="Heading2"/>
        <w:spacing w:before="0" w:after="120"/>
      </w:pPr>
      <w:r>
        <w:lastRenderedPageBreak/>
        <w:t xml:space="preserve">Local health and wellbeing surveys </w:t>
      </w:r>
    </w:p>
    <w:p w14:paraId="538DCD9B" w14:textId="1AB3409B" w:rsidR="00E9750B" w:rsidRPr="00102F0B" w:rsidRDefault="00E9750B" w:rsidP="0096012C">
      <w:pPr>
        <w:pStyle w:val="Heading3"/>
      </w:pPr>
      <w:r w:rsidRPr="00102F0B">
        <w:t>Safe and Well at School Survey (SAWSS)</w:t>
      </w:r>
      <w:r w:rsidR="00691ED7">
        <w:t xml:space="preserve"> 2023</w:t>
      </w:r>
    </w:p>
    <w:p w14:paraId="03CD5F0B" w14:textId="203DE6C5" w:rsidR="00E86942" w:rsidRPr="00595FE6" w:rsidRDefault="004C6AFE" w:rsidP="00D9246A">
      <w:pPr>
        <w:spacing w:line="240" w:lineRule="auto"/>
        <w:rPr>
          <w:rFonts w:cs="Arial"/>
          <w:color w:val="000000" w:themeColor="text1"/>
          <w:szCs w:val="24"/>
        </w:rPr>
      </w:pPr>
      <w:r w:rsidRPr="00595FE6">
        <w:rPr>
          <w:rFonts w:cs="Arial"/>
          <w:color w:val="000000" w:themeColor="text1"/>
          <w:szCs w:val="24"/>
        </w:rPr>
        <w:t xml:space="preserve">The Safe and Well at School Survey is </w:t>
      </w:r>
      <w:r w:rsidR="00287CFF">
        <w:rPr>
          <w:rFonts w:cs="Arial"/>
          <w:color w:val="000000" w:themeColor="text1"/>
          <w:szCs w:val="24"/>
        </w:rPr>
        <w:t>undertaken</w:t>
      </w:r>
      <w:r w:rsidRPr="00595FE6">
        <w:rPr>
          <w:rFonts w:cs="Arial"/>
          <w:color w:val="000000" w:themeColor="text1"/>
          <w:szCs w:val="24"/>
        </w:rPr>
        <w:t xml:space="preserve"> every second year</w:t>
      </w:r>
      <w:r w:rsidR="0028067C" w:rsidRPr="00595FE6">
        <w:rPr>
          <w:rFonts w:cs="Arial"/>
          <w:color w:val="000000" w:themeColor="text1"/>
          <w:szCs w:val="24"/>
        </w:rPr>
        <w:t xml:space="preserve"> across primary schools and secondary schools in the city</w:t>
      </w:r>
      <w:r w:rsidR="00287CFF">
        <w:rPr>
          <w:rFonts w:cs="Arial"/>
          <w:color w:val="000000" w:themeColor="text1"/>
          <w:szCs w:val="24"/>
        </w:rPr>
        <w:t xml:space="preserve"> and in some sixth form</w:t>
      </w:r>
      <w:r w:rsidR="00A03575">
        <w:rPr>
          <w:rFonts w:cs="Arial"/>
          <w:color w:val="000000" w:themeColor="text1"/>
          <w:szCs w:val="24"/>
        </w:rPr>
        <w:t xml:space="preserve"> colleges</w:t>
      </w:r>
      <w:r w:rsidR="00A01965">
        <w:rPr>
          <w:rFonts w:cs="Arial"/>
          <w:color w:val="000000" w:themeColor="text1"/>
          <w:szCs w:val="24"/>
        </w:rPr>
        <w:t>. The survey is a</w:t>
      </w:r>
      <w:r w:rsidRPr="00595FE6">
        <w:rPr>
          <w:rFonts w:cs="Arial"/>
          <w:color w:val="000000" w:themeColor="text1"/>
          <w:szCs w:val="24"/>
        </w:rPr>
        <w:t xml:space="preserve"> partnership between Brighton &amp; Hove City Council and the University of Sussex.</w:t>
      </w:r>
      <w:r w:rsidR="00DF0FE9" w:rsidRPr="00595FE6">
        <w:rPr>
          <w:rStyle w:val="EndnoteReference"/>
          <w:rFonts w:cs="Arial"/>
          <w:color w:val="000000" w:themeColor="text1"/>
          <w:szCs w:val="24"/>
        </w:rPr>
        <w:endnoteReference w:id="57"/>
      </w:r>
      <w:r w:rsidR="00B73804" w:rsidRPr="00595FE6">
        <w:rPr>
          <w:rFonts w:cs="Arial"/>
          <w:color w:val="000000" w:themeColor="text1"/>
          <w:szCs w:val="24"/>
        </w:rPr>
        <w:t xml:space="preserve"> </w:t>
      </w:r>
      <w:r w:rsidR="00924126" w:rsidRPr="00595FE6">
        <w:rPr>
          <w:rFonts w:cs="Arial"/>
          <w:color w:val="000000" w:themeColor="text1"/>
          <w:szCs w:val="24"/>
        </w:rPr>
        <w:t>In 2023</w:t>
      </w:r>
      <w:r w:rsidR="00E86942" w:rsidRPr="00595FE6">
        <w:rPr>
          <w:rFonts w:cs="Arial"/>
          <w:color w:val="000000" w:themeColor="text1"/>
          <w:szCs w:val="24"/>
        </w:rPr>
        <w:t>:</w:t>
      </w:r>
    </w:p>
    <w:p w14:paraId="65D79D53" w14:textId="1A37C73C" w:rsidR="00E86942" w:rsidRPr="00595FE6" w:rsidRDefault="00924126" w:rsidP="009858E3">
      <w:pPr>
        <w:pStyle w:val="ListParagraph"/>
        <w:numPr>
          <w:ilvl w:val="0"/>
          <w:numId w:val="35"/>
        </w:numPr>
        <w:spacing w:line="240" w:lineRule="auto"/>
        <w:rPr>
          <w:rFonts w:cs="Arial"/>
          <w:color w:val="000000" w:themeColor="text1"/>
          <w:szCs w:val="24"/>
        </w:rPr>
      </w:pPr>
      <w:r w:rsidRPr="00595FE6">
        <w:rPr>
          <w:rFonts w:cs="Arial"/>
          <w:color w:val="000000" w:themeColor="text1"/>
          <w:szCs w:val="24"/>
        </w:rPr>
        <w:t>7</w:t>
      </w:r>
      <w:r w:rsidR="00E86942" w:rsidRPr="00595FE6">
        <w:rPr>
          <w:rFonts w:cs="Arial"/>
          <w:color w:val="000000" w:themeColor="text1"/>
          <w:szCs w:val="24"/>
        </w:rPr>
        <w:t>,</w:t>
      </w:r>
      <w:r w:rsidRPr="00595FE6">
        <w:rPr>
          <w:rFonts w:cs="Arial"/>
          <w:color w:val="000000" w:themeColor="text1"/>
          <w:szCs w:val="24"/>
        </w:rPr>
        <w:t>802 young people aged 11-16 took part in 10 secondary schools (63% of pupils)</w:t>
      </w:r>
    </w:p>
    <w:p w14:paraId="0208EB49" w14:textId="2966E420" w:rsidR="00E86942" w:rsidRPr="00595FE6" w:rsidRDefault="00924126" w:rsidP="009858E3">
      <w:pPr>
        <w:pStyle w:val="ListParagraph"/>
        <w:numPr>
          <w:ilvl w:val="0"/>
          <w:numId w:val="35"/>
        </w:numPr>
        <w:spacing w:line="240" w:lineRule="auto"/>
        <w:rPr>
          <w:rFonts w:cs="Arial"/>
          <w:color w:val="000000" w:themeColor="text1"/>
          <w:szCs w:val="24"/>
        </w:rPr>
      </w:pPr>
      <w:r w:rsidRPr="00595FE6">
        <w:rPr>
          <w:rFonts w:cs="Arial"/>
          <w:color w:val="000000" w:themeColor="text1"/>
          <w:szCs w:val="24"/>
        </w:rPr>
        <w:t>5</w:t>
      </w:r>
      <w:r w:rsidR="00E86942" w:rsidRPr="00595FE6">
        <w:rPr>
          <w:rFonts w:cs="Arial"/>
          <w:color w:val="000000" w:themeColor="text1"/>
          <w:szCs w:val="24"/>
        </w:rPr>
        <w:t>,</w:t>
      </w:r>
      <w:r w:rsidRPr="00595FE6">
        <w:rPr>
          <w:rFonts w:cs="Arial"/>
          <w:color w:val="000000" w:themeColor="text1"/>
          <w:szCs w:val="24"/>
        </w:rPr>
        <w:t>807 primary school children aged 8-11 years took part across 43 schools (76%).</w:t>
      </w:r>
    </w:p>
    <w:p w14:paraId="6ADAE0D7" w14:textId="40403603" w:rsidR="006912FB" w:rsidRPr="00595FE6" w:rsidRDefault="006912FB" w:rsidP="00D9246A">
      <w:pPr>
        <w:spacing w:line="240" w:lineRule="auto"/>
        <w:rPr>
          <w:rFonts w:cs="Arial"/>
          <w:color w:val="000000" w:themeColor="text1"/>
          <w:szCs w:val="24"/>
        </w:rPr>
      </w:pPr>
      <w:r w:rsidRPr="00595FE6">
        <w:rPr>
          <w:rFonts w:cs="Arial"/>
          <w:color w:val="000000" w:themeColor="text1"/>
          <w:szCs w:val="24"/>
        </w:rPr>
        <w:t xml:space="preserve">It should be noted that this does not include children in </w:t>
      </w:r>
      <w:r w:rsidR="00A03575">
        <w:rPr>
          <w:rFonts w:cs="Arial"/>
          <w:color w:val="000000" w:themeColor="text1"/>
          <w:szCs w:val="24"/>
        </w:rPr>
        <w:t>special school provision</w:t>
      </w:r>
      <w:r w:rsidRPr="00595FE6">
        <w:rPr>
          <w:rFonts w:cs="Arial"/>
          <w:color w:val="000000" w:themeColor="text1"/>
          <w:szCs w:val="24"/>
        </w:rPr>
        <w:t>.</w:t>
      </w:r>
    </w:p>
    <w:p w14:paraId="31DD53DA" w14:textId="20E02EFE" w:rsidR="003A589D" w:rsidRPr="00595FE6" w:rsidRDefault="00E86942" w:rsidP="00D9246A">
      <w:pPr>
        <w:spacing w:line="240" w:lineRule="auto"/>
        <w:rPr>
          <w:rFonts w:cs="Arial"/>
          <w:color w:val="000000" w:themeColor="text1"/>
          <w:szCs w:val="24"/>
        </w:rPr>
      </w:pPr>
      <w:r w:rsidRPr="00595FE6">
        <w:rPr>
          <w:rFonts w:cs="Arial"/>
          <w:color w:val="000000" w:themeColor="text1"/>
          <w:szCs w:val="24"/>
        </w:rPr>
        <w:t xml:space="preserve">Pupils are asked if they receive extra help </w:t>
      </w:r>
      <w:r w:rsidR="002D2FBE" w:rsidRPr="00595FE6">
        <w:rPr>
          <w:rFonts w:cs="Arial"/>
          <w:color w:val="000000" w:themeColor="text1"/>
          <w:szCs w:val="24"/>
        </w:rPr>
        <w:t xml:space="preserve">from a person like a teaching assistant who works with them. </w:t>
      </w:r>
      <w:r w:rsidR="003F01CA" w:rsidRPr="00595FE6">
        <w:rPr>
          <w:rFonts w:cs="Arial"/>
          <w:color w:val="000000" w:themeColor="text1"/>
          <w:szCs w:val="24"/>
        </w:rPr>
        <w:t>The question explains that e</w:t>
      </w:r>
      <w:r w:rsidR="002D2FBE" w:rsidRPr="00595FE6">
        <w:rPr>
          <w:rFonts w:cs="Arial"/>
          <w:color w:val="000000" w:themeColor="text1"/>
          <w:szCs w:val="24"/>
        </w:rPr>
        <w:t>xtra help could include help getting around, with reading and writing, speaking and listening, medicine, or helping stay calm.</w:t>
      </w:r>
      <w:r w:rsidR="005F24AF" w:rsidRPr="00595FE6">
        <w:rPr>
          <w:rFonts w:cs="Arial"/>
          <w:color w:val="000000" w:themeColor="text1"/>
          <w:szCs w:val="24"/>
        </w:rPr>
        <w:t xml:space="preserve"> </w:t>
      </w:r>
    </w:p>
    <w:p w14:paraId="6632A546" w14:textId="3574E3E3" w:rsidR="003A589D" w:rsidRPr="00595FE6" w:rsidRDefault="005F24AF" w:rsidP="00D9246A">
      <w:pPr>
        <w:spacing w:line="240" w:lineRule="auto"/>
        <w:rPr>
          <w:rFonts w:cs="Arial"/>
          <w:color w:val="000000" w:themeColor="text1"/>
          <w:szCs w:val="24"/>
        </w:rPr>
      </w:pPr>
      <w:r w:rsidRPr="00595FE6">
        <w:rPr>
          <w:rFonts w:cs="Arial"/>
          <w:color w:val="000000" w:themeColor="text1"/>
          <w:szCs w:val="24"/>
        </w:rPr>
        <w:t>This indicator is used as a proxy for children with SEN</w:t>
      </w:r>
      <w:r w:rsidR="00AE5C5F" w:rsidRPr="00595FE6">
        <w:rPr>
          <w:rFonts w:cs="Arial"/>
          <w:color w:val="000000" w:themeColor="text1"/>
          <w:szCs w:val="24"/>
        </w:rPr>
        <w:t xml:space="preserve"> and </w:t>
      </w:r>
      <w:r w:rsidR="001572D3">
        <w:rPr>
          <w:rFonts w:cs="Arial"/>
          <w:color w:val="000000" w:themeColor="text1"/>
          <w:szCs w:val="24"/>
        </w:rPr>
        <w:t>EHC Plan</w:t>
      </w:r>
      <w:r w:rsidR="00AE5C5F" w:rsidRPr="00595FE6">
        <w:rPr>
          <w:rFonts w:cs="Arial"/>
          <w:color w:val="000000" w:themeColor="text1"/>
          <w:szCs w:val="24"/>
        </w:rPr>
        <w:t xml:space="preserve"> plans</w:t>
      </w:r>
      <w:r w:rsidR="00636CE6" w:rsidRPr="00595FE6">
        <w:rPr>
          <w:rFonts w:cs="Arial"/>
          <w:color w:val="000000" w:themeColor="text1"/>
          <w:szCs w:val="24"/>
        </w:rPr>
        <w:t>, but it is not the case that all children who say they receive extra help are within these groups</w:t>
      </w:r>
      <w:r w:rsidR="003A589D" w:rsidRPr="00595FE6">
        <w:rPr>
          <w:rFonts w:cs="Arial"/>
          <w:color w:val="000000" w:themeColor="text1"/>
          <w:szCs w:val="24"/>
        </w:rPr>
        <w:t xml:space="preserve"> and not all pupils with SEN may have said they receive extra help</w:t>
      </w:r>
      <w:r w:rsidR="00636CE6" w:rsidRPr="00595FE6">
        <w:rPr>
          <w:rFonts w:cs="Arial"/>
          <w:color w:val="000000" w:themeColor="text1"/>
          <w:szCs w:val="24"/>
        </w:rPr>
        <w:t>.</w:t>
      </w:r>
      <w:r w:rsidR="003A589D" w:rsidRPr="00595FE6">
        <w:rPr>
          <w:rFonts w:cs="Arial"/>
          <w:color w:val="000000" w:themeColor="text1"/>
          <w:szCs w:val="24"/>
        </w:rPr>
        <w:t xml:space="preserve"> Therefore, the </w:t>
      </w:r>
      <w:r w:rsidR="001F6CA9" w:rsidRPr="00595FE6">
        <w:rPr>
          <w:rFonts w:cs="Arial"/>
          <w:color w:val="000000" w:themeColor="text1"/>
          <w:szCs w:val="24"/>
        </w:rPr>
        <w:t xml:space="preserve">figures given here are not directly comparable with </w:t>
      </w:r>
      <w:r w:rsidR="008544BF" w:rsidRPr="00595FE6">
        <w:rPr>
          <w:rFonts w:cs="Arial"/>
          <w:color w:val="000000" w:themeColor="text1"/>
          <w:szCs w:val="24"/>
        </w:rPr>
        <w:t xml:space="preserve">figures for </w:t>
      </w:r>
      <w:r w:rsidR="001572D3">
        <w:rPr>
          <w:rFonts w:cs="Arial"/>
          <w:color w:val="000000" w:themeColor="text1"/>
          <w:szCs w:val="24"/>
        </w:rPr>
        <w:t>EHC Plan</w:t>
      </w:r>
      <w:r w:rsidR="008544BF" w:rsidRPr="00595FE6">
        <w:rPr>
          <w:rFonts w:cs="Arial"/>
          <w:color w:val="000000" w:themeColor="text1"/>
          <w:szCs w:val="24"/>
        </w:rPr>
        <w:t>s.</w:t>
      </w:r>
      <w:r w:rsidR="006C3062" w:rsidRPr="00595FE6">
        <w:rPr>
          <w:rFonts w:cs="Arial"/>
          <w:color w:val="000000" w:themeColor="text1"/>
          <w:szCs w:val="24"/>
        </w:rPr>
        <w:t xml:space="preserve"> Looking at pupils in mainstream schools which</w:t>
      </w:r>
      <w:r w:rsidR="002F764D" w:rsidRPr="00595FE6">
        <w:rPr>
          <w:rFonts w:cs="Arial"/>
          <w:color w:val="000000" w:themeColor="text1"/>
          <w:szCs w:val="24"/>
        </w:rPr>
        <w:t xml:space="preserve"> took part in the Safe and Well at School Survey:</w:t>
      </w:r>
    </w:p>
    <w:p w14:paraId="1BD79A8A" w14:textId="1DBB9753" w:rsidR="002937A0" w:rsidRPr="00595FE6" w:rsidRDefault="002937A0" w:rsidP="009858E3">
      <w:pPr>
        <w:pStyle w:val="ListParagraph"/>
        <w:numPr>
          <w:ilvl w:val="0"/>
          <w:numId w:val="35"/>
        </w:numPr>
        <w:spacing w:line="240" w:lineRule="auto"/>
        <w:rPr>
          <w:rFonts w:cs="Arial"/>
          <w:color w:val="000000" w:themeColor="text1"/>
          <w:szCs w:val="24"/>
        </w:rPr>
      </w:pPr>
      <w:r w:rsidRPr="00595FE6">
        <w:rPr>
          <w:rFonts w:cs="Arial"/>
          <w:color w:val="000000" w:themeColor="text1"/>
          <w:szCs w:val="24"/>
        </w:rPr>
        <w:t>There were 23.3% of children in primary school years 4-6 who said they receive</w:t>
      </w:r>
      <w:r w:rsidR="00E11567">
        <w:rPr>
          <w:rFonts w:cs="Arial"/>
          <w:color w:val="000000" w:themeColor="text1"/>
          <w:szCs w:val="24"/>
        </w:rPr>
        <w:t>d</w:t>
      </w:r>
      <w:r w:rsidRPr="00595FE6">
        <w:rPr>
          <w:rFonts w:cs="Arial"/>
          <w:color w:val="000000" w:themeColor="text1"/>
          <w:szCs w:val="24"/>
        </w:rPr>
        <w:t xml:space="preserve"> extra help </w:t>
      </w:r>
      <w:r w:rsidR="00C05727">
        <w:rPr>
          <w:rFonts w:cs="Arial"/>
          <w:color w:val="000000" w:themeColor="text1"/>
          <w:szCs w:val="24"/>
        </w:rPr>
        <w:t>–</w:t>
      </w:r>
      <w:r w:rsidRPr="00595FE6">
        <w:rPr>
          <w:rFonts w:cs="Arial"/>
          <w:color w:val="000000" w:themeColor="text1"/>
          <w:szCs w:val="24"/>
        </w:rPr>
        <w:t xml:space="preserve"> </w:t>
      </w:r>
      <w:r w:rsidR="00C05727">
        <w:rPr>
          <w:rFonts w:cs="Arial"/>
          <w:color w:val="000000" w:themeColor="text1"/>
          <w:szCs w:val="24"/>
        </w:rPr>
        <w:t>which was</w:t>
      </w:r>
      <w:r w:rsidRPr="00595FE6">
        <w:rPr>
          <w:rFonts w:cs="Arial"/>
          <w:color w:val="000000" w:themeColor="text1"/>
          <w:szCs w:val="24"/>
        </w:rPr>
        <w:t xml:space="preserve"> close to the 23.8% of pupils with either </w:t>
      </w:r>
      <w:r w:rsidR="001572D3">
        <w:rPr>
          <w:rFonts w:cs="Arial"/>
          <w:color w:val="000000" w:themeColor="text1"/>
          <w:szCs w:val="24"/>
        </w:rPr>
        <w:t>EHC Plan</w:t>
      </w:r>
      <w:r w:rsidRPr="00595FE6">
        <w:rPr>
          <w:rFonts w:cs="Arial"/>
          <w:color w:val="000000" w:themeColor="text1"/>
          <w:szCs w:val="24"/>
        </w:rPr>
        <w:t xml:space="preserve"> or SEN support (4.2% of pupils </w:t>
      </w:r>
      <w:r w:rsidR="00FE2D3D">
        <w:rPr>
          <w:rFonts w:cs="Arial"/>
          <w:color w:val="000000" w:themeColor="text1"/>
          <w:szCs w:val="24"/>
        </w:rPr>
        <w:t>had</w:t>
      </w:r>
      <w:r w:rsidR="00FE2D3D" w:rsidRPr="00595FE6">
        <w:rPr>
          <w:rFonts w:cs="Arial"/>
          <w:color w:val="000000" w:themeColor="text1"/>
          <w:szCs w:val="24"/>
        </w:rPr>
        <w:t xml:space="preserve"> </w:t>
      </w:r>
      <w:r w:rsidRPr="00595FE6">
        <w:rPr>
          <w:rFonts w:cs="Arial"/>
          <w:color w:val="000000" w:themeColor="text1"/>
          <w:szCs w:val="24"/>
        </w:rPr>
        <w:t xml:space="preserve">an </w:t>
      </w:r>
      <w:r w:rsidR="001572D3">
        <w:rPr>
          <w:rFonts w:cs="Arial"/>
          <w:color w:val="000000" w:themeColor="text1"/>
          <w:szCs w:val="24"/>
        </w:rPr>
        <w:t>EHC Plan</w:t>
      </w:r>
      <w:r w:rsidRPr="00595FE6">
        <w:rPr>
          <w:rFonts w:cs="Arial"/>
          <w:color w:val="000000" w:themeColor="text1"/>
          <w:szCs w:val="24"/>
        </w:rPr>
        <w:t xml:space="preserve"> (302 pupils) and 19.6% (1,405 pupils) </w:t>
      </w:r>
      <w:r w:rsidR="00FE2D3D">
        <w:rPr>
          <w:rFonts w:cs="Arial"/>
          <w:color w:val="000000" w:themeColor="text1"/>
          <w:szCs w:val="24"/>
        </w:rPr>
        <w:t>had</w:t>
      </w:r>
      <w:r w:rsidR="00FE2D3D" w:rsidRPr="00595FE6">
        <w:rPr>
          <w:rFonts w:cs="Arial"/>
          <w:color w:val="000000" w:themeColor="text1"/>
          <w:szCs w:val="24"/>
        </w:rPr>
        <w:t xml:space="preserve"> </w:t>
      </w:r>
      <w:r w:rsidRPr="00595FE6">
        <w:rPr>
          <w:rFonts w:cs="Arial"/>
          <w:color w:val="000000" w:themeColor="text1"/>
          <w:szCs w:val="24"/>
        </w:rPr>
        <w:t>SEN support)</w:t>
      </w:r>
      <w:r w:rsidR="00B71DEF">
        <w:rPr>
          <w:rFonts w:cs="Arial"/>
          <w:color w:val="000000" w:themeColor="text1"/>
          <w:szCs w:val="24"/>
        </w:rPr>
        <w:t xml:space="preserve"> (</w:t>
      </w:r>
      <w:r w:rsidR="00B71DEF" w:rsidRPr="00E3098C">
        <w:rPr>
          <w:rFonts w:cs="Arial"/>
          <w:color w:val="000000" w:themeColor="text1"/>
          <w:szCs w:val="24"/>
        </w:rPr>
        <w:t>Table 1</w:t>
      </w:r>
      <w:r w:rsidR="00F70F3C" w:rsidRPr="00E3098C">
        <w:rPr>
          <w:rFonts w:cs="Arial"/>
          <w:color w:val="000000" w:themeColor="text1"/>
          <w:szCs w:val="24"/>
        </w:rPr>
        <w:t>1</w:t>
      </w:r>
      <w:r w:rsidR="00B71DEF">
        <w:rPr>
          <w:rFonts w:cs="Arial"/>
          <w:color w:val="000000" w:themeColor="text1"/>
          <w:szCs w:val="24"/>
        </w:rPr>
        <w:t>)</w:t>
      </w:r>
    </w:p>
    <w:p w14:paraId="1E8A0B72" w14:textId="464DD381" w:rsidR="0093682E" w:rsidRPr="00595FE6" w:rsidRDefault="0093682E" w:rsidP="009858E3">
      <w:pPr>
        <w:pStyle w:val="ListParagraph"/>
        <w:numPr>
          <w:ilvl w:val="0"/>
          <w:numId w:val="35"/>
        </w:numPr>
        <w:spacing w:line="240" w:lineRule="auto"/>
        <w:rPr>
          <w:rFonts w:cs="Arial"/>
          <w:color w:val="000000" w:themeColor="text1"/>
          <w:szCs w:val="24"/>
        </w:rPr>
      </w:pPr>
      <w:r w:rsidRPr="00595FE6">
        <w:rPr>
          <w:rFonts w:cs="Arial"/>
          <w:color w:val="000000" w:themeColor="text1"/>
          <w:szCs w:val="24"/>
        </w:rPr>
        <w:t xml:space="preserve">There were </w:t>
      </w:r>
      <w:r w:rsidR="00B646AD" w:rsidRPr="00595FE6">
        <w:rPr>
          <w:rFonts w:cs="Arial"/>
          <w:color w:val="000000" w:themeColor="text1"/>
          <w:szCs w:val="24"/>
        </w:rPr>
        <w:t>6.7%</w:t>
      </w:r>
      <w:r w:rsidRPr="00595FE6">
        <w:rPr>
          <w:rFonts w:cs="Arial"/>
          <w:color w:val="000000" w:themeColor="text1"/>
          <w:szCs w:val="24"/>
        </w:rPr>
        <w:t xml:space="preserve"> children </w:t>
      </w:r>
      <w:r w:rsidR="002F764D" w:rsidRPr="00595FE6">
        <w:rPr>
          <w:rFonts w:cs="Arial"/>
          <w:color w:val="000000" w:themeColor="text1"/>
          <w:szCs w:val="24"/>
        </w:rPr>
        <w:t xml:space="preserve">in </w:t>
      </w:r>
      <w:r w:rsidRPr="00595FE6">
        <w:rPr>
          <w:rFonts w:cs="Arial"/>
          <w:color w:val="000000" w:themeColor="text1"/>
          <w:szCs w:val="24"/>
        </w:rPr>
        <w:t>school years 7-11 who said they receive</w:t>
      </w:r>
      <w:r w:rsidR="00FE2D3D">
        <w:rPr>
          <w:rFonts w:cs="Arial"/>
          <w:color w:val="000000" w:themeColor="text1"/>
          <w:szCs w:val="24"/>
        </w:rPr>
        <w:t>d</w:t>
      </w:r>
      <w:r w:rsidRPr="00595FE6">
        <w:rPr>
          <w:rFonts w:cs="Arial"/>
          <w:color w:val="000000" w:themeColor="text1"/>
          <w:szCs w:val="24"/>
        </w:rPr>
        <w:t xml:space="preserve"> extra help</w:t>
      </w:r>
      <w:r w:rsidR="001528B9" w:rsidRPr="00595FE6">
        <w:rPr>
          <w:rFonts w:cs="Arial"/>
          <w:color w:val="000000" w:themeColor="text1"/>
          <w:szCs w:val="24"/>
        </w:rPr>
        <w:t xml:space="preserve">, much lower than the </w:t>
      </w:r>
      <w:r w:rsidR="006912FB" w:rsidRPr="00595FE6">
        <w:rPr>
          <w:rFonts w:cs="Arial"/>
          <w:color w:val="000000" w:themeColor="text1"/>
          <w:szCs w:val="24"/>
        </w:rPr>
        <w:t xml:space="preserve">22.4% of children with an </w:t>
      </w:r>
      <w:r w:rsidR="001572D3">
        <w:rPr>
          <w:rFonts w:cs="Arial"/>
          <w:color w:val="000000" w:themeColor="text1"/>
          <w:szCs w:val="24"/>
        </w:rPr>
        <w:t>EHC Plan</w:t>
      </w:r>
      <w:r w:rsidR="006912FB" w:rsidRPr="00595FE6">
        <w:rPr>
          <w:rFonts w:cs="Arial"/>
          <w:color w:val="000000" w:themeColor="text1"/>
          <w:szCs w:val="24"/>
        </w:rPr>
        <w:t xml:space="preserve"> or SEN support</w:t>
      </w:r>
      <w:r w:rsidR="00D93539">
        <w:rPr>
          <w:rFonts w:cs="Arial"/>
          <w:color w:val="000000" w:themeColor="text1"/>
          <w:szCs w:val="24"/>
        </w:rPr>
        <w:t>. This</w:t>
      </w:r>
      <w:r w:rsidR="001528B9" w:rsidRPr="00595FE6">
        <w:rPr>
          <w:rFonts w:cs="Arial"/>
          <w:color w:val="000000" w:themeColor="text1"/>
          <w:szCs w:val="24"/>
        </w:rPr>
        <w:t xml:space="preserve"> </w:t>
      </w:r>
      <w:r w:rsidR="0083563A">
        <w:rPr>
          <w:rFonts w:cs="Arial"/>
          <w:color w:val="000000" w:themeColor="text1"/>
          <w:szCs w:val="24"/>
        </w:rPr>
        <w:t>figure was</w:t>
      </w:r>
      <w:r w:rsidR="001528B9" w:rsidRPr="00595FE6">
        <w:rPr>
          <w:rFonts w:cs="Arial"/>
          <w:color w:val="000000" w:themeColor="text1"/>
          <w:szCs w:val="24"/>
        </w:rPr>
        <w:t xml:space="preserve"> closer to the </w:t>
      </w:r>
      <w:r w:rsidRPr="00595FE6">
        <w:rPr>
          <w:rFonts w:cs="Arial"/>
          <w:color w:val="000000" w:themeColor="text1"/>
          <w:szCs w:val="24"/>
        </w:rPr>
        <w:t xml:space="preserve">4.0% of children with an </w:t>
      </w:r>
      <w:r w:rsidR="001572D3">
        <w:rPr>
          <w:rFonts w:cs="Arial"/>
          <w:color w:val="000000" w:themeColor="text1"/>
          <w:szCs w:val="24"/>
        </w:rPr>
        <w:t>EHC Plan</w:t>
      </w:r>
      <w:r w:rsidRPr="00595FE6">
        <w:rPr>
          <w:rFonts w:cs="Arial"/>
          <w:color w:val="000000" w:themeColor="text1"/>
          <w:szCs w:val="24"/>
        </w:rPr>
        <w:t xml:space="preserve"> </w:t>
      </w:r>
      <w:r w:rsidR="006F7F10" w:rsidRPr="00595FE6">
        <w:rPr>
          <w:rFonts w:cs="Arial"/>
          <w:color w:val="000000" w:themeColor="text1"/>
          <w:szCs w:val="24"/>
        </w:rPr>
        <w:t>(</w:t>
      </w:r>
      <w:r w:rsidR="003F2D17" w:rsidRPr="00595FE6">
        <w:rPr>
          <w:rFonts w:cs="Arial"/>
          <w:color w:val="000000" w:themeColor="text1"/>
          <w:szCs w:val="24"/>
        </w:rPr>
        <w:t>18.4% with SEN support</w:t>
      </w:r>
      <w:r w:rsidR="006912FB" w:rsidRPr="00595FE6">
        <w:rPr>
          <w:rFonts w:cs="Arial"/>
          <w:color w:val="000000" w:themeColor="text1"/>
          <w:szCs w:val="24"/>
        </w:rPr>
        <w:t>)</w:t>
      </w:r>
      <w:r w:rsidR="003F2D17" w:rsidRPr="00595FE6">
        <w:rPr>
          <w:rFonts w:cs="Arial"/>
          <w:color w:val="000000" w:themeColor="text1"/>
          <w:szCs w:val="24"/>
        </w:rPr>
        <w:t>.</w:t>
      </w:r>
    </w:p>
    <w:p w14:paraId="5324A6D4" w14:textId="5AC14D51" w:rsidR="00187E48" w:rsidRPr="003376F6" w:rsidRDefault="00E005B5" w:rsidP="00D9246A">
      <w:pPr>
        <w:spacing w:line="240" w:lineRule="auto"/>
        <w:rPr>
          <w:b/>
          <w:color w:val="A65588"/>
        </w:rPr>
      </w:pPr>
      <w:r w:rsidRPr="003376F6">
        <w:rPr>
          <w:b/>
          <w:color w:val="A65588"/>
        </w:rPr>
        <w:t xml:space="preserve">Table </w:t>
      </w:r>
      <w:r w:rsidR="001F7135" w:rsidRPr="003376F6">
        <w:rPr>
          <w:b/>
          <w:color w:val="A65588"/>
        </w:rPr>
        <w:fldChar w:fldCharType="begin"/>
      </w:r>
      <w:r w:rsidR="001F7135" w:rsidRPr="003376F6">
        <w:rPr>
          <w:b/>
          <w:color w:val="A65588"/>
        </w:rPr>
        <w:instrText xml:space="preserve"> SEQ Table \* ARABIC </w:instrText>
      </w:r>
      <w:r w:rsidR="001F7135" w:rsidRPr="003376F6">
        <w:rPr>
          <w:b/>
          <w:color w:val="A65588"/>
        </w:rPr>
        <w:fldChar w:fldCharType="separate"/>
      </w:r>
      <w:r w:rsidR="009A41AE">
        <w:rPr>
          <w:b/>
          <w:noProof/>
          <w:color w:val="A65588"/>
        </w:rPr>
        <w:t>11</w:t>
      </w:r>
      <w:r w:rsidR="001F7135" w:rsidRPr="003376F6">
        <w:rPr>
          <w:b/>
          <w:color w:val="A65588"/>
        </w:rPr>
        <w:fldChar w:fldCharType="end"/>
      </w:r>
      <w:r w:rsidRPr="003376F6">
        <w:rPr>
          <w:b/>
          <w:color w:val="A65588"/>
        </w:rPr>
        <w:t xml:space="preserve">: Comparison </w:t>
      </w:r>
      <w:r w:rsidR="007C22CA" w:rsidRPr="003376F6">
        <w:rPr>
          <w:b/>
          <w:color w:val="A65588"/>
        </w:rPr>
        <w:t xml:space="preserve">between </w:t>
      </w:r>
      <w:r w:rsidRPr="003376F6">
        <w:rPr>
          <w:b/>
          <w:color w:val="A65588"/>
        </w:rPr>
        <w:t xml:space="preserve">the </w:t>
      </w:r>
      <w:r w:rsidR="00654113" w:rsidRPr="003376F6">
        <w:rPr>
          <w:b/>
          <w:color w:val="A65588"/>
        </w:rPr>
        <w:t xml:space="preserve">% of pupils getting SEN support, having an </w:t>
      </w:r>
      <w:r w:rsidR="001572D3" w:rsidRPr="003376F6">
        <w:rPr>
          <w:b/>
          <w:color w:val="A65588"/>
        </w:rPr>
        <w:t>EHC Plan</w:t>
      </w:r>
      <w:r w:rsidR="00654113" w:rsidRPr="003376F6">
        <w:rPr>
          <w:b/>
          <w:color w:val="A65588"/>
        </w:rPr>
        <w:t>, and self-reported figures of extra help in the Safe and Well at School Survey (SAWSS), in mainstream schools that took part in the survey</w:t>
      </w:r>
      <w:r w:rsidR="00DD75F3" w:rsidRPr="003376F6">
        <w:rPr>
          <w:b/>
          <w:bCs/>
          <w:color w:val="A65588"/>
        </w:rPr>
        <w:t>, Brighton &amp; Hove, SAWSS 2023 and school census January 2024</w:t>
      </w:r>
      <w:r w:rsidRPr="003376F6">
        <w:rPr>
          <w:b/>
          <w:bCs/>
          <w:color w:val="A65588"/>
        </w:rPr>
        <w:t xml:space="preserve"> </w:t>
      </w: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44"/>
        <w:gridCol w:w="2010"/>
        <w:gridCol w:w="2306"/>
        <w:gridCol w:w="1298"/>
        <w:gridCol w:w="1240"/>
        <w:gridCol w:w="1240"/>
      </w:tblGrid>
      <w:tr w:rsidR="00F858D8" w:rsidRPr="00595FE6" w14:paraId="7F2D2391" w14:textId="77777777" w:rsidTr="00991F23">
        <w:trPr>
          <w:trHeight w:val="278"/>
        </w:trPr>
        <w:tc>
          <w:tcPr>
            <w:tcW w:w="666" w:type="pct"/>
            <w:tcBorders>
              <w:top w:val="single" w:sz="6" w:space="0" w:color="auto"/>
              <w:left w:val="single" w:sz="6" w:space="0" w:color="auto"/>
              <w:bottom w:val="single" w:sz="6" w:space="0" w:color="auto"/>
              <w:right w:val="single" w:sz="6" w:space="0" w:color="auto"/>
            </w:tcBorders>
            <w:shd w:val="clear" w:color="auto" w:fill="086A76"/>
            <w:hideMark/>
          </w:tcPr>
          <w:p w14:paraId="1B6D67AB" w14:textId="77777777" w:rsidR="00F858D8" w:rsidRPr="00194C8B" w:rsidRDefault="00F858D8" w:rsidP="00D9246A">
            <w:pPr>
              <w:spacing w:line="240" w:lineRule="auto"/>
              <w:rPr>
                <w:rFonts w:cs="Arial"/>
                <w:color w:val="FFFFFF" w:themeColor="background1"/>
                <w:szCs w:val="24"/>
              </w:rPr>
            </w:pPr>
            <w:r w:rsidRPr="00194C8B">
              <w:rPr>
                <w:rFonts w:cs="Arial"/>
                <w:color w:val="FFFFFF" w:themeColor="background1"/>
                <w:szCs w:val="24"/>
              </w:rPr>
              <w:t> </w:t>
            </w:r>
          </w:p>
        </w:tc>
        <w:tc>
          <w:tcPr>
            <w:tcW w:w="1076" w:type="pct"/>
            <w:tcBorders>
              <w:top w:val="single" w:sz="6" w:space="0" w:color="auto"/>
              <w:left w:val="single" w:sz="6" w:space="0" w:color="auto"/>
              <w:bottom w:val="single" w:sz="6" w:space="0" w:color="auto"/>
              <w:right w:val="single" w:sz="6" w:space="0" w:color="auto"/>
            </w:tcBorders>
            <w:shd w:val="clear" w:color="auto" w:fill="086A76"/>
            <w:hideMark/>
          </w:tcPr>
          <w:p w14:paraId="4F2EDD18" w14:textId="563751B7" w:rsidR="00F858D8" w:rsidRPr="00194C8B" w:rsidRDefault="00F858D8" w:rsidP="00D9246A">
            <w:pPr>
              <w:spacing w:line="240" w:lineRule="auto"/>
              <w:rPr>
                <w:rFonts w:cs="Arial"/>
                <w:color w:val="FFFFFF" w:themeColor="background1"/>
                <w:szCs w:val="24"/>
              </w:rPr>
            </w:pPr>
            <w:r w:rsidRPr="00194C8B">
              <w:rPr>
                <w:rFonts w:cs="Arial"/>
                <w:b/>
                <w:color w:val="FFFFFF" w:themeColor="background1"/>
                <w:szCs w:val="24"/>
              </w:rPr>
              <w:t xml:space="preserve">% </w:t>
            </w:r>
            <w:r w:rsidR="001572D3">
              <w:rPr>
                <w:rFonts w:cs="Arial"/>
                <w:b/>
                <w:color w:val="FFFFFF" w:themeColor="background1"/>
                <w:szCs w:val="24"/>
              </w:rPr>
              <w:t>EHC Plan</w:t>
            </w:r>
            <w:r w:rsidRPr="00194C8B">
              <w:rPr>
                <w:rFonts w:cs="Arial"/>
                <w:b/>
                <w:color w:val="FFFFFF" w:themeColor="background1"/>
                <w:szCs w:val="24"/>
              </w:rPr>
              <w:t xml:space="preserve"> pupils</w:t>
            </w:r>
            <w:r w:rsidRPr="00194C8B">
              <w:rPr>
                <w:rFonts w:cs="Arial"/>
                <w:color w:val="FFFFFF" w:themeColor="background1"/>
                <w:szCs w:val="24"/>
              </w:rPr>
              <w:t> </w:t>
            </w:r>
          </w:p>
        </w:tc>
        <w:tc>
          <w:tcPr>
            <w:tcW w:w="1235" w:type="pct"/>
            <w:tcBorders>
              <w:top w:val="single" w:sz="6" w:space="0" w:color="auto"/>
              <w:left w:val="single" w:sz="6" w:space="0" w:color="auto"/>
              <w:bottom w:val="single" w:sz="6" w:space="0" w:color="auto"/>
              <w:right w:val="single" w:sz="6" w:space="0" w:color="auto"/>
            </w:tcBorders>
            <w:shd w:val="clear" w:color="auto" w:fill="086A76"/>
            <w:hideMark/>
          </w:tcPr>
          <w:p w14:paraId="53E4B09E" w14:textId="77777777" w:rsidR="00F858D8" w:rsidRPr="00194C8B" w:rsidRDefault="00F858D8" w:rsidP="00D9246A">
            <w:pPr>
              <w:spacing w:line="240" w:lineRule="auto"/>
              <w:rPr>
                <w:rFonts w:cs="Arial"/>
                <w:color w:val="FFFFFF" w:themeColor="background1"/>
                <w:szCs w:val="24"/>
              </w:rPr>
            </w:pPr>
            <w:r w:rsidRPr="00194C8B">
              <w:rPr>
                <w:rFonts w:cs="Arial"/>
                <w:b/>
                <w:color w:val="FFFFFF" w:themeColor="background1"/>
                <w:szCs w:val="24"/>
              </w:rPr>
              <w:t>% SEN support pupils</w:t>
            </w:r>
            <w:r w:rsidRPr="00194C8B">
              <w:rPr>
                <w:rFonts w:cs="Arial"/>
                <w:color w:val="FFFFFF" w:themeColor="background1"/>
                <w:szCs w:val="24"/>
              </w:rPr>
              <w:t> </w:t>
            </w:r>
          </w:p>
        </w:tc>
        <w:tc>
          <w:tcPr>
            <w:tcW w:w="695" w:type="pct"/>
            <w:tcBorders>
              <w:top w:val="single" w:sz="6" w:space="0" w:color="auto"/>
              <w:left w:val="single" w:sz="6" w:space="0" w:color="auto"/>
              <w:bottom w:val="single" w:sz="6" w:space="0" w:color="auto"/>
              <w:right w:val="single" w:sz="6" w:space="0" w:color="auto"/>
            </w:tcBorders>
            <w:shd w:val="clear" w:color="auto" w:fill="086A76"/>
            <w:hideMark/>
          </w:tcPr>
          <w:p w14:paraId="07588182" w14:textId="77777777" w:rsidR="00F858D8" w:rsidRPr="00194C8B" w:rsidRDefault="00F858D8" w:rsidP="00D9246A">
            <w:pPr>
              <w:spacing w:line="240" w:lineRule="auto"/>
              <w:rPr>
                <w:rFonts w:cs="Arial"/>
                <w:color w:val="FFFFFF" w:themeColor="background1"/>
                <w:szCs w:val="24"/>
              </w:rPr>
            </w:pPr>
            <w:r w:rsidRPr="00194C8B">
              <w:rPr>
                <w:rFonts w:cs="Arial"/>
                <w:b/>
                <w:color w:val="FFFFFF" w:themeColor="background1"/>
                <w:szCs w:val="24"/>
              </w:rPr>
              <w:t>% receiving extra help SAWSS </w:t>
            </w:r>
            <w:r w:rsidRPr="00194C8B">
              <w:rPr>
                <w:rFonts w:cs="Arial"/>
                <w:color w:val="FFFFFF" w:themeColor="background1"/>
                <w:szCs w:val="24"/>
              </w:rPr>
              <w:t> </w:t>
            </w:r>
          </w:p>
        </w:tc>
        <w:tc>
          <w:tcPr>
            <w:tcW w:w="664" w:type="pct"/>
            <w:tcBorders>
              <w:top w:val="single" w:sz="6" w:space="0" w:color="auto"/>
              <w:left w:val="single" w:sz="6" w:space="0" w:color="auto"/>
              <w:bottom w:val="single" w:sz="6" w:space="0" w:color="auto"/>
              <w:right w:val="single" w:sz="6" w:space="0" w:color="auto"/>
            </w:tcBorders>
            <w:shd w:val="clear" w:color="auto" w:fill="086A76"/>
            <w:hideMark/>
          </w:tcPr>
          <w:p w14:paraId="696CFF1D" w14:textId="2346B44C" w:rsidR="00F858D8" w:rsidRPr="00194C8B" w:rsidRDefault="00F858D8" w:rsidP="00D9246A">
            <w:pPr>
              <w:spacing w:line="240" w:lineRule="auto"/>
              <w:rPr>
                <w:rFonts w:cs="Arial"/>
                <w:color w:val="FFFFFF" w:themeColor="background1"/>
                <w:szCs w:val="24"/>
              </w:rPr>
            </w:pPr>
            <w:r w:rsidRPr="00194C8B">
              <w:rPr>
                <w:rFonts w:cs="Arial"/>
                <w:b/>
                <w:color w:val="FFFFFF" w:themeColor="background1"/>
                <w:szCs w:val="24"/>
              </w:rPr>
              <w:t xml:space="preserve">% </w:t>
            </w:r>
            <w:r w:rsidR="006C3062" w:rsidRPr="00194C8B">
              <w:rPr>
                <w:rFonts w:cs="Arial"/>
                <w:b/>
                <w:color w:val="FFFFFF" w:themeColor="background1"/>
                <w:szCs w:val="24"/>
              </w:rPr>
              <w:t xml:space="preserve">point </w:t>
            </w:r>
            <w:r w:rsidR="0015731E" w:rsidRPr="00194C8B">
              <w:rPr>
                <w:rFonts w:cs="Arial"/>
                <w:b/>
                <w:color w:val="FFFFFF" w:themeColor="background1"/>
                <w:szCs w:val="24"/>
              </w:rPr>
              <w:t>d</w:t>
            </w:r>
            <w:r w:rsidRPr="00194C8B">
              <w:rPr>
                <w:rFonts w:cs="Arial"/>
                <w:b/>
                <w:color w:val="FFFFFF" w:themeColor="background1"/>
                <w:szCs w:val="24"/>
              </w:rPr>
              <w:t>ifference</w:t>
            </w:r>
            <w:r w:rsidR="0015731E" w:rsidRPr="00194C8B">
              <w:rPr>
                <w:rFonts w:cs="Arial"/>
                <w:b/>
                <w:color w:val="FFFFFF" w:themeColor="background1"/>
                <w:szCs w:val="24"/>
              </w:rPr>
              <w:t xml:space="preserve"> of those receiving extra help in SAWSS with </w:t>
            </w:r>
            <w:r w:rsidR="001572D3">
              <w:rPr>
                <w:rFonts w:cs="Arial"/>
                <w:b/>
                <w:color w:val="FFFFFF" w:themeColor="background1"/>
                <w:szCs w:val="24"/>
              </w:rPr>
              <w:t>EHC Plan</w:t>
            </w:r>
            <w:r w:rsidRPr="00194C8B">
              <w:rPr>
                <w:rFonts w:cs="Arial"/>
                <w:color w:val="FFFFFF" w:themeColor="background1"/>
                <w:szCs w:val="24"/>
              </w:rPr>
              <w:t> </w:t>
            </w:r>
          </w:p>
        </w:tc>
        <w:tc>
          <w:tcPr>
            <w:tcW w:w="664" w:type="pct"/>
            <w:tcBorders>
              <w:top w:val="single" w:sz="6" w:space="0" w:color="auto"/>
              <w:left w:val="single" w:sz="6" w:space="0" w:color="auto"/>
              <w:bottom w:val="single" w:sz="6" w:space="0" w:color="auto"/>
              <w:right w:val="single" w:sz="6" w:space="0" w:color="auto"/>
            </w:tcBorders>
            <w:shd w:val="clear" w:color="auto" w:fill="086A76"/>
            <w:hideMark/>
          </w:tcPr>
          <w:p w14:paraId="1583DFCB" w14:textId="33543A8F" w:rsidR="00F858D8" w:rsidRPr="00194C8B" w:rsidRDefault="00F858D8" w:rsidP="00D9246A">
            <w:pPr>
              <w:spacing w:line="240" w:lineRule="auto"/>
              <w:rPr>
                <w:rFonts w:cs="Arial"/>
                <w:color w:val="FFFFFF" w:themeColor="background1"/>
                <w:szCs w:val="24"/>
              </w:rPr>
            </w:pPr>
            <w:r w:rsidRPr="00194C8B">
              <w:rPr>
                <w:rFonts w:cs="Arial"/>
                <w:b/>
                <w:color w:val="FFFFFF" w:themeColor="background1"/>
                <w:szCs w:val="24"/>
              </w:rPr>
              <w:t xml:space="preserve">% </w:t>
            </w:r>
            <w:r w:rsidR="006C3062" w:rsidRPr="00194C8B">
              <w:rPr>
                <w:rFonts w:cs="Arial"/>
                <w:b/>
                <w:color w:val="FFFFFF" w:themeColor="background1"/>
                <w:szCs w:val="24"/>
              </w:rPr>
              <w:t xml:space="preserve">point </w:t>
            </w:r>
            <w:r w:rsidR="0015731E" w:rsidRPr="00194C8B">
              <w:rPr>
                <w:rFonts w:cs="Arial"/>
                <w:b/>
                <w:color w:val="FFFFFF" w:themeColor="background1"/>
                <w:szCs w:val="24"/>
              </w:rPr>
              <w:t>difference of those receiving extra help in SAWSS with SEN support</w:t>
            </w:r>
          </w:p>
        </w:tc>
      </w:tr>
      <w:tr w:rsidR="00F858D8" w:rsidRPr="00595FE6" w14:paraId="2F51E9F3" w14:textId="77777777" w:rsidTr="00991F23">
        <w:trPr>
          <w:trHeight w:val="278"/>
        </w:trPr>
        <w:tc>
          <w:tcPr>
            <w:tcW w:w="666" w:type="pct"/>
            <w:tcBorders>
              <w:top w:val="single" w:sz="6" w:space="0" w:color="auto"/>
              <w:left w:val="single" w:sz="6" w:space="0" w:color="auto"/>
              <w:bottom w:val="single" w:sz="6" w:space="0" w:color="auto"/>
              <w:right w:val="single" w:sz="6" w:space="0" w:color="auto"/>
            </w:tcBorders>
            <w:hideMark/>
          </w:tcPr>
          <w:p w14:paraId="01BA740E" w14:textId="77777777" w:rsidR="00F858D8" w:rsidRPr="00595FE6" w:rsidRDefault="00F858D8" w:rsidP="00D9246A">
            <w:pPr>
              <w:spacing w:line="240" w:lineRule="auto"/>
              <w:rPr>
                <w:rFonts w:cs="Arial"/>
                <w:szCs w:val="24"/>
              </w:rPr>
            </w:pPr>
            <w:r w:rsidRPr="00595FE6">
              <w:rPr>
                <w:rFonts w:cs="Arial"/>
                <w:b/>
                <w:bCs/>
                <w:szCs w:val="24"/>
              </w:rPr>
              <w:t>Secondary (Year 7 – 11)</w:t>
            </w:r>
            <w:r w:rsidRPr="00595FE6">
              <w:rPr>
                <w:rFonts w:cs="Arial"/>
                <w:szCs w:val="24"/>
              </w:rPr>
              <w:t> </w:t>
            </w:r>
          </w:p>
        </w:tc>
        <w:tc>
          <w:tcPr>
            <w:tcW w:w="1076" w:type="pct"/>
            <w:tcBorders>
              <w:top w:val="single" w:sz="6" w:space="0" w:color="auto"/>
              <w:left w:val="single" w:sz="6" w:space="0" w:color="auto"/>
              <w:bottom w:val="single" w:sz="6" w:space="0" w:color="auto"/>
              <w:right w:val="single" w:sz="6" w:space="0" w:color="auto"/>
            </w:tcBorders>
            <w:hideMark/>
          </w:tcPr>
          <w:p w14:paraId="48455158" w14:textId="77777777" w:rsidR="008A30B7" w:rsidRPr="00595FE6" w:rsidRDefault="00F858D8" w:rsidP="00D9246A">
            <w:pPr>
              <w:spacing w:line="240" w:lineRule="auto"/>
              <w:jc w:val="right"/>
              <w:rPr>
                <w:rFonts w:cs="Arial"/>
                <w:b/>
                <w:bCs/>
                <w:szCs w:val="24"/>
              </w:rPr>
            </w:pPr>
            <w:r w:rsidRPr="00595FE6">
              <w:rPr>
                <w:rFonts w:cs="Arial"/>
                <w:b/>
                <w:bCs/>
                <w:szCs w:val="24"/>
              </w:rPr>
              <w:t xml:space="preserve">4.0% </w:t>
            </w:r>
          </w:p>
          <w:p w14:paraId="6902F2A8" w14:textId="1434CA65" w:rsidR="00F858D8" w:rsidRPr="00595FE6" w:rsidRDefault="00F858D8" w:rsidP="00D9246A">
            <w:pPr>
              <w:spacing w:line="240" w:lineRule="auto"/>
              <w:jc w:val="right"/>
              <w:rPr>
                <w:rFonts w:cs="Arial"/>
                <w:szCs w:val="24"/>
              </w:rPr>
            </w:pPr>
            <w:r w:rsidRPr="00595FE6">
              <w:rPr>
                <w:rFonts w:cs="Arial"/>
                <w:szCs w:val="24"/>
              </w:rPr>
              <w:t>(518 out of 12,860 pupils) </w:t>
            </w:r>
          </w:p>
        </w:tc>
        <w:tc>
          <w:tcPr>
            <w:tcW w:w="1235" w:type="pct"/>
            <w:tcBorders>
              <w:top w:val="single" w:sz="6" w:space="0" w:color="auto"/>
              <w:left w:val="single" w:sz="6" w:space="0" w:color="auto"/>
              <w:bottom w:val="single" w:sz="6" w:space="0" w:color="auto"/>
              <w:right w:val="single" w:sz="6" w:space="0" w:color="auto"/>
            </w:tcBorders>
            <w:hideMark/>
          </w:tcPr>
          <w:p w14:paraId="75CE8836" w14:textId="77777777" w:rsidR="008A30B7" w:rsidRPr="00595FE6" w:rsidRDefault="00F858D8" w:rsidP="00D9246A">
            <w:pPr>
              <w:spacing w:line="240" w:lineRule="auto"/>
              <w:jc w:val="right"/>
              <w:rPr>
                <w:rFonts w:cs="Arial"/>
                <w:b/>
                <w:bCs/>
                <w:szCs w:val="24"/>
              </w:rPr>
            </w:pPr>
            <w:r w:rsidRPr="00595FE6">
              <w:rPr>
                <w:rFonts w:cs="Arial"/>
                <w:b/>
                <w:bCs/>
                <w:szCs w:val="24"/>
              </w:rPr>
              <w:t xml:space="preserve">18.4% </w:t>
            </w:r>
          </w:p>
          <w:p w14:paraId="3124125E" w14:textId="39225974" w:rsidR="00F858D8" w:rsidRPr="00595FE6" w:rsidRDefault="00F858D8" w:rsidP="00D9246A">
            <w:pPr>
              <w:spacing w:line="240" w:lineRule="auto"/>
              <w:jc w:val="right"/>
              <w:rPr>
                <w:rFonts w:cs="Arial"/>
                <w:szCs w:val="24"/>
              </w:rPr>
            </w:pPr>
            <w:r w:rsidRPr="00595FE6">
              <w:rPr>
                <w:rFonts w:cs="Arial"/>
                <w:szCs w:val="24"/>
              </w:rPr>
              <w:t>(2,360 out of 12,860 pupils) </w:t>
            </w:r>
          </w:p>
        </w:tc>
        <w:tc>
          <w:tcPr>
            <w:tcW w:w="695" w:type="pct"/>
            <w:tcBorders>
              <w:top w:val="single" w:sz="6" w:space="0" w:color="auto"/>
              <w:left w:val="single" w:sz="6" w:space="0" w:color="auto"/>
              <w:bottom w:val="single" w:sz="6" w:space="0" w:color="auto"/>
              <w:right w:val="single" w:sz="6" w:space="0" w:color="auto"/>
            </w:tcBorders>
            <w:hideMark/>
          </w:tcPr>
          <w:p w14:paraId="02244BD2" w14:textId="77777777" w:rsidR="008A30B7" w:rsidRPr="00595FE6" w:rsidRDefault="00F858D8" w:rsidP="00D9246A">
            <w:pPr>
              <w:spacing w:line="240" w:lineRule="auto"/>
              <w:jc w:val="right"/>
              <w:rPr>
                <w:rFonts w:cs="Arial"/>
                <w:b/>
                <w:bCs/>
                <w:szCs w:val="24"/>
              </w:rPr>
            </w:pPr>
            <w:r w:rsidRPr="00595FE6">
              <w:rPr>
                <w:rFonts w:cs="Arial"/>
                <w:b/>
                <w:bCs/>
                <w:szCs w:val="24"/>
              </w:rPr>
              <w:t xml:space="preserve">6.7% </w:t>
            </w:r>
          </w:p>
          <w:p w14:paraId="4FE169E1" w14:textId="523A5487" w:rsidR="00F858D8" w:rsidRPr="00595FE6" w:rsidRDefault="00F858D8" w:rsidP="00D9246A">
            <w:pPr>
              <w:spacing w:line="240" w:lineRule="auto"/>
              <w:jc w:val="right"/>
              <w:rPr>
                <w:rFonts w:cs="Arial"/>
                <w:szCs w:val="24"/>
              </w:rPr>
            </w:pPr>
            <w:r w:rsidRPr="00595FE6">
              <w:rPr>
                <w:rFonts w:cs="Arial"/>
                <w:szCs w:val="24"/>
              </w:rPr>
              <w:t>(631 out of 7,751 that responded) </w:t>
            </w:r>
          </w:p>
        </w:tc>
        <w:tc>
          <w:tcPr>
            <w:tcW w:w="664" w:type="pct"/>
            <w:tcBorders>
              <w:top w:val="single" w:sz="6" w:space="0" w:color="auto"/>
              <w:left w:val="single" w:sz="6" w:space="0" w:color="auto"/>
              <w:bottom w:val="single" w:sz="6" w:space="0" w:color="auto"/>
              <w:right w:val="single" w:sz="6" w:space="0" w:color="auto"/>
            </w:tcBorders>
            <w:hideMark/>
          </w:tcPr>
          <w:p w14:paraId="15A7AC64" w14:textId="77777777" w:rsidR="00F858D8" w:rsidRPr="00595FE6" w:rsidRDefault="00F858D8" w:rsidP="00D9246A">
            <w:pPr>
              <w:spacing w:line="240" w:lineRule="auto"/>
              <w:jc w:val="right"/>
              <w:rPr>
                <w:rFonts w:cs="Arial"/>
                <w:szCs w:val="24"/>
              </w:rPr>
            </w:pPr>
            <w:r w:rsidRPr="00595FE6">
              <w:rPr>
                <w:rFonts w:cs="Arial"/>
                <w:b/>
                <w:bCs/>
                <w:szCs w:val="24"/>
              </w:rPr>
              <w:t> + 2.7%</w:t>
            </w:r>
            <w:r w:rsidRPr="00595FE6">
              <w:rPr>
                <w:rFonts w:cs="Arial"/>
                <w:szCs w:val="24"/>
              </w:rPr>
              <w:t> </w:t>
            </w:r>
          </w:p>
        </w:tc>
        <w:tc>
          <w:tcPr>
            <w:tcW w:w="664" w:type="pct"/>
            <w:tcBorders>
              <w:top w:val="single" w:sz="6" w:space="0" w:color="auto"/>
              <w:left w:val="single" w:sz="6" w:space="0" w:color="auto"/>
              <w:bottom w:val="single" w:sz="6" w:space="0" w:color="auto"/>
              <w:right w:val="single" w:sz="6" w:space="0" w:color="auto"/>
            </w:tcBorders>
            <w:hideMark/>
          </w:tcPr>
          <w:p w14:paraId="5C8D2F06" w14:textId="77777777" w:rsidR="00F858D8" w:rsidRPr="00595FE6" w:rsidRDefault="00F858D8" w:rsidP="00D9246A">
            <w:pPr>
              <w:spacing w:line="240" w:lineRule="auto"/>
              <w:jc w:val="right"/>
              <w:rPr>
                <w:rFonts w:cs="Arial"/>
                <w:szCs w:val="24"/>
              </w:rPr>
            </w:pPr>
            <w:r w:rsidRPr="00595FE6">
              <w:rPr>
                <w:rFonts w:cs="Arial"/>
                <w:b/>
                <w:bCs/>
                <w:szCs w:val="24"/>
              </w:rPr>
              <w:t>-15.7%</w:t>
            </w:r>
            <w:r w:rsidRPr="00595FE6">
              <w:rPr>
                <w:rFonts w:cs="Arial"/>
                <w:szCs w:val="24"/>
              </w:rPr>
              <w:t> </w:t>
            </w:r>
          </w:p>
        </w:tc>
      </w:tr>
      <w:tr w:rsidR="00F858D8" w:rsidRPr="00595FE6" w14:paraId="0AA5719B" w14:textId="77777777" w:rsidTr="00991F23">
        <w:trPr>
          <w:trHeight w:val="278"/>
        </w:trPr>
        <w:tc>
          <w:tcPr>
            <w:tcW w:w="666" w:type="pct"/>
            <w:tcBorders>
              <w:top w:val="single" w:sz="6" w:space="0" w:color="auto"/>
              <w:left w:val="single" w:sz="6" w:space="0" w:color="auto"/>
              <w:bottom w:val="single" w:sz="6" w:space="0" w:color="auto"/>
              <w:right w:val="single" w:sz="6" w:space="0" w:color="auto"/>
            </w:tcBorders>
            <w:hideMark/>
          </w:tcPr>
          <w:p w14:paraId="7488D0E9" w14:textId="77777777" w:rsidR="00F858D8" w:rsidRPr="00595FE6" w:rsidRDefault="00F858D8" w:rsidP="00D9246A">
            <w:pPr>
              <w:spacing w:line="240" w:lineRule="auto"/>
              <w:rPr>
                <w:rFonts w:cs="Arial"/>
                <w:szCs w:val="24"/>
              </w:rPr>
            </w:pPr>
            <w:r w:rsidRPr="00595FE6">
              <w:rPr>
                <w:rFonts w:cs="Arial"/>
                <w:b/>
                <w:bCs/>
                <w:szCs w:val="24"/>
              </w:rPr>
              <w:t>Primary (Year 4 – 6)</w:t>
            </w:r>
            <w:r w:rsidRPr="00595FE6">
              <w:rPr>
                <w:rFonts w:cs="Arial"/>
                <w:szCs w:val="24"/>
              </w:rPr>
              <w:t> </w:t>
            </w:r>
          </w:p>
        </w:tc>
        <w:tc>
          <w:tcPr>
            <w:tcW w:w="1076" w:type="pct"/>
            <w:tcBorders>
              <w:top w:val="single" w:sz="6" w:space="0" w:color="auto"/>
              <w:left w:val="single" w:sz="6" w:space="0" w:color="auto"/>
              <w:bottom w:val="single" w:sz="6" w:space="0" w:color="auto"/>
              <w:right w:val="single" w:sz="6" w:space="0" w:color="auto"/>
            </w:tcBorders>
            <w:hideMark/>
          </w:tcPr>
          <w:p w14:paraId="2A2560E6" w14:textId="77777777" w:rsidR="008A30B7" w:rsidRPr="00595FE6" w:rsidRDefault="00F858D8" w:rsidP="00D9246A">
            <w:pPr>
              <w:spacing w:line="240" w:lineRule="auto"/>
              <w:jc w:val="right"/>
              <w:rPr>
                <w:rFonts w:cs="Arial"/>
                <w:b/>
                <w:bCs/>
                <w:szCs w:val="24"/>
              </w:rPr>
            </w:pPr>
            <w:r w:rsidRPr="00595FE6">
              <w:rPr>
                <w:rFonts w:cs="Arial"/>
                <w:b/>
                <w:bCs/>
                <w:szCs w:val="24"/>
              </w:rPr>
              <w:t xml:space="preserve">4.2% </w:t>
            </w:r>
          </w:p>
          <w:p w14:paraId="3FC37F58" w14:textId="264E6FD7" w:rsidR="00F858D8" w:rsidRPr="00595FE6" w:rsidRDefault="00F858D8" w:rsidP="00D9246A">
            <w:pPr>
              <w:spacing w:line="240" w:lineRule="auto"/>
              <w:jc w:val="right"/>
              <w:rPr>
                <w:rFonts w:cs="Arial"/>
                <w:szCs w:val="24"/>
              </w:rPr>
            </w:pPr>
            <w:r w:rsidRPr="00595FE6">
              <w:rPr>
                <w:rFonts w:cs="Arial"/>
                <w:szCs w:val="24"/>
              </w:rPr>
              <w:t>(302 out of 7,153 pupils) </w:t>
            </w:r>
          </w:p>
        </w:tc>
        <w:tc>
          <w:tcPr>
            <w:tcW w:w="1235" w:type="pct"/>
            <w:tcBorders>
              <w:top w:val="single" w:sz="6" w:space="0" w:color="auto"/>
              <w:left w:val="single" w:sz="6" w:space="0" w:color="auto"/>
              <w:bottom w:val="single" w:sz="6" w:space="0" w:color="auto"/>
              <w:right w:val="single" w:sz="6" w:space="0" w:color="auto"/>
            </w:tcBorders>
            <w:hideMark/>
          </w:tcPr>
          <w:p w14:paraId="506B22C9" w14:textId="77777777" w:rsidR="008A30B7" w:rsidRPr="00595FE6" w:rsidRDefault="00F858D8" w:rsidP="00D9246A">
            <w:pPr>
              <w:spacing w:line="240" w:lineRule="auto"/>
              <w:jc w:val="right"/>
              <w:rPr>
                <w:rFonts w:cs="Arial"/>
                <w:b/>
                <w:bCs/>
                <w:szCs w:val="24"/>
              </w:rPr>
            </w:pPr>
            <w:r w:rsidRPr="00595FE6">
              <w:rPr>
                <w:rFonts w:cs="Arial"/>
                <w:b/>
                <w:bCs/>
                <w:szCs w:val="24"/>
              </w:rPr>
              <w:t xml:space="preserve">19.6% </w:t>
            </w:r>
          </w:p>
          <w:p w14:paraId="49F920D2" w14:textId="77033091" w:rsidR="00F858D8" w:rsidRPr="00595FE6" w:rsidRDefault="00F858D8" w:rsidP="00D9246A">
            <w:pPr>
              <w:spacing w:line="240" w:lineRule="auto"/>
              <w:jc w:val="right"/>
              <w:rPr>
                <w:rFonts w:cs="Arial"/>
                <w:szCs w:val="24"/>
              </w:rPr>
            </w:pPr>
            <w:r w:rsidRPr="00595FE6">
              <w:rPr>
                <w:rFonts w:cs="Arial"/>
                <w:szCs w:val="24"/>
              </w:rPr>
              <w:t>(1,405 out of 7153 pupils) </w:t>
            </w:r>
          </w:p>
        </w:tc>
        <w:tc>
          <w:tcPr>
            <w:tcW w:w="695" w:type="pct"/>
            <w:tcBorders>
              <w:top w:val="single" w:sz="6" w:space="0" w:color="auto"/>
              <w:left w:val="single" w:sz="6" w:space="0" w:color="auto"/>
              <w:bottom w:val="single" w:sz="6" w:space="0" w:color="auto"/>
              <w:right w:val="single" w:sz="6" w:space="0" w:color="auto"/>
            </w:tcBorders>
            <w:hideMark/>
          </w:tcPr>
          <w:p w14:paraId="75F1A455" w14:textId="77777777" w:rsidR="008A30B7" w:rsidRPr="00595FE6" w:rsidRDefault="00F858D8" w:rsidP="00D9246A">
            <w:pPr>
              <w:spacing w:line="240" w:lineRule="auto"/>
              <w:jc w:val="right"/>
              <w:rPr>
                <w:rFonts w:cs="Arial"/>
                <w:b/>
                <w:bCs/>
                <w:szCs w:val="24"/>
              </w:rPr>
            </w:pPr>
            <w:r w:rsidRPr="00595FE6">
              <w:rPr>
                <w:rFonts w:cs="Arial"/>
                <w:b/>
                <w:bCs/>
                <w:szCs w:val="24"/>
              </w:rPr>
              <w:t xml:space="preserve">23.3% </w:t>
            </w:r>
          </w:p>
          <w:p w14:paraId="756CE78F" w14:textId="22C99E6E" w:rsidR="00F858D8" w:rsidRPr="00595FE6" w:rsidRDefault="00F858D8" w:rsidP="00D9246A">
            <w:pPr>
              <w:spacing w:line="240" w:lineRule="auto"/>
              <w:jc w:val="right"/>
              <w:rPr>
                <w:rFonts w:cs="Arial"/>
                <w:szCs w:val="24"/>
              </w:rPr>
            </w:pPr>
            <w:r w:rsidRPr="00595FE6">
              <w:rPr>
                <w:rFonts w:cs="Arial"/>
                <w:szCs w:val="24"/>
              </w:rPr>
              <w:t>(1,352 out of 5807 that responded) </w:t>
            </w:r>
          </w:p>
        </w:tc>
        <w:tc>
          <w:tcPr>
            <w:tcW w:w="664" w:type="pct"/>
            <w:tcBorders>
              <w:top w:val="single" w:sz="6" w:space="0" w:color="auto"/>
              <w:left w:val="single" w:sz="6" w:space="0" w:color="auto"/>
              <w:bottom w:val="single" w:sz="6" w:space="0" w:color="auto"/>
              <w:right w:val="single" w:sz="6" w:space="0" w:color="auto"/>
            </w:tcBorders>
            <w:hideMark/>
          </w:tcPr>
          <w:p w14:paraId="6DFC5FE5" w14:textId="05680C56" w:rsidR="00F858D8" w:rsidRPr="00595FE6" w:rsidRDefault="00F858D8" w:rsidP="00D9246A">
            <w:pPr>
              <w:spacing w:line="240" w:lineRule="auto"/>
              <w:jc w:val="right"/>
              <w:rPr>
                <w:rFonts w:cs="Arial"/>
                <w:szCs w:val="24"/>
              </w:rPr>
            </w:pPr>
            <w:r w:rsidRPr="00595FE6">
              <w:rPr>
                <w:rFonts w:cs="Arial"/>
                <w:b/>
                <w:bCs/>
                <w:szCs w:val="24"/>
              </w:rPr>
              <w:t>+ 19.1%</w:t>
            </w:r>
            <w:r w:rsidRPr="00595FE6">
              <w:rPr>
                <w:rFonts w:cs="Arial"/>
                <w:szCs w:val="24"/>
              </w:rPr>
              <w:t> </w:t>
            </w:r>
          </w:p>
        </w:tc>
        <w:tc>
          <w:tcPr>
            <w:tcW w:w="664" w:type="pct"/>
            <w:tcBorders>
              <w:top w:val="single" w:sz="6" w:space="0" w:color="auto"/>
              <w:left w:val="single" w:sz="6" w:space="0" w:color="auto"/>
              <w:bottom w:val="single" w:sz="6" w:space="0" w:color="auto"/>
              <w:right w:val="single" w:sz="6" w:space="0" w:color="auto"/>
            </w:tcBorders>
            <w:hideMark/>
          </w:tcPr>
          <w:p w14:paraId="05F7B347" w14:textId="77777777" w:rsidR="00F858D8" w:rsidRPr="00595FE6" w:rsidRDefault="00F858D8" w:rsidP="00D9246A">
            <w:pPr>
              <w:spacing w:line="240" w:lineRule="auto"/>
              <w:jc w:val="right"/>
              <w:rPr>
                <w:rFonts w:cs="Arial"/>
                <w:szCs w:val="24"/>
              </w:rPr>
            </w:pPr>
            <w:r w:rsidRPr="00595FE6">
              <w:rPr>
                <w:rFonts w:cs="Arial"/>
                <w:b/>
                <w:bCs/>
                <w:szCs w:val="24"/>
              </w:rPr>
              <w:t>+ 3.6%</w:t>
            </w:r>
            <w:r w:rsidRPr="00595FE6">
              <w:rPr>
                <w:rFonts w:cs="Arial"/>
                <w:szCs w:val="24"/>
              </w:rPr>
              <w:t> </w:t>
            </w:r>
          </w:p>
        </w:tc>
      </w:tr>
    </w:tbl>
    <w:p w14:paraId="0AAE7784" w14:textId="03ADF0D9" w:rsidR="00F24A1A" w:rsidRPr="00595FE6" w:rsidRDefault="00F24A1A" w:rsidP="00D9246A">
      <w:pPr>
        <w:spacing w:line="240" w:lineRule="auto"/>
        <w:rPr>
          <w:rFonts w:cs="Arial"/>
          <w:szCs w:val="24"/>
        </w:rPr>
      </w:pPr>
      <w:r w:rsidRPr="003376F6">
        <w:rPr>
          <w:rFonts w:cs="Arial"/>
          <w:b/>
          <w:bCs/>
          <w:szCs w:val="24"/>
        </w:rPr>
        <w:t>Source</w:t>
      </w:r>
      <w:r w:rsidRPr="003376F6">
        <w:rPr>
          <w:rFonts w:cs="Arial"/>
          <w:b/>
          <w:szCs w:val="24"/>
        </w:rPr>
        <w:t>:</w:t>
      </w:r>
      <w:r w:rsidRPr="00595FE6">
        <w:rPr>
          <w:rFonts w:cs="Arial"/>
          <w:szCs w:val="24"/>
        </w:rPr>
        <w:t xml:space="preserve"> </w:t>
      </w:r>
      <w:r w:rsidR="1732D0E4" w:rsidRPr="00595FE6">
        <w:rPr>
          <w:rFonts w:cs="Arial"/>
          <w:szCs w:val="24"/>
        </w:rPr>
        <w:t xml:space="preserve">Safe And Well at School Survey 2023, </w:t>
      </w:r>
      <w:r w:rsidR="6617F942" w:rsidRPr="00595FE6">
        <w:rPr>
          <w:rFonts w:cs="Arial"/>
          <w:color w:val="000000" w:themeColor="text1"/>
          <w:szCs w:val="24"/>
        </w:rPr>
        <w:t>Brighton &amp; Hove City Council and University of Sussex</w:t>
      </w:r>
      <w:r w:rsidR="5AAE4D52" w:rsidRPr="00595FE6">
        <w:rPr>
          <w:rFonts w:cs="Arial"/>
          <w:color w:val="000000" w:themeColor="text1"/>
          <w:szCs w:val="24"/>
        </w:rPr>
        <w:t>, and</w:t>
      </w:r>
      <w:r w:rsidR="225F6406" w:rsidRPr="00595FE6">
        <w:rPr>
          <w:rFonts w:cs="Arial"/>
          <w:szCs w:val="24"/>
        </w:rPr>
        <w:t xml:space="preserve"> </w:t>
      </w:r>
      <w:r w:rsidR="386F3740" w:rsidRPr="00595FE6">
        <w:rPr>
          <w:rFonts w:cs="Arial"/>
          <w:szCs w:val="24"/>
        </w:rPr>
        <w:t>School Census Jan</w:t>
      </w:r>
      <w:r w:rsidR="009707E7">
        <w:rPr>
          <w:rFonts w:cs="Arial"/>
          <w:szCs w:val="24"/>
        </w:rPr>
        <w:t>ua</w:t>
      </w:r>
      <w:r w:rsidR="009C6E33">
        <w:rPr>
          <w:rFonts w:cs="Arial"/>
          <w:szCs w:val="24"/>
        </w:rPr>
        <w:t>ry</w:t>
      </w:r>
      <w:r w:rsidR="386F3740" w:rsidRPr="00595FE6">
        <w:rPr>
          <w:rFonts w:cs="Arial"/>
          <w:szCs w:val="24"/>
        </w:rPr>
        <w:t xml:space="preserve"> 2024</w:t>
      </w:r>
      <w:r w:rsidR="3AB6F56A" w:rsidRPr="00595FE6">
        <w:rPr>
          <w:rFonts w:cs="Arial"/>
          <w:szCs w:val="24"/>
        </w:rPr>
        <w:t>, Department for Education</w:t>
      </w:r>
    </w:p>
    <w:p w14:paraId="1A34D6AA" w14:textId="5567DE3B" w:rsidR="001F6CA9" w:rsidRDefault="005629E1" w:rsidP="00D9246A">
      <w:pPr>
        <w:spacing w:line="240" w:lineRule="auto"/>
        <w:rPr>
          <w:rFonts w:cs="Arial"/>
          <w:szCs w:val="24"/>
        </w:rPr>
      </w:pPr>
      <w:r w:rsidRPr="006E43A6">
        <w:rPr>
          <w:rFonts w:cs="Arial"/>
          <w:szCs w:val="24"/>
        </w:rPr>
        <w:lastRenderedPageBreak/>
        <w:t xml:space="preserve">The proportion of students </w:t>
      </w:r>
      <w:r w:rsidR="005914E7" w:rsidRPr="006E43A6">
        <w:rPr>
          <w:rFonts w:cs="Arial"/>
          <w:szCs w:val="24"/>
        </w:rPr>
        <w:t xml:space="preserve">responding “Yes” to the extra help question has remained fairly stable </w:t>
      </w:r>
      <w:r w:rsidR="00AB6E6B" w:rsidRPr="006E43A6">
        <w:rPr>
          <w:rFonts w:cs="Arial"/>
          <w:color w:val="000000" w:themeColor="text1"/>
          <w:szCs w:val="24"/>
        </w:rPr>
        <w:t>since</w:t>
      </w:r>
      <w:r w:rsidR="00AB6E6B" w:rsidRPr="006E43A6">
        <w:rPr>
          <w:rFonts w:cs="Arial"/>
          <w:szCs w:val="24"/>
        </w:rPr>
        <w:t xml:space="preserve"> 2013, with </w:t>
      </w:r>
      <w:r w:rsidR="00013775" w:rsidRPr="006E43A6">
        <w:rPr>
          <w:rFonts w:cs="Arial"/>
          <w:szCs w:val="24"/>
        </w:rPr>
        <w:t xml:space="preserve">a decrease </w:t>
      </w:r>
      <w:r w:rsidR="00C60CAD" w:rsidRPr="006E43A6">
        <w:rPr>
          <w:rFonts w:cs="Arial"/>
          <w:szCs w:val="24"/>
        </w:rPr>
        <w:t>in 2023</w:t>
      </w:r>
      <w:r w:rsidR="00013775" w:rsidRPr="006E43A6">
        <w:rPr>
          <w:rFonts w:cs="Arial"/>
          <w:szCs w:val="24"/>
        </w:rPr>
        <w:t xml:space="preserve"> from 2021 in KS4, falling from </w:t>
      </w:r>
      <w:r w:rsidR="00A15E2C" w:rsidRPr="006E43A6">
        <w:rPr>
          <w:rFonts w:cs="Arial"/>
          <w:szCs w:val="24"/>
        </w:rPr>
        <w:t xml:space="preserve">9% to </w:t>
      </w:r>
      <w:r w:rsidR="00FE663B" w:rsidRPr="006E43A6">
        <w:rPr>
          <w:rFonts w:cs="Arial"/>
          <w:szCs w:val="24"/>
        </w:rPr>
        <w:t>5%</w:t>
      </w:r>
      <w:r w:rsidR="00C60CAD" w:rsidRPr="006E43A6">
        <w:rPr>
          <w:rFonts w:cs="Arial"/>
          <w:szCs w:val="24"/>
        </w:rPr>
        <w:t xml:space="preserve"> (Figure </w:t>
      </w:r>
      <w:r w:rsidR="00037C09">
        <w:rPr>
          <w:rFonts w:cs="Arial"/>
          <w:szCs w:val="24"/>
        </w:rPr>
        <w:t>1</w:t>
      </w:r>
      <w:r w:rsidR="00922552">
        <w:rPr>
          <w:rFonts w:cs="Arial"/>
          <w:szCs w:val="24"/>
        </w:rPr>
        <w:t>6</w:t>
      </w:r>
      <w:r w:rsidR="00C60CAD" w:rsidRPr="006E43A6">
        <w:rPr>
          <w:rFonts w:cs="Arial"/>
          <w:szCs w:val="24"/>
        </w:rPr>
        <w:t>)</w:t>
      </w:r>
      <w:r w:rsidR="00FE3151">
        <w:rPr>
          <w:rFonts w:cs="Arial"/>
          <w:szCs w:val="24"/>
        </w:rPr>
        <w:t xml:space="preserve"> (</w:t>
      </w:r>
      <w:r w:rsidR="00BB4311">
        <w:rPr>
          <w:rFonts w:cs="Arial"/>
          <w:szCs w:val="24"/>
        </w:rPr>
        <w:t>A</w:t>
      </w:r>
      <w:r w:rsidR="00694EDF">
        <w:rPr>
          <w:rFonts w:cs="Arial"/>
          <w:szCs w:val="24"/>
        </w:rPr>
        <w:t xml:space="preserve">ppendix </w:t>
      </w:r>
      <w:r w:rsidR="00BB4311">
        <w:rPr>
          <w:rFonts w:cs="Arial"/>
          <w:szCs w:val="24"/>
        </w:rPr>
        <w:t>2</w:t>
      </w:r>
      <w:r w:rsidR="00694EDF">
        <w:rPr>
          <w:rFonts w:cs="Arial"/>
          <w:szCs w:val="24"/>
        </w:rPr>
        <w:t xml:space="preserve"> for figures from 2013)</w:t>
      </w:r>
      <w:r w:rsidR="00661361">
        <w:rPr>
          <w:rFonts w:cs="Arial"/>
          <w:szCs w:val="24"/>
        </w:rPr>
        <w:t>.</w:t>
      </w:r>
    </w:p>
    <w:p w14:paraId="16F0DB47" w14:textId="363BFE82" w:rsidR="007003D3" w:rsidRPr="000221BE" w:rsidRDefault="007003D3" w:rsidP="00D9246A">
      <w:pPr>
        <w:spacing w:line="240" w:lineRule="auto"/>
        <w:rPr>
          <w:b/>
          <w:color w:val="A65588"/>
        </w:rPr>
      </w:pPr>
      <w:r w:rsidRPr="000221BE">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16</w:t>
      </w:r>
      <w:r w:rsidR="00CA2D43">
        <w:rPr>
          <w:b/>
          <w:color w:val="A65588"/>
        </w:rPr>
        <w:fldChar w:fldCharType="end"/>
      </w:r>
      <w:r w:rsidRPr="000221BE">
        <w:rPr>
          <w:b/>
          <w:color w:val="A65588"/>
        </w:rPr>
        <w:t>: Percentage of pupils reporting extra help by key stage</w:t>
      </w:r>
      <w:r w:rsidR="000221BE">
        <w:rPr>
          <w:b/>
          <w:bCs/>
          <w:color w:val="A65588"/>
        </w:rPr>
        <w:t>, Brighton &amp; Hove</w:t>
      </w:r>
      <w:r w:rsidR="008805BC" w:rsidRPr="000221BE">
        <w:rPr>
          <w:b/>
          <w:color w:val="A65588"/>
        </w:rPr>
        <w:t xml:space="preserve"> Safe and Well at Schools Survey</w:t>
      </w:r>
      <w:r w:rsidR="00244E9A" w:rsidRPr="000221BE">
        <w:rPr>
          <w:b/>
          <w:color w:val="A65588"/>
        </w:rPr>
        <w:t xml:space="preserve">, </w:t>
      </w:r>
      <w:r w:rsidRPr="000221BE">
        <w:rPr>
          <w:b/>
          <w:color w:val="A65588"/>
        </w:rPr>
        <w:t xml:space="preserve">2016 </w:t>
      </w:r>
      <w:r w:rsidR="00246E7A" w:rsidRPr="000221BE">
        <w:rPr>
          <w:b/>
          <w:color w:val="A65588"/>
        </w:rPr>
        <w:t xml:space="preserve">to </w:t>
      </w:r>
      <w:r w:rsidRPr="000221BE">
        <w:rPr>
          <w:b/>
          <w:color w:val="A65588"/>
        </w:rPr>
        <w:t>2023</w:t>
      </w:r>
    </w:p>
    <w:p w14:paraId="79842255" w14:textId="44EDBFE3" w:rsidR="006E6CED" w:rsidRDefault="006E6CED" w:rsidP="00D9246A">
      <w:pPr>
        <w:spacing w:line="240" w:lineRule="auto"/>
        <w:rPr>
          <w:rFonts w:cs="Arial"/>
          <w:szCs w:val="24"/>
        </w:rPr>
      </w:pPr>
      <w:r w:rsidRPr="006E6CED">
        <w:rPr>
          <w:rFonts w:cs="Arial"/>
          <w:noProof/>
          <w:szCs w:val="24"/>
        </w:rPr>
        <w:drawing>
          <wp:inline distT="0" distB="0" distL="0" distR="0" wp14:anchorId="6FE7530F" wp14:editId="3C718A7A">
            <wp:extent cx="5353050" cy="3160376"/>
            <wp:effectExtent l="0" t="0" r="0" b="2540"/>
            <wp:docPr id="762857826" name="Picture 1" descr="Line chart showing the percentage of pupils reporting extra help by key stage between 2016 to 2023.&#10;&#10;The percentage of KS2 pupils receiving extra help has reduced from 25% in 2016 to 23% in 2023. 11% of KS3 pupils reported receiving extra help in 2016, compared to 10% in 2025. 9% of KS4 pupils received extra help in 2016 compared to 5%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857826" name="Picture 1" descr="Line chart showing the percentage of pupils reporting extra help by key stage between 2016 to 2023.&#10;&#10;The percentage of KS2 pupils receiving extra help has reduced from 25% in 2016 to 23% in 2023. 11% of KS3 pupils reported receiving extra help in 2016, compared to 10% in 2025. 9% of KS4 pupils received extra help in 2016 compared to 5% in 2025."/>
                    <pic:cNvPicPr/>
                  </pic:nvPicPr>
                  <pic:blipFill>
                    <a:blip r:embed="rId67"/>
                    <a:stretch>
                      <a:fillRect/>
                    </a:stretch>
                  </pic:blipFill>
                  <pic:spPr>
                    <a:xfrm>
                      <a:off x="0" y="0"/>
                      <a:ext cx="5369749" cy="3170235"/>
                    </a:xfrm>
                    <a:prstGeom prst="rect">
                      <a:avLst/>
                    </a:prstGeom>
                  </pic:spPr>
                </pic:pic>
              </a:graphicData>
            </a:graphic>
          </wp:inline>
        </w:drawing>
      </w:r>
    </w:p>
    <w:p w14:paraId="20ABD991" w14:textId="2E490AE0" w:rsidR="006C7533" w:rsidRDefault="00B71907" w:rsidP="003A45D1">
      <w:pPr>
        <w:pStyle w:val="Caption"/>
        <w:spacing w:after="0"/>
        <w:rPr>
          <w:rFonts w:cs="Arial"/>
          <w:b w:val="0"/>
          <w:bCs w:val="0"/>
        </w:rPr>
      </w:pPr>
      <w:r w:rsidRPr="000221BE">
        <w:rPr>
          <w:rFonts w:cs="Arial"/>
        </w:rPr>
        <w:t>Source:</w:t>
      </w:r>
      <w:r w:rsidRPr="00EF0C61">
        <w:rPr>
          <w:rFonts w:cs="Arial"/>
          <w:b w:val="0"/>
          <w:bCs w:val="0"/>
        </w:rPr>
        <w:t xml:space="preserve"> Safe and Well at School Survey, Brighton &amp; Hove City Council and University of Sussex</w:t>
      </w:r>
    </w:p>
    <w:p w14:paraId="559E1DF4" w14:textId="19F57D12" w:rsidR="003A45D1" w:rsidRPr="003A45D1" w:rsidRDefault="00477D61" w:rsidP="00D9246A">
      <w:pPr>
        <w:spacing w:line="240" w:lineRule="auto"/>
        <w:rPr>
          <w:lang w:eastAsia="en-GB"/>
        </w:rPr>
      </w:pPr>
      <w:r w:rsidRPr="00477D61">
        <w:rPr>
          <w:b/>
          <w:bCs/>
          <w:lang w:eastAsia="en-GB"/>
        </w:rPr>
        <w:t>Note:</w:t>
      </w:r>
      <w:r>
        <w:rPr>
          <w:lang w:eastAsia="en-GB"/>
        </w:rPr>
        <w:t xml:space="preserve"> </w:t>
      </w:r>
      <w:r w:rsidR="003A45D1">
        <w:rPr>
          <w:lang w:eastAsia="en-GB"/>
        </w:rPr>
        <w:t>KS2 = Key Stage 2 (Years 4-6), KS3 = Key Stage 3 (Years 7-9), KS4 = Key Stage 4 (Years 10-11)</w:t>
      </w:r>
    </w:p>
    <w:p w14:paraId="763EB2B4" w14:textId="60ED280B" w:rsidR="00CF4FED" w:rsidRPr="00A2181A" w:rsidRDefault="00714C7F" w:rsidP="00D9246A">
      <w:pPr>
        <w:spacing w:line="240" w:lineRule="auto"/>
        <w:rPr>
          <w:rFonts w:cs="Arial"/>
          <w:color w:val="000000" w:themeColor="text1"/>
          <w:szCs w:val="24"/>
        </w:rPr>
      </w:pPr>
      <w:r w:rsidRPr="006E43A6">
        <w:rPr>
          <w:rFonts w:cs="Arial"/>
          <w:color w:val="000000" w:themeColor="text1"/>
          <w:szCs w:val="24"/>
        </w:rPr>
        <w:t>In 2023, students who answered “Yes” to this question were also asked what type of help they received. </w:t>
      </w:r>
      <w:r w:rsidR="00D7461A" w:rsidRPr="006E43A6">
        <w:rPr>
          <w:rFonts w:cs="Arial"/>
          <w:color w:val="000000" w:themeColor="text1"/>
          <w:szCs w:val="24"/>
        </w:rPr>
        <w:t xml:space="preserve">The most common type of help received was help with reading and writing, </w:t>
      </w:r>
      <w:r w:rsidR="00423B8E" w:rsidRPr="006E43A6">
        <w:rPr>
          <w:rFonts w:cs="Arial"/>
          <w:color w:val="000000" w:themeColor="text1"/>
          <w:szCs w:val="24"/>
        </w:rPr>
        <w:t xml:space="preserve">which over half of </w:t>
      </w:r>
      <w:r w:rsidR="00635441" w:rsidRPr="006E43A6">
        <w:rPr>
          <w:rFonts w:cs="Arial"/>
          <w:color w:val="000000" w:themeColor="text1"/>
          <w:szCs w:val="24"/>
        </w:rPr>
        <w:t xml:space="preserve">extra help students at all key stages said they received (KS2: </w:t>
      </w:r>
      <w:r w:rsidR="008A3999" w:rsidRPr="006E43A6">
        <w:rPr>
          <w:rFonts w:cs="Arial"/>
          <w:color w:val="000000" w:themeColor="text1"/>
          <w:szCs w:val="24"/>
        </w:rPr>
        <w:t>66.7%, KS3: 51.6%, KS4 58.8%), followed by help to stay calm</w:t>
      </w:r>
      <w:r w:rsidR="007D3515" w:rsidRPr="006E43A6">
        <w:rPr>
          <w:rFonts w:cs="Arial"/>
          <w:color w:val="000000" w:themeColor="text1"/>
          <w:szCs w:val="24"/>
        </w:rPr>
        <w:t xml:space="preserve"> (KS2: 31.7%, KS3: 42.9%, KS4: 41.9%)</w:t>
      </w:r>
      <w:r w:rsidR="00A2181A">
        <w:rPr>
          <w:rFonts w:cs="Arial"/>
          <w:color w:val="000000" w:themeColor="text1"/>
          <w:szCs w:val="24"/>
        </w:rPr>
        <w:t xml:space="preserve"> (Figure 1</w:t>
      </w:r>
      <w:r w:rsidR="002A3472">
        <w:rPr>
          <w:rFonts w:cs="Arial"/>
          <w:color w:val="000000" w:themeColor="text1"/>
          <w:szCs w:val="24"/>
        </w:rPr>
        <w:t>7</w:t>
      </w:r>
      <w:r w:rsidR="00A2181A">
        <w:rPr>
          <w:rFonts w:cs="Arial"/>
          <w:color w:val="000000" w:themeColor="text1"/>
          <w:szCs w:val="24"/>
        </w:rPr>
        <w:t>).</w:t>
      </w:r>
    </w:p>
    <w:p w14:paraId="388FA8B6" w14:textId="369F821E" w:rsidR="0026017B" w:rsidRPr="000221BE" w:rsidRDefault="0026017B" w:rsidP="00D9246A">
      <w:pPr>
        <w:spacing w:line="240" w:lineRule="auto"/>
        <w:rPr>
          <w:b/>
          <w:color w:val="A65588"/>
        </w:rPr>
      </w:pPr>
      <w:r w:rsidRPr="000221BE">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17</w:t>
      </w:r>
      <w:r w:rsidR="00CA2D43">
        <w:rPr>
          <w:b/>
          <w:color w:val="A65588"/>
        </w:rPr>
        <w:fldChar w:fldCharType="end"/>
      </w:r>
      <w:r w:rsidRPr="000221BE">
        <w:rPr>
          <w:b/>
          <w:color w:val="A65588"/>
        </w:rPr>
        <w:t xml:space="preserve">: Type of help received by </w:t>
      </w:r>
      <w:r w:rsidR="003A45D1">
        <w:rPr>
          <w:b/>
          <w:bCs/>
          <w:color w:val="A65588"/>
        </w:rPr>
        <w:t>pupil</w:t>
      </w:r>
      <w:r w:rsidRPr="000221BE">
        <w:rPr>
          <w:b/>
          <w:bCs/>
          <w:color w:val="A65588"/>
        </w:rPr>
        <w:t>s</w:t>
      </w:r>
      <w:r w:rsidRPr="000221BE">
        <w:rPr>
          <w:b/>
          <w:color w:val="A65588"/>
        </w:rPr>
        <w:t xml:space="preserve"> receiving extra help</w:t>
      </w:r>
      <w:r w:rsidR="000221BE">
        <w:rPr>
          <w:b/>
          <w:bCs/>
          <w:color w:val="A65588"/>
        </w:rPr>
        <w:t xml:space="preserve"> (%) by key stage</w:t>
      </w:r>
      <w:r w:rsidRPr="000221BE">
        <w:rPr>
          <w:b/>
          <w:bCs/>
          <w:color w:val="A65588"/>
        </w:rPr>
        <w:t xml:space="preserve">, </w:t>
      </w:r>
      <w:r w:rsidR="000221BE">
        <w:rPr>
          <w:b/>
          <w:bCs/>
          <w:color w:val="A65588"/>
        </w:rPr>
        <w:t>Brighton &amp; Hove</w:t>
      </w:r>
      <w:r w:rsidR="000221BE" w:rsidRPr="000221BE">
        <w:rPr>
          <w:b/>
          <w:bCs/>
          <w:color w:val="A65588"/>
        </w:rPr>
        <w:t xml:space="preserve"> Safe and Well at Schools Survey</w:t>
      </w:r>
      <w:r w:rsidRPr="000221BE">
        <w:rPr>
          <w:b/>
          <w:color w:val="A65588"/>
        </w:rPr>
        <w:t>,</w:t>
      </w:r>
      <w:r>
        <w:rPr>
          <w:b/>
          <w:color w:val="A65588"/>
        </w:rPr>
        <w:t xml:space="preserve"> </w:t>
      </w:r>
      <w:r w:rsidRPr="000221BE">
        <w:rPr>
          <w:b/>
          <w:color w:val="A65588"/>
        </w:rPr>
        <w:t>2023</w:t>
      </w:r>
    </w:p>
    <w:p w14:paraId="4B7BC5D4" w14:textId="02D06157" w:rsidR="0085186F" w:rsidRPr="00E00EC3" w:rsidRDefault="002C5ABF" w:rsidP="00D9246A">
      <w:pPr>
        <w:pStyle w:val="Caption"/>
      </w:pPr>
      <w:r w:rsidRPr="002C5ABF">
        <w:rPr>
          <w:noProof/>
        </w:rPr>
        <w:lastRenderedPageBreak/>
        <w:drawing>
          <wp:inline distT="0" distB="0" distL="0" distR="0" wp14:anchorId="55CCA3AD" wp14:editId="7CC6AC6F">
            <wp:extent cx="5887270" cy="3830400"/>
            <wp:effectExtent l="0" t="0" r="0" b="0"/>
            <wp:docPr id="1387592002" name="Picture 1" descr="A stacked bar chart showing the type of help received by students who reported receiving extra help by key stage in 2023.&#10;&#10;The most common type of help received was help with reading and writing, which over half of extra help students at all key stages said they received (KS2: 66.7%, KS3: 51.6%, KS4 58.8%), followed by help to stay calm (KS2: 31.7%, KS3: 42.9%, KS4: 4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92002" name="Picture 1" descr="A stacked bar chart showing the type of help received by students who reported receiving extra help by key stage in 2023.&#10;&#10;The most common type of help received was help with reading and writing, which over half of extra help students at all key stages said they received (KS2: 66.7%, KS3: 51.6%, KS4 58.8%), followed by help to stay calm (KS2: 31.7%, KS3: 42.9%, KS4: 41.9%). "/>
                    <pic:cNvPicPr/>
                  </pic:nvPicPr>
                  <pic:blipFill>
                    <a:blip r:embed="rId68"/>
                    <a:stretch>
                      <a:fillRect/>
                    </a:stretch>
                  </pic:blipFill>
                  <pic:spPr>
                    <a:xfrm>
                      <a:off x="0" y="0"/>
                      <a:ext cx="5887270" cy="3830400"/>
                    </a:xfrm>
                    <a:prstGeom prst="rect">
                      <a:avLst/>
                    </a:prstGeom>
                  </pic:spPr>
                </pic:pic>
              </a:graphicData>
            </a:graphic>
          </wp:inline>
        </w:drawing>
      </w:r>
      <w:r w:rsidR="0085186F" w:rsidRPr="000221BE">
        <w:rPr>
          <w:rFonts w:cs="Arial"/>
          <w:color w:val="000000" w:themeColor="text1"/>
        </w:rPr>
        <w:t xml:space="preserve">Source: </w:t>
      </w:r>
      <w:r w:rsidR="002F764D" w:rsidRPr="00FA62EA">
        <w:rPr>
          <w:rFonts w:cs="Arial"/>
          <w:b w:val="0"/>
          <w:bCs w:val="0"/>
          <w:color w:val="000000" w:themeColor="text1"/>
        </w:rPr>
        <w:t>Safe and Well at School Survey, Brighton &amp; Hove City Council and University of Sussex</w:t>
      </w:r>
      <w:r w:rsidR="00A2181A" w:rsidRPr="00FA62EA">
        <w:rPr>
          <w:rFonts w:cs="Arial"/>
          <w:b w:val="0"/>
          <w:bCs w:val="0"/>
          <w:color w:val="000000" w:themeColor="text1"/>
        </w:rPr>
        <w:t>, 2023</w:t>
      </w:r>
    </w:p>
    <w:p w14:paraId="7C739DF6" w14:textId="2D4E5B3B" w:rsidR="001E1344" w:rsidRPr="00595FE6" w:rsidRDefault="002D5B9E" w:rsidP="00500E32">
      <w:pPr>
        <w:spacing w:line="240" w:lineRule="auto"/>
        <w:rPr>
          <w:rFonts w:cs="Arial"/>
          <w:szCs w:val="24"/>
        </w:rPr>
      </w:pPr>
      <w:r w:rsidRPr="00477D61">
        <w:rPr>
          <w:rFonts w:cs="Arial"/>
          <w:b/>
          <w:color w:val="0079C2"/>
          <w:szCs w:val="24"/>
        </w:rPr>
        <w:t>Demographics</w:t>
      </w:r>
      <w:r w:rsidR="00500E32" w:rsidRPr="00477D61">
        <w:rPr>
          <w:rFonts w:cs="Arial"/>
          <w:b/>
          <w:color w:val="0079C2"/>
          <w:szCs w:val="24"/>
        </w:rPr>
        <w:t>:</w:t>
      </w:r>
      <w:r w:rsidR="00500E32" w:rsidRPr="00595FE6">
        <w:rPr>
          <w:rFonts w:cs="Arial"/>
          <w:b/>
          <w:bCs/>
          <w:color w:val="000000" w:themeColor="text1"/>
          <w:szCs w:val="24"/>
        </w:rPr>
        <w:t xml:space="preserve"> </w:t>
      </w:r>
      <w:r w:rsidR="001E1344" w:rsidRPr="00595FE6">
        <w:rPr>
          <w:rFonts w:cs="Arial"/>
          <w:szCs w:val="24"/>
        </w:rPr>
        <w:t xml:space="preserve">A higher </w:t>
      </w:r>
      <w:r w:rsidR="002F764D" w:rsidRPr="00595FE6">
        <w:rPr>
          <w:rFonts w:cs="Arial"/>
          <w:szCs w:val="24"/>
        </w:rPr>
        <w:t>percentage</w:t>
      </w:r>
      <w:r w:rsidR="001E1344" w:rsidRPr="00595FE6">
        <w:rPr>
          <w:rFonts w:cs="Arial"/>
          <w:szCs w:val="24"/>
        </w:rPr>
        <w:t xml:space="preserve"> of the following </w:t>
      </w:r>
      <w:r w:rsidR="002F764D" w:rsidRPr="00595FE6">
        <w:rPr>
          <w:rFonts w:cs="Arial"/>
          <w:szCs w:val="24"/>
        </w:rPr>
        <w:t xml:space="preserve">groups of </w:t>
      </w:r>
      <w:r w:rsidR="001E1344" w:rsidRPr="00595FE6">
        <w:rPr>
          <w:rFonts w:cs="Arial"/>
          <w:szCs w:val="24"/>
        </w:rPr>
        <w:t xml:space="preserve">students reported receiving </w:t>
      </w:r>
      <w:r w:rsidR="004770F4" w:rsidRPr="00595FE6">
        <w:rPr>
          <w:rFonts w:cs="Arial"/>
          <w:szCs w:val="24"/>
        </w:rPr>
        <w:t>e</w:t>
      </w:r>
      <w:r w:rsidR="001E1344" w:rsidRPr="00595FE6">
        <w:rPr>
          <w:rFonts w:cs="Arial"/>
          <w:szCs w:val="24"/>
        </w:rPr>
        <w:t xml:space="preserve">xtra </w:t>
      </w:r>
      <w:r w:rsidR="004770F4" w:rsidRPr="00595FE6">
        <w:rPr>
          <w:rFonts w:cs="Arial"/>
          <w:szCs w:val="24"/>
        </w:rPr>
        <w:t>h</w:t>
      </w:r>
      <w:r w:rsidR="001E1344" w:rsidRPr="00595FE6">
        <w:rPr>
          <w:rFonts w:cs="Arial"/>
          <w:szCs w:val="24"/>
        </w:rPr>
        <w:t>elp: ​</w:t>
      </w:r>
    </w:p>
    <w:p w14:paraId="7A7FEE5C" w14:textId="4256C0B7" w:rsidR="001E1344" w:rsidRPr="00562B5B" w:rsidRDefault="001E1344" w:rsidP="009858E3">
      <w:pPr>
        <w:pStyle w:val="ListParagraph"/>
        <w:numPr>
          <w:ilvl w:val="0"/>
          <w:numId w:val="35"/>
        </w:numPr>
        <w:spacing w:line="240" w:lineRule="auto"/>
        <w:rPr>
          <w:rFonts w:cs="Arial"/>
          <w:color w:val="000000" w:themeColor="text1"/>
          <w:szCs w:val="24"/>
        </w:rPr>
      </w:pPr>
      <w:r w:rsidRPr="00595FE6">
        <w:rPr>
          <w:rFonts w:cs="Arial"/>
          <w:szCs w:val="24"/>
        </w:rPr>
        <w:t>Students who were adopted</w:t>
      </w:r>
      <w:r w:rsidR="4B04A518" w:rsidRPr="00595FE6">
        <w:rPr>
          <w:rFonts w:cs="Arial"/>
          <w:szCs w:val="24"/>
        </w:rPr>
        <w:t xml:space="preserve"> (KS2: 61%,</w:t>
      </w:r>
      <w:r w:rsidR="4C2DC915" w:rsidRPr="00595FE6">
        <w:rPr>
          <w:rFonts w:cs="Arial"/>
          <w:szCs w:val="24"/>
        </w:rPr>
        <w:t xml:space="preserve"> KS3: 41%, KS4: 26%)</w:t>
      </w:r>
      <w:r w:rsidRPr="00595FE6">
        <w:rPr>
          <w:rFonts w:cs="Arial"/>
          <w:szCs w:val="24"/>
        </w:rPr>
        <w:t>, young carers</w:t>
      </w:r>
      <w:r w:rsidR="2EC52C6E" w:rsidRPr="00595FE6">
        <w:rPr>
          <w:rFonts w:cs="Arial"/>
          <w:szCs w:val="24"/>
        </w:rPr>
        <w:t xml:space="preserve"> (KS2: 37%, </w:t>
      </w:r>
      <w:r w:rsidR="641FA51A" w:rsidRPr="00562B5B">
        <w:rPr>
          <w:rFonts w:cs="Arial"/>
          <w:color w:val="000000" w:themeColor="text1"/>
          <w:szCs w:val="24"/>
        </w:rPr>
        <w:t>KS3: 25%, KS4: 15%)</w:t>
      </w:r>
      <w:r w:rsidRPr="00562B5B">
        <w:rPr>
          <w:rFonts w:cs="Arial"/>
          <w:color w:val="000000" w:themeColor="text1"/>
          <w:szCs w:val="24"/>
        </w:rPr>
        <w:t>, or care</w:t>
      </w:r>
      <w:r w:rsidR="0533D03F" w:rsidRPr="00562B5B">
        <w:rPr>
          <w:rFonts w:cs="Arial"/>
          <w:color w:val="000000" w:themeColor="text1"/>
          <w:szCs w:val="24"/>
        </w:rPr>
        <w:t xml:space="preserve"> experienced (KS2: 57%,</w:t>
      </w:r>
      <w:r w:rsidR="504C1D7D" w:rsidRPr="00562B5B">
        <w:rPr>
          <w:rFonts w:cs="Arial"/>
          <w:color w:val="000000" w:themeColor="text1"/>
          <w:szCs w:val="24"/>
        </w:rPr>
        <w:t xml:space="preserve"> KS3: 35%, KS4: 20%)</w:t>
      </w:r>
      <w:r w:rsidR="0533D03F" w:rsidRPr="00562B5B">
        <w:rPr>
          <w:rFonts w:cs="Arial"/>
          <w:color w:val="000000" w:themeColor="text1"/>
          <w:szCs w:val="24"/>
        </w:rPr>
        <w:t xml:space="preserve"> </w:t>
      </w:r>
      <w:r w:rsidRPr="00562B5B">
        <w:rPr>
          <w:rFonts w:cs="Arial"/>
          <w:color w:val="000000" w:themeColor="text1"/>
          <w:szCs w:val="24"/>
        </w:rPr>
        <w:t xml:space="preserve"> </w:t>
      </w:r>
    </w:p>
    <w:p w14:paraId="18E83357" w14:textId="6C291968" w:rsidR="001E1344" w:rsidRPr="00562B5B" w:rsidRDefault="001E1344" w:rsidP="009858E3">
      <w:pPr>
        <w:pStyle w:val="ListParagraph"/>
        <w:numPr>
          <w:ilvl w:val="0"/>
          <w:numId w:val="35"/>
        </w:numPr>
        <w:spacing w:line="240" w:lineRule="auto"/>
        <w:rPr>
          <w:rFonts w:cs="Arial"/>
          <w:color w:val="000000" w:themeColor="text1"/>
          <w:szCs w:val="24"/>
        </w:rPr>
      </w:pPr>
      <w:r w:rsidRPr="00562B5B">
        <w:rPr>
          <w:rFonts w:cs="Arial"/>
          <w:color w:val="000000" w:themeColor="text1"/>
          <w:szCs w:val="24"/>
        </w:rPr>
        <w:t>Students in the category experiencing the most financial hardship (</w:t>
      </w:r>
      <w:r w:rsidR="35D1A4B4" w:rsidRPr="00562B5B">
        <w:rPr>
          <w:rFonts w:cs="Arial"/>
          <w:color w:val="000000" w:themeColor="text1"/>
          <w:szCs w:val="24"/>
        </w:rPr>
        <w:t xml:space="preserve">KS2: 34%, KS3: </w:t>
      </w:r>
      <w:r w:rsidR="59D1BE47" w:rsidRPr="00562B5B">
        <w:rPr>
          <w:rFonts w:cs="Arial"/>
          <w:color w:val="000000" w:themeColor="text1"/>
          <w:szCs w:val="24"/>
        </w:rPr>
        <w:t>13%</w:t>
      </w:r>
      <w:r w:rsidR="12B87608" w:rsidRPr="00562B5B">
        <w:rPr>
          <w:rFonts w:cs="Arial"/>
          <w:color w:val="000000" w:themeColor="text1"/>
          <w:szCs w:val="24"/>
        </w:rPr>
        <w:t xml:space="preserve">, </w:t>
      </w:r>
      <w:r w:rsidR="59D1BE47" w:rsidRPr="00562B5B">
        <w:rPr>
          <w:rFonts w:cs="Arial"/>
          <w:color w:val="000000" w:themeColor="text1"/>
          <w:szCs w:val="24"/>
        </w:rPr>
        <w:t>KS4: 7%</w:t>
      </w:r>
      <w:r w:rsidRPr="00562B5B">
        <w:rPr>
          <w:rFonts w:cs="Arial"/>
          <w:color w:val="000000" w:themeColor="text1"/>
          <w:szCs w:val="24"/>
        </w:rPr>
        <w:t>)</w:t>
      </w:r>
    </w:p>
    <w:p w14:paraId="1F064415" w14:textId="05731B0F" w:rsidR="001E1344" w:rsidRPr="00562B5B" w:rsidRDefault="001E1344" w:rsidP="009858E3">
      <w:pPr>
        <w:pStyle w:val="ListParagraph"/>
        <w:numPr>
          <w:ilvl w:val="0"/>
          <w:numId w:val="35"/>
        </w:numPr>
        <w:spacing w:line="240" w:lineRule="auto"/>
        <w:rPr>
          <w:rFonts w:cs="Arial"/>
          <w:color w:val="000000" w:themeColor="text1"/>
          <w:szCs w:val="24"/>
        </w:rPr>
      </w:pPr>
      <w:r w:rsidRPr="00562B5B">
        <w:rPr>
          <w:rFonts w:cs="Arial"/>
          <w:color w:val="000000" w:themeColor="text1"/>
          <w:szCs w:val="24"/>
        </w:rPr>
        <w:t>Boys (KS2</w:t>
      </w:r>
      <w:r w:rsidR="0DF9AE34" w:rsidRPr="00562B5B">
        <w:rPr>
          <w:rFonts w:cs="Arial"/>
          <w:color w:val="000000" w:themeColor="text1"/>
          <w:szCs w:val="24"/>
        </w:rPr>
        <w:t>:</w:t>
      </w:r>
      <w:r w:rsidRPr="00562B5B">
        <w:rPr>
          <w:rFonts w:cs="Arial"/>
          <w:color w:val="000000" w:themeColor="text1"/>
          <w:szCs w:val="24"/>
        </w:rPr>
        <w:t xml:space="preserve"> </w:t>
      </w:r>
      <w:r w:rsidR="6B336CFD" w:rsidRPr="00562B5B">
        <w:rPr>
          <w:rFonts w:cs="Arial"/>
          <w:color w:val="000000" w:themeColor="text1"/>
          <w:szCs w:val="24"/>
        </w:rPr>
        <w:t xml:space="preserve">25% </w:t>
      </w:r>
      <w:r w:rsidRPr="00562B5B">
        <w:rPr>
          <w:rFonts w:cs="Arial"/>
          <w:color w:val="000000" w:themeColor="text1"/>
          <w:szCs w:val="24"/>
        </w:rPr>
        <w:t>&amp; KS3​</w:t>
      </w:r>
      <w:r w:rsidR="1ADA0AE5" w:rsidRPr="00562B5B">
        <w:rPr>
          <w:rFonts w:cs="Arial"/>
          <w:color w:val="000000" w:themeColor="text1"/>
          <w:szCs w:val="24"/>
        </w:rPr>
        <w:t>: 10%</w:t>
      </w:r>
      <w:r w:rsidRPr="00562B5B">
        <w:rPr>
          <w:rFonts w:cs="Arial"/>
          <w:color w:val="000000" w:themeColor="text1"/>
          <w:szCs w:val="24"/>
        </w:rPr>
        <w:t>)</w:t>
      </w:r>
    </w:p>
    <w:p w14:paraId="4E6EAB4D" w14:textId="2C306570" w:rsidR="001E1344" w:rsidRPr="00562B5B" w:rsidRDefault="001E1344" w:rsidP="009858E3">
      <w:pPr>
        <w:pStyle w:val="ListParagraph"/>
        <w:numPr>
          <w:ilvl w:val="0"/>
          <w:numId w:val="35"/>
        </w:numPr>
        <w:spacing w:line="240" w:lineRule="auto"/>
        <w:rPr>
          <w:rFonts w:cs="Arial"/>
          <w:color w:val="000000" w:themeColor="text1"/>
          <w:szCs w:val="24"/>
        </w:rPr>
      </w:pPr>
      <w:r w:rsidRPr="00562B5B">
        <w:rPr>
          <w:rFonts w:cs="Arial"/>
          <w:color w:val="000000" w:themeColor="text1"/>
          <w:szCs w:val="24"/>
        </w:rPr>
        <w:t>Students that do not identify with the gender they were assigned at birth (KS3</w:t>
      </w:r>
      <w:r w:rsidR="354CB518" w:rsidRPr="00562B5B">
        <w:rPr>
          <w:rFonts w:cs="Arial"/>
          <w:color w:val="000000" w:themeColor="text1"/>
          <w:szCs w:val="24"/>
        </w:rPr>
        <w:t xml:space="preserve">: </w:t>
      </w:r>
      <w:r w:rsidR="00B252AB" w:rsidRPr="00562B5B">
        <w:rPr>
          <w:rFonts w:cs="Arial"/>
          <w:color w:val="000000" w:themeColor="text1"/>
          <w:szCs w:val="24"/>
        </w:rPr>
        <w:t>18</w:t>
      </w:r>
      <w:r w:rsidR="354CB518" w:rsidRPr="00562B5B">
        <w:rPr>
          <w:rFonts w:cs="Arial"/>
          <w:color w:val="000000" w:themeColor="text1"/>
          <w:szCs w:val="24"/>
        </w:rPr>
        <w:t>%</w:t>
      </w:r>
      <w:r w:rsidR="21D25D8F" w:rsidRPr="00562B5B">
        <w:rPr>
          <w:rFonts w:cs="Arial"/>
          <w:color w:val="000000" w:themeColor="text1"/>
          <w:szCs w:val="24"/>
        </w:rPr>
        <w:t xml:space="preserve"> </w:t>
      </w:r>
      <w:r w:rsidRPr="00562B5B">
        <w:rPr>
          <w:rFonts w:cs="Arial"/>
          <w:color w:val="000000" w:themeColor="text1"/>
          <w:szCs w:val="24"/>
        </w:rPr>
        <w:t>&amp; KS4</w:t>
      </w:r>
      <w:r w:rsidR="7FE25565" w:rsidRPr="00562B5B">
        <w:rPr>
          <w:rFonts w:cs="Arial"/>
          <w:color w:val="000000" w:themeColor="text1"/>
          <w:szCs w:val="24"/>
        </w:rPr>
        <w:t>: 11%)</w:t>
      </w:r>
    </w:p>
    <w:p w14:paraId="06AE825E" w14:textId="2EA5F77F" w:rsidR="001E1344" w:rsidRPr="00595FE6" w:rsidRDefault="001E1344" w:rsidP="009858E3">
      <w:pPr>
        <w:pStyle w:val="ListParagraph"/>
        <w:numPr>
          <w:ilvl w:val="0"/>
          <w:numId w:val="35"/>
        </w:numPr>
        <w:spacing w:line="240" w:lineRule="auto"/>
        <w:rPr>
          <w:rFonts w:cs="Arial"/>
          <w:szCs w:val="24"/>
        </w:rPr>
      </w:pPr>
      <w:r w:rsidRPr="00562B5B">
        <w:rPr>
          <w:rFonts w:cs="Arial"/>
          <w:color w:val="000000" w:themeColor="text1"/>
          <w:szCs w:val="24"/>
        </w:rPr>
        <w:t>LGB+</w:t>
      </w:r>
      <w:r w:rsidRPr="00595FE6">
        <w:rPr>
          <w:rFonts w:cs="Arial"/>
          <w:szCs w:val="24"/>
        </w:rPr>
        <w:t xml:space="preserve"> students compared to heterosexual students (KS3</w:t>
      </w:r>
      <w:r w:rsidR="5E101976" w:rsidRPr="00595FE6">
        <w:rPr>
          <w:rFonts w:cs="Arial"/>
          <w:szCs w:val="24"/>
        </w:rPr>
        <w:t>: 13%</w:t>
      </w:r>
      <w:r w:rsidRPr="00595FE6">
        <w:rPr>
          <w:rFonts w:cs="Arial"/>
          <w:szCs w:val="24"/>
        </w:rPr>
        <w:t xml:space="preserve"> &amp; KS4</w:t>
      </w:r>
      <w:r w:rsidR="79D96A20" w:rsidRPr="00595FE6">
        <w:rPr>
          <w:rFonts w:cs="Arial"/>
          <w:szCs w:val="24"/>
        </w:rPr>
        <w:t>: 8%</w:t>
      </w:r>
      <w:r w:rsidRPr="00595FE6">
        <w:rPr>
          <w:rFonts w:cs="Arial"/>
          <w:szCs w:val="24"/>
        </w:rPr>
        <w:t>)</w:t>
      </w:r>
    </w:p>
    <w:p w14:paraId="55FE1263" w14:textId="71DC1FD9" w:rsidR="0087614F" w:rsidRPr="00595FE6" w:rsidRDefault="0087614F" w:rsidP="00D9246A">
      <w:pPr>
        <w:spacing w:line="240" w:lineRule="auto"/>
        <w:rPr>
          <w:rFonts w:cs="Arial"/>
          <w:szCs w:val="24"/>
        </w:rPr>
      </w:pPr>
      <w:r w:rsidRPr="00595FE6">
        <w:rPr>
          <w:rFonts w:cs="Arial"/>
          <w:szCs w:val="24"/>
        </w:rPr>
        <w:t xml:space="preserve">Students that said they received extra help of any kind respond differently </w:t>
      </w:r>
      <w:r w:rsidR="00887DE1" w:rsidRPr="00595FE6">
        <w:rPr>
          <w:rFonts w:cs="Arial"/>
          <w:szCs w:val="24"/>
        </w:rPr>
        <w:t>to</w:t>
      </w:r>
      <w:r w:rsidRPr="00595FE6">
        <w:rPr>
          <w:rFonts w:cs="Arial"/>
          <w:szCs w:val="24"/>
        </w:rPr>
        <w:t xml:space="preserve"> </w:t>
      </w:r>
      <w:r w:rsidR="00887DE1" w:rsidRPr="00595FE6">
        <w:rPr>
          <w:rFonts w:cs="Arial"/>
          <w:szCs w:val="24"/>
        </w:rPr>
        <w:t>health and wellbeing questions</w:t>
      </w:r>
      <w:r w:rsidR="0039424D" w:rsidRPr="00595FE6">
        <w:rPr>
          <w:rFonts w:cs="Arial"/>
          <w:szCs w:val="24"/>
        </w:rPr>
        <w:t xml:space="preserve"> </w:t>
      </w:r>
      <w:r w:rsidRPr="00595FE6">
        <w:rPr>
          <w:rFonts w:cs="Arial"/>
          <w:szCs w:val="24"/>
        </w:rPr>
        <w:t xml:space="preserve">throughout the survey compared with students who said they did not receive extra help. </w:t>
      </w:r>
    </w:p>
    <w:p w14:paraId="123F9829" w14:textId="6CEC90FF" w:rsidR="0087614F" w:rsidRPr="00595FE6" w:rsidRDefault="0087614F" w:rsidP="00D9246A">
      <w:pPr>
        <w:spacing w:line="240" w:lineRule="auto"/>
        <w:rPr>
          <w:rFonts w:cs="Arial"/>
          <w:szCs w:val="24"/>
        </w:rPr>
      </w:pPr>
      <w:r w:rsidRPr="00477D61">
        <w:rPr>
          <w:rFonts w:cs="Arial"/>
          <w:b/>
          <w:color w:val="0079C2"/>
          <w:szCs w:val="24"/>
        </w:rPr>
        <w:t>Experiences of school</w:t>
      </w:r>
      <w:r w:rsidR="002F764D" w:rsidRPr="00477D61">
        <w:rPr>
          <w:rFonts w:cs="Arial"/>
          <w:b/>
          <w:color w:val="0079C2"/>
          <w:szCs w:val="24"/>
        </w:rPr>
        <w:t>:</w:t>
      </w:r>
      <w:r w:rsidR="002F764D" w:rsidRPr="00595FE6">
        <w:rPr>
          <w:rFonts w:cs="Arial"/>
          <w:b/>
          <w:bCs/>
          <w:szCs w:val="24"/>
        </w:rPr>
        <w:t xml:space="preserve"> </w:t>
      </w:r>
      <w:r w:rsidRPr="00595FE6">
        <w:rPr>
          <w:rFonts w:cs="Arial"/>
          <w:szCs w:val="24"/>
        </w:rPr>
        <w:t xml:space="preserve">Children and young people receiving extra help are less likely to agree that people like them do well at school, to feel they belong in their school, to feel safe in school, enjoy learning, and enjoy coming to school. This is seen at all three key stages. They are also more likely to say they have been bullied in the last term: </w:t>
      </w:r>
    </w:p>
    <w:p w14:paraId="2CBD2AAC" w14:textId="77777777" w:rsidR="0087614F" w:rsidRPr="000221BE" w:rsidRDefault="0087614F" w:rsidP="009858E3">
      <w:pPr>
        <w:pStyle w:val="ListParagraph"/>
        <w:numPr>
          <w:ilvl w:val="0"/>
          <w:numId w:val="35"/>
        </w:numPr>
        <w:spacing w:line="240" w:lineRule="auto"/>
        <w:rPr>
          <w:rFonts w:cs="Arial"/>
          <w:color w:val="000000" w:themeColor="text1"/>
          <w:szCs w:val="24"/>
        </w:rPr>
      </w:pPr>
      <w:r w:rsidRPr="00595FE6">
        <w:rPr>
          <w:rFonts w:cs="Arial"/>
          <w:szCs w:val="24"/>
        </w:rPr>
        <w:t>KS2: 25</w:t>
      </w:r>
      <w:r w:rsidRPr="000221BE">
        <w:rPr>
          <w:rFonts w:cs="Arial"/>
          <w:color w:val="000000" w:themeColor="text1"/>
          <w:szCs w:val="24"/>
        </w:rPr>
        <w:t xml:space="preserve">% compared to 18% </w:t>
      </w:r>
    </w:p>
    <w:p w14:paraId="701AD0CA" w14:textId="77777777" w:rsidR="0087614F" w:rsidRPr="00595FE6" w:rsidRDefault="0087614F" w:rsidP="009858E3">
      <w:pPr>
        <w:pStyle w:val="ListParagraph"/>
        <w:numPr>
          <w:ilvl w:val="0"/>
          <w:numId w:val="35"/>
        </w:numPr>
        <w:spacing w:line="240" w:lineRule="auto"/>
        <w:rPr>
          <w:rFonts w:cs="Arial"/>
          <w:szCs w:val="24"/>
        </w:rPr>
      </w:pPr>
      <w:r w:rsidRPr="000221BE">
        <w:rPr>
          <w:rFonts w:cs="Arial"/>
          <w:color w:val="000000" w:themeColor="text1"/>
          <w:szCs w:val="24"/>
        </w:rPr>
        <w:t>KS3: 33%</w:t>
      </w:r>
      <w:r w:rsidRPr="00595FE6">
        <w:rPr>
          <w:rFonts w:cs="Arial"/>
          <w:szCs w:val="24"/>
        </w:rPr>
        <w:t xml:space="preserve"> compared to 18%</w:t>
      </w:r>
    </w:p>
    <w:p w14:paraId="4FC8BA16" w14:textId="0BA47804" w:rsidR="0087614F" w:rsidRDefault="0087614F" w:rsidP="009858E3">
      <w:pPr>
        <w:pStyle w:val="ListParagraph"/>
        <w:numPr>
          <w:ilvl w:val="0"/>
          <w:numId w:val="35"/>
        </w:numPr>
        <w:spacing w:line="240" w:lineRule="auto"/>
        <w:rPr>
          <w:rFonts w:cs="Arial"/>
          <w:szCs w:val="24"/>
        </w:rPr>
      </w:pPr>
      <w:r w:rsidRPr="00595FE6">
        <w:rPr>
          <w:rFonts w:cs="Arial"/>
          <w:szCs w:val="24"/>
        </w:rPr>
        <w:t xml:space="preserve">KS4: 34% </w:t>
      </w:r>
      <w:r w:rsidRPr="000221BE">
        <w:rPr>
          <w:rFonts w:cs="Arial"/>
          <w:color w:val="000000" w:themeColor="text1"/>
          <w:szCs w:val="24"/>
        </w:rPr>
        <w:t>compared</w:t>
      </w:r>
      <w:r w:rsidRPr="00595FE6">
        <w:rPr>
          <w:rFonts w:cs="Arial"/>
          <w:szCs w:val="24"/>
        </w:rPr>
        <w:t xml:space="preserve"> to 14%</w:t>
      </w:r>
    </w:p>
    <w:p w14:paraId="37843DCD" w14:textId="787FC623" w:rsidR="00711953" w:rsidRDefault="00365FB6" w:rsidP="000221BE">
      <w:pPr>
        <w:spacing w:line="240" w:lineRule="auto"/>
        <w:rPr>
          <w:rFonts w:eastAsia="Times New Roman" w:cs="Arial"/>
          <w:szCs w:val="24"/>
          <w:lang w:eastAsia="en-GB"/>
        </w:rPr>
      </w:pPr>
      <w:r w:rsidRPr="008D284D">
        <w:rPr>
          <w:rFonts w:eastAsia="Times New Roman" w:cs="Arial"/>
          <w:szCs w:val="24"/>
          <w:lang w:eastAsia="en-GB"/>
        </w:rPr>
        <w:t>M</w:t>
      </w:r>
      <w:r w:rsidR="00464BA7" w:rsidRPr="00464BA7">
        <w:rPr>
          <w:rFonts w:eastAsia="Times New Roman" w:cs="Arial"/>
          <w:szCs w:val="24"/>
          <w:lang w:eastAsia="en-GB"/>
        </w:rPr>
        <w:t xml:space="preserve">ost common reasons </w:t>
      </w:r>
      <w:r w:rsidR="006F245D" w:rsidRPr="008D284D">
        <w:rPr>
          <w:rFonts w:eastAsia="Times New Roman" w:cs="Arial"/>
          <w:szCs w:val="24"/>
          <w:lang w:eastAsia="en-GB"/>
        </w:rPr>
        <w:t xml:space="preserve">for bullying </w:t>
      </w:r>
      <w:r w:rsidR="00344B74">
        <w:rPr>
          <w:rFonts w:eastAsia="Times New Roman" w:cs="Arial"/>
          <w:szCs w:val="24"/>
          <w:lang w:eastAsia="en-GB"/>
        </w:rPr>
        <w:t>given</w:t>
      </w:r>
      <w:r w:rsidR="006F245D" w:rsidRPr="008D284D">
        <w:rPr>
          <w:rFonts w:eastAsia="Times New Roman" w:cs="Arial"/>
          <w:szCs w:val="24"/>
          <w:lang w:eastAsia="en-GB"/>
        </w:rPr>
        <w:t xml:space="preserve"> by </w:t>
      </w:r>
      <w:r w:rsidR="00D25567" w:rsidRPr="008D284D">
        <w:rPr>
          <w:rFonts w:eastAsia="Times New Roman" w:cs="Arial"/>
          <w:szCs w:val="24"/>
          <w:lang w:eastAsia="en-GB"/>
        </w:rPr>
        <w:t xml:space="preserve">pupils receiving extra help </w:t>
      </w:r>
      <w:r w:rsidR="00464BA7" w:rsidRPr="00464BA7">
        <w:rPr>
          <w:rFonts w:eastAsia="Times New Roman" w:cs="Arial"/>
          <w:szCs w:val="24"/>
          <w:lang w:eastAsia="en-GB"/>
        </w:rPr>
        <w:t xml:space="preserve">in </w:t>
      </w:r>
      <w:r w:rsidR="00D25567" w:rsidRPr="008D284D">
        <w:rPr>
          <w:rFonts w:eastAsia="Times New Roman" w:cs="Arial"/>
          <w:szCs w:val="24"/>
          <w:lang w:eastAsia="en-GB"/>
        </w:rPr>
        <w:t>w</w:t>
      </w:r>
      <w:r w:rsidR="00F7652E" w:rsidRPr="008D284D">
        <w:rPr>
          <w:rFonts w:eastAsia="Times New Roman" w:cs="Arial"/>
          <w:szCs w:val="24"/>
          <w:lang w:eastAsia="en-GB"/>
        </w:rPr>
        <w:t>ere</w:t>
      </w:r>
      <w:r w:rsidR="00D25567" w:rsidRPr="008D284D">
        <w:rPr>
          <w:rFonts w:eastAsia="Times New Roman" w:cs="Arial"/>
          <w:szCs w:val="24"/>
          <w:lang w:eastAsia="en-GB"/>
        </w:rPr>
        <w:t>:</w:t>
      </w:r>
      <w:r w:rsidR="00464BA7" w:rsidRPr="00464BA7">
        <w:rPr>
          <w:rFonts w:eastAsia="Times New Roman" w:cs="Arial"/>
          <w:szCs w:val="24"/>
          <w:lang w:eastAsia="en-GB"/>
        </w:rPr>
        <w:t xml:space="preserve"> </w:t>
      </w:r>
    </w:p>
    <w:p w14:paraId="51489226" w14:textId="07FA8D94" w:rsidR="00711953" w:rsidRPr="000221BE" w:rsidRDefault="00711953" w:rsidP="009858E3">
      <w:pPr>
        <w:pStyle w:val="ListParagraph"/>
        <w:numPr>
          <w:ilvl w:val="0"/>
          <w:numId w:val="35"/>
        </w:numPr>
        <w:spacing w:line="240" w:lineRule="auto"/>
        <w:rPr>
          <w:rFonts w:cs="Arial"/>
          <w:color w:val="000000" w:themeColor="text1"/>
          <w:szCs w:val="24"/>
        </w:rPr>
      </w:pPr>
      <w:r w:rsidRPr="00A11238">
        <w:rPr>
          <w:rFonts w:cs="Arial"/>
          <w:szCs w:val="24"/>
        </w:rPr>
        <w:t xml:space="preserve">KS2 and KS3: </w:t>
      </w:r>
      <w:r w:rsidR="00464BA7" w:rsidRPr="000221BE">
        <w:rPr>
          <w:rFonts w:cs="Arial"/>
          <w:color w:val="000000" w:themeColor="text1"/>
          <w:szCs w:val="24"/>
        </w:rPr>
        <w:t>schoolwork, appearance, disability</w:t>
      </w:r>
      <w:r w:rsidR="00D25567" w:rsidRPr="000221BE">
        <w:rPr>
          <w:rFonts w:cs="Arial"/>
          <w:color w:val="000000" w:themeColor="text1"/>
          <w:szCs w:val="24"/>
        </w:rPr>
        <w:t xml:space="preserve"> and </w:t>
      </w:r>
      <w:r w:rsidR="00464BA7" w:rsidRPr="000221BE">
        <w:rPr>
          <w:rFonts w:cs="Arial"/>
          <w:color w:val="000000" w:themeColor="text1"/>
          <w:szCs w:val="24"/>
        </w:rPr>
        <w:t>other</w:t>
      </w:r>
      <w:r w:rsidR="00344B74" w:rsidRPr="000221BE">
        <w:rPr>
          <w:rFonts w:cs="Arial"/>
          <w:color w:val="000000" w:themeColor="text1"/>
          <w:szCs w:val="24"/>
        </w:rPr>
        <w:t xml:space="preserve"> reason</w:t>
      </w:r>
      <w:r w:rsidR="00D25567" w:rsidRPr="000221BE">
        <w:rPr>
          <w:rFonts w:cs="Arial"/>
          <w:color w:val="000000" w:themeColor="text1"/>
          <w:szCs w:val="24"/>
        </w:rPr>
        <w:t xml:space="preserve"> </w:t>
      </w:r>
      <w:r w:rsidR="00464BA7" w:rsidRPr="000221BE">
        <w:rPr>
          <w:rFonts w:cs="Arial"/>
          <w:color w:val="000000" w:themeColor="text1"/>
          <w:szCs w:val="24"/>
        </w:rPr>
        <w:t xml:space="preserve"> </w:t>
      </w:r>
    </w:p>
    <w:p w14:paraId="39071C65" w14:textId="1F57462F" w:rsidR="00464BA7" w:rsidRPr="00A11238" w:rsidRDefault="00464BA7" w:rsidP="009858E3">
      <w:pPr>
        <w:pStyle w:val="ListParagraph"/>
        <w:numPr>
          <w:ilvl w:val="0"/>
          <w:numId w:val="35"/>
        </w:numPr>
        <w:spacing w:line="240" w:lineRule="auto"/>
        <w:rPr>
          <w:rFonts w:cs="Arial"/>
          <w:szCs w:val="24"/>
        </w:rPr>
      </w:pPr>
      <w:r w:rsidRPr="000221BE">
        <w:rPr>
          <w:rFonts w:cs="Arial"/>
          <w:color w:val="000000" w:themeColor="text1"/>
          <w:szCs w:val="24"/>
        </w:rPr>
        <w:t>KS4</w:t>
      </w:r>
      <w:r w:rsidR="0070604C" w:rsidRPr="000221BE">
        <w:rPr>
          <w:rFonts w:cs="Arial"/>
          <w:color w:val="000000" w:themeColor="text1"/>
          <w:szCs w:val="24"/>
        </w:rPr>
        <w:t>:</w:t>
      </w:r>
      <w:r w:rsidRPr="000221BE">
        <w:rPr>
          <w:rFonts w:cs="Arial"/>
          <w:color w:val="000000" w:themeColor="text1"/>
          <w:szCs w:val="24"/>
        </w:rPr>
        <w:t xml:space="preserve"> appearance,</w:t>
      </w:r>
      <w:r w:rsidRPr="00A11238">
        <w:rPr>
          <w:rFonts w:cs="Arial"/>
          <w:szCs w:val="24"/>
        </w:rPr>
        <w:t xml:space="preserve"> schoolwork, disability</w:t>
      </w:r>
      <w:r w:rsidR="00F7652E" w:rsidRPr="00A11238">
        <w:rPr>
          <w:rFonts w:cs="Arial"/>
          <w:szCs w:val="24"/>
        </w:rPr>
        <w:t xml:space="preserve"> and</w:t>
      </w:r>
      <w:r w:rsidRPr="00A11238">
        <w:rPr>
          <w:rFonts w:cs="Arial"/>
          <w:szCs w:val="24"/>
        </w:rPr>
        <w:t xml:space="preserve"> gender identity</w:t>
      </w:r>
    </w:p>
    <w:p w14:paraId="3FBAA2ED" w14:textId="1CD665C9" w:rsidR="004322AC" w:rsidRPr="007F33AC" w:rsidRDefault="007F33AC" w:rsidP="00D9246A">
      <w:pPr>
        <w:spacing w:line="240" w:lineRule="auto"/>
        <w:rPr>
          <w:rFonts w:cs="Arial"/>
          <w:szCs w:val="24"/>
        </w:rPr>
      </w:pPr>
      <w:r w:rsidRPr="00595FE6">
        <w:rPr>
          <w:rFonts w:cs="Arial"/>
          <w:szCs w:val="24"/>
        </w:rPr>
        <w:lastRenderedPageBreak/>
        <w:t xml:space="preserve">Children and young people receiving extra help </w:t>
      </w:r>
      <w:r w:rsidR="000F681F">
        <w:rPr>
          <w:rFonts w:cs="Arial"/>
          <w:szCs w:val="24"/>
        </w:rPr>
        <w:t xml:space="preserve">in </w:t>
      </w:r>
      <w:r w:rsidR="000F681F" w:rsidRPr="004322AC">
        <w:rPr>
          <w:rFonts w:cs="Arial"/>
          <w:szCs w:val="24"/>
        </w:rPr>
        <w:t>KS2</w:t>
      </w:r>
      <w:r w:rsidR="000F681F">
        <w:rPr>
          <w:rFonts w:cs="Arial"/>
          <w:szCs w:val="24"/>
        </w:rPr>
        <w:t xml:space="preserve"> </w:t>
      </w:r>
      <w:r w:rsidRPr="00595FE6">
        <w:rPr>
          <w:rFonts w:cs="Arial"/>
          <w:szCs w:val="24"/>
        </w:rPr>
        <w:t xml:space="preserve">are </w:t>
      </w:r>
      <w:r w:rsidR="004322AC" w:rsidRPr="004322AC">
        <w:rPr>
          <w:rFonts w:cs="Arial"/>
          <w:szCs w:val="24"/>
        </w:rPr>
        <w:t>more likely to have helped someone who was being picked on</w:t>
      </w:r>
      <w:r w:rsidR="00E73EEE">
        <w:rPr>
          <w:rFonts w:cs="Arial"/>
          <w:szCs w:val="24"/>
        </w:rPr>
        <w:t>,</w:t>
      </w:r>
      <w:r w:rsidR="004322AC" w:rsidRPr="004322AC">
        <w:rPr>
          <w:rFonts w:cs="Arial"/>
          <w:szCs w:val="24"/>
        </w:rPr>
        <w:t xml:space="preserve"> </w:t>
      </w:r>
      <w:r w:rsidR="00E73EEE">
        <w:rPr>
          <w:rFonts w:cs="Arial"/>
          <w:szCs w:val="24"/>
        </w:rPr>
        <w:t>and more likely to have</w:t>
      </w:r>
      <w:r w:rsidR="004322AC" w:rsidRPr="004322AC">
        <w:rPr>
          <w:rFonts w:cs="Arial"/>
          <w:szCs w:val="24"/>
        </w:rPr>
        <w:t xml:space="preserve"> helped someone who was hurt (only asked in KS2)</w:t>
      </w:r>
      <w:r>
        <w:rPr>
          <w:rFonts w:cs="Arial"/>
          <w:szCs w:val="24"/>
        </w:rPr>
        <w:t>.</w:t>
      </w:r>
    </w:p>
    <w:p w14:paraId="722C2FC5" w14:textId="5391AA15" w:rsidR="0087614F" w:rsidRPr="00595FE6" w:rsidRDefault="0087614F" w:rsidP="00D9246A">
      <w:pPr>
        <w:spacing w:line="240" w:lineRule="auto"/>
        <w:rPr>
          <w:rFonts w:cs="Arial"/>
          <w:szCs w:val="24"/>
        </w:rPr>
      </w:pPr>
      <w:r w:rsidRPr="00477D61">
        <w:rPr>
          <w:rFonts w:cs="Arial"/>
          <w:b/>
          <w:color w:val="0079C2"/>
          <w:szCs w:val="24"/>
        </w:rPr>
        <w:t>Emotional health and wellbeing</w:t>
      </w:r>
      <w:r w:rsidR="002F764D" w:rsidRPr="00477D61">
        <w:rPr>
          <w:rFonts w:cs="Arial"/>
          <w:b/>
          <w:color w:val="0079C2"/>
          <w:szCs w:val="24"/>
        </w:rPr>
        <w:t>:</w:t>
      </w:r>
      <w:r w:rsidR="002F764D" w:rsidRPr="00595FE6">
        <w:rPr>
          <w:rFonts w:cs="Arial"/>
          <w:b/>
          <w:bCs/>
          <w:szCs w:val="24"/>
        </w:rPr>
        <w:t xml:space="preserve"> </w:t>
      </w:r>
      <w:r w:rsidRPr="00595FE6">
        <w:rPr>
          <w:rFonts w:cs="Arial"/>
          <w:szCs w:val="24"/>
        </w:rPr>
        <w:t>At all key stages, those receiving extra help are less likely to agree that they had often been happy recently</w:t>
      </w:r>
      <w:r w:rsidR="004A4D6A" w:rsidRPr="00595FE6">
        <w:rPr>
          <w:rFonts w:cs="Arial"/>
          <w:szCs w:val="24"/>
        </w:rPr>
        <w:t xml:space="preserve"> </w:t>
      </w:r>
      <w:r w:rsidR="6DABB3EF" w:rsidRPr="00595FE6">
        <w:rPr>
          <w:rFonts w:cs="Arial"/>
          <w:szCs w:val="24"/>
        </w:rPr>
        <w:t xml:space="preserve">(KS2: </w:t>
      </w:r>
      <w:r w:rsidR="72584D69" w:rsidRPr="00595FE6">
        <w:rPr>
          <w:rFonts w:cs="Arial"/>
          <w:szCs w:val="24"/>
        </w:rPr>
        <w:t xml:space="preserve">84% versus 90%, KS3: 70% versus 85%, KS4: </w:t>
      </w:r>
      <w:r w:rsidR="44C3615C" w:rsidRPr="00595FE6">
        <w:rPr>
          <w:rFonts w:cs="Arial"/>
          <w:szCs w:val="24"/>
        </w:rPr>
        <w:t xml:space="preserve">70% versus 81%) </w:t>
      </w:r>
      <w:r w:rsidRPr="00595FE6">
        <w:rPr>
          <w:rFonts w:cs="Arial"/>
          <w:szCs w:val="24"/>
        </w:rPr>
        <w:t>and are more likely to agree they have often felt sad (</w:t>
      </w:r>
      <w:r w:rsidR="29CF998D" w:rsidRPr="00595FE6">
        <w:rPr>
          <w:rFonts w:cs="Arial"/>
          <w:szCs w:val="24"/>
        </w:rPr>
        <w:t xml:space="preserve">KS3: 64% versus 54%, KS4: 76% versus 60% - </w:t>
      </w:r>
      <w:r w:rsidRPr="00595FE6">
        <w:rPr>
          <w:rFonts w:cs="Arial"/>
          <w:szCs w:val="24"/>
        </w:rPr>
        <w:t>asked at secondary school only).</w:t>
      </w:r>
    </w:p>
    <w:p w14:paraId="2E80CE15" w14:textId="12178D20" w:rsidR="0087614F" w:rsidRPr="00595FE6" w:rsidRDefault="0087614F" w:rsidP="00D9246A">
      <w:pPr>
        <w:spacing w:line="240" w:lineRule="auto"/>
        <w:rPr>
          <w:rFonts w:cs="Arial"/>
          <w:szCs w:val="24"/>
        </w:rPr>
      </w:pPr>
      <w:r w:rsidRPr="00477D61">
        <w:rPr>
          <w:rFonts w:cs="Arial"/>
          <w:b/>
          <w:color w:val="0079C2"/>
          <w:szCs w:val="24"/>
        </w:rPr>
        <w:t>Healthy lifestyles</w:t>
      </w:r>
      <w:r w:rsidR="002F764D" w:rsidRPr="00477D61">
        <w:rPr>
          <w:rFonts w:cs="Arial"/>
          <w:b/>
          <w:color w:val="0079C2"/>
          <w:szCs w:val="24"/>
        </w:rPr>
        <w:t>:</w:t>
      </w:r>
      <w:r w:rsidR="002F764D" w:rsidRPr="00595FE6">
        <w:rPr>
          <w:rFonts w:cs="Arial"/>
          <w:b/>
          <w:bCs/>
          <w:szCs w:val="24"/>
        </w:rPr>
        <w:t xml:space="preserve"> </w:t>
      </w:r>
      <w:r w:rsidR="00682B05" w:rsidRPr="00595FE6">
        <w:rPr>
          <w:rFonts w:cs="Arial"/>
          <w:szCs w:val="24"/>
        </w:rPr>
        <w:t>Key Stage 2</w:t>
      </w:r>
      <w:r w:rsidRPr="00595FE6">
        <w:rPr>
          <w:rFonts w:cs="Arial"/>
          <w:szCs w:val="24"/>
        </w:rPr>
        <w:t xml:space="preserve"> students who said they received extra help are less likely to meet physical activity recommendations</w:t>
      </w:r>
      <w:r w:rsidR="00682B05" w:rsidRPr="00595FE6">
        <w:rPr>
          <w:rFonts w:cs="Arial"/>
          <w:szCs w:val="24"/>
        </w:rPr>
        <w:t xml:space="preserve"> than those who do not receive extra help</w:t>
      </w:r>
      <w:r w:rsidRPr="00595FE6">
        <w:rPr>
          <w:rFonts w:cs="Arial"/>
          <w:szCs w:val="24"/>
        </w:rPr>
        <w:t xml:space="preserve"> (26% compared with 29%), though this is not seen at secondary school age. They also are less likely to say they </w:t>
      </w:r>
      <w:r w:rsidR="00C33A44">
        <w:rPr>
          <w:rFonts w:cs="Arial"/>
          <w:szCs w:val="24"/>
        </w:rPr>
        <w:t xml:space="preserve">have </w:t>
      </w:r>
      <w:r w:rsidRPr="00595FE6">
        <w:rPr>
          <w:rFonts w:cs="Arial"/>
          <w:szCs w:val="24"/>
        </w:rPr>
        <w:t xml:space="preserve">eaten 5 fruit or vegetables in the previous day at </w:t>
      </w:r>
      <w:r w:rsidR="00682B05" w:rsidRPr="00595FE6">
        <w:rPr>
          <w:rFonts w:cs="Arial"/>
          <w:szCs w:val="24"/>
        </w:rPr>
        <w:t>Key Stage 2</w:t>
      </w:r>
      <w:r w:rsidRPr="00595FE6">
        <w:rPr>
          <w:rFonts w:cs="Arial"/>
          <w:szCs w:val="24"/>
        </w:rPr>
        <w:t xml:space="preserve"> (64% compared with 71%) and </w:t>
      </w:r>
      <w:r w:rsidR="00682B05" w:rsidRPr="00595FE6">
        <w:rPr>
          <w:rFonts w:cs="Arial"/>
          <w:szCs w:val="24"/>
        </w:rPr>
        <w:t>Key Stage 3</w:t>
      </w:r>
      <w:r w:rsidRPr="00595FE6">
        <w:rPr>
          <w:rFonts w:cs="Arial"/>
          <w:szCs w:val="24"/>
        </w:rPr>
        <w:t xml:space="preserve"> (</w:t>
      </w:r>
      <w:r w:rsidR="539803FD" w:rsidRPr="00595FE6">
        <w:rPr>
          <w:rFonts w:cs="Arial"/>
          <w:szCs w:val="24"/>
        </w:rPr>
        <w:t>57</w:t>
      </w:r>
      <w:r w:rsidRPr="00595FE6">
        <w:rPr>
          <w:rFonts w:cs="Arial"/>
          <w:szCs w:val="24"/>
        </w:rPr>
        <w:t xml:space="preserve">% compared with </w:t>
      </w:r>
      <w:r w:rsidR="294E5C99" w:rsidRPr="00595FE6">
        <w:rPr>
          <w:rFonts w:cs="Arial"/>
          <w:szCs w:val="24"/>
        </w:rPr>
        <w:t>62</w:t>
      </w:r>
      <w:r w:rsidR="539803FD" w:rsidRPr="00595FE6">
        <w:rPr>
          <w:rFonts w:cs="Arial"/>
          <w:szCs w:val="24"/>
        </w:rPr>
        <w:t>%)</w:t>
      </w:r>
      <w:r w:rsidR="00510669">
        <w:rPr>
          <w:rFonts w:cs="Arial"/>
          <w:szCs w:val="24"/>
        </w:rPr>
        <w:t>.</w:t>
      </w:r>
      <w:r w:rsidRPr="00595FE6">
        <w:rPr>
          <w:rFonts w:cs="Arial"/>
          <w:szCs w:val="24"/>
        </w:rPr>
        <w:t xml:space="preserve"> </w:t>
      </w:r>
    </w:p>
    <w:p w14:paraId="1E6EB51A" w14:textId="71A6E687" w:rsidR="0087614F" w:rsidRPr="00595FE6" w:rsidRDefault="0087614F" w:rsidP="00D9246A">
      <w:pPr>
        <w:spacing w:line="240" w:lineRule="auto"/>
        <w:rPr>
          <w:rFonts w:cs="Arial"/>
          <w:szCs w:val="24"/>
        </w:rPr>
      </w:pPr>
      <w:r w:rsidRPr="00595FE6">
        <w:rPr>
          <w:rFonts w:cs="Arial"/>
          <w:szCs w:val="24"/>
        </w:rPr>
        <w:t>In secondary schools, a higher proportion of extra help students said they had ever smoked, tried drugs</w:t>
      </w:r>
      <w:r w:rsidR="29394F87" w:rsidRPr="00595FE6">
        <w:rPr>
          <w:rFonts w:cs="Arial"/>
          <w:szCs w:val="24"/>
        </w:rPr>
        <w:t xml:space="preserve"> and</w:t>
      </w:r>
      <w:r w:rsidR="04B097FD" w:rsidRPr="00595FE6">
        <w:rPr>
          <w:rFonts w:cs="Arial"/>
          <w:szCs w:val="24"/>
        </w:rPr>
        <w:t xml:space="preserve"> tried vaping</w:t>
      </w:r>
      <w:r w:rsidRPr="00595FE6">
        <w:rPr>
          <w:rFonts w:cs="Arial"/>
          <w:szCs w:val="24"/>
        </w:rPr>
        <w:t>, and</w:t>
      </w:r>
      <w:r w:rsidR="273E071D" w:rsidRPr="00595FE6">
        <w:rPr>
          <w:rFonts w:cs="Arial"/>
          <w:szCs w:val="24"/>
        </w:rPr>
        <w:t xml:space="preserve"> in KS3</w:t>
      </w:r>
      <w:r w:rsidRPr="00595FE6">
        <w:rPr>
          <w:rFonts w:cs="Arial"/>
          <w:szCs w:val="24"/>
        </w:rPr>
        <w:t xml:space="preserve"> </w:t>
      </w:r>
      <w:r w:rsidR="39E9B05E" w:rsidRPr="00595FE6">
        <w:rPr>
          <w:rFonts w:cs="Arial"/>
          <w:szCs w:val="24"/>
        </w:rPr>
        <w:t xml:space="preserve">a higher proportion </w:t>
      </w:r>
      <w:r w:rsidRPr="00595FE6">
        <w:rPr>
          <w:rFonts w:cs="Arial"/>
          <w:szCs w:val="24"/>
        </w:rPr>
        <w:t>ever had an alcoholic drink before</w:t>
      </w:r>
      <w:r w:rsidR="00224609">
        <w:rPr>
          <w:rFonts w:cs="Arial"/>
          <w:szCs w:val="24"/>
        </w:rPr>
        <w:t xml:space="preserve"> (</w:t>
      </w:r>
      <w:r w:rsidR="00224609" w:rsidRPr="006025F9">
        <w:rPr>
          <w:rFonts w:cs="Arial"/>
          <w:szCs w:val="24"/>
        </w:rPr>
        <w:t>Table 1</w:t>
      </w:r>
      <w:r w:rsidR="006025F9" w:rsidRPr="006025F9">
        <w:rPr>
          <w:rFonts w:cs="Arial"/>
          <w:szCs w:val="24"/>
        </w:rPr>
        <w:t>2</w:t>
      </w:r>
      <w:r w:rsidR="00224609" w:rsidRPr="006025F9">
        <w:rPr>
          <w:rFonts w:cs="Arial"/>
          <w:szCs w:val="24"/>
        </w:rPr>
        <w:t>).</w:t>
      </w:r>
    </w:p>
    <w:p w14:paraId="659B2FF2" w14:textId="4925529D" w:rsidR="00345C2E" w:rsidRPr="000221BE" w:rsidRDefault="00345C2E" w:rsidP="00D9246A">
      <w:pPr>
        <w:spacing w:line="240" w:lineRule="auto"/>
        <w:rPr>
          <w:b/>
          <w:color w:val="A65588"/>
        </w:rPr>
      </w:pPr>
      <w:r w:rsidRPr="000221BE">
        <w:rPr>
          <w:b/>
          <w:color w:val="A65588"/>
        </w:rPr>
        <w:t xml:space="preserve">Table </w:t>
      </w:r>
      <w:r w:rsidR="001F7135" w:rsidRPr="000221BE">
        <w:rPr>
          <w:b/>
          <w:color w:val="A65588"/>
        </w:rPr>
        <w:fldChar w:fldCharType="begin"/>
      </w:r>
      <w:r w:rsidR="001F7135" w:rsidRPr="000221BE">
        <w:rPr>
          <w:b/>
          <w:color w:val="A65588"/>
        </w:rPr>
        <w:instrText xml:space="preserve"> SEQ Table \* ARABIC </w:instrText>
      </w:r>
      <w:r w:rsidR="001F7135" w:rsidRPr="000221BE">
        <w:rPr>
          <w:b/>
          <w:color w:val="A65588"/>
        </w:rPr>
        <w:fldChar w:fldCharType="separate"/>
      </w:r>
      <w:r w:rsidR="009A41AE">
        <w:rPr>
          <w:b/>
          <w:noProof/>
          <w:color w:val="A65588"/>
        </w:rPr>
        <w:t>12</w:t>
      </w:r>
      <w:r w:rsidR="001F7135" w:rsidRPr="000221BE">
        <w:rPr>
          <w:b/>
          <w:color w:val="A65588"/>
        </w:rPr>
        <w:fldChar w:fldCharType="end"/>
      </w:r>
      <w:r w:rsidRPr="000221BE">
        <w:rPr>
          <w:b/>
          <w:color w:val="A65588"/>
        </w:rPr>
        <w:t xml:space="preserve">: Proportion </w:t>
      </w:r>
      <w:r w:rsidR="00E86593" w:rsidRPr="000221BE">
        <w:rPr>
          <w:b/>
          <w:color w:val="A65588"/>
        </w:rPr>
        <w:t>(%)</w:t>
      </w:r>
      <w:r w:rsidRPr="000221BE">
        <w:rPr>
          <w:b/>
          <w:color w:val="A65588"/>
        </w:rPr>
        <w:t xml:space="preserve"> of </w:t>
      </w:r>
      <w:r w:rsidR="003A45D1">
        <w:rPr>
          <w:b/>
          <w:bCs/>
          <w:color w:val="A65588"/>
        </w:rPr>
        <w:t>pupils</w:t>
      </w:r>
      <w:r w:rsidRPr="000221BE">
        <w:rPr>
          <w:b/>
          <w:color w:val="A65588"/>
        </w:rPr>
        <w:t xml:space="preserve"> that have ever tried smoking, vaping, drugs or alcohol by key stage and whether they were receiving extra help, </w:t>
      </w:r>
      <w:r w:rsidR="000221BE">
        <w:rPr>
          <w:b/>
          <w:bCs/>
          <w:color w:val="A65588"/>
        </w:rPr>
        <w:t>Brighton &amp; Hove Safe and Well at School Survey,</w:t>
      </w:r>
      <w:r w:rsidRPr="000221BE">
        <w:rPr>
          <w:b/>
          <w:color w:val="A65588"/>
        </w:rPr>
        <w:t xml:space="preserve"> 2023</w:t>
      </w:r>
    </w:p>
    <w:tbl>
      <w:tblPr>
        <w:tblStyle w:val="TableGrid"/>
        <w:tblW w:w="9346" w:type="dxa"/>
        <w:tblLayout w:type="fixed"/>
        <w:tblLook w:val="04A0" w:firstRow="1" w:lastRow="0" w:firstColumn="1" w:lastColumn="0" w:noHBand="0" w:noVBand="1"/>
      </w:tblPr>
      <w:tblGrid>
        <w:gridCol w:w="1560"/>
        <w:gridCol w:w="1134"/>
        <w:gridCol w:w="1311"/>
        <w:gridCol w:w="1335"/>
        <w:gridCol w:w="1335"/>
        <w:gridCol w:w="1335"/>
        <w:gridCol w:w="1336"/>
      </w:tblGrid>
      <w:tr w:rsidR="00596DCA" w:rsidRPr="00595FE6" w14:paraId="15CD5811" w14:textId="77777777" w:rsidTr="003A45D1">
        <w:trPr>
          <w:trHeight w:val="300"/>
        </w:trPr>
        <w:tc>
          <w:tcPr>
            <w:tcW w:w="1560" w:type="dxa"/>
            <w:tcBorders>
              <w:top w:val="nil"/>
              <w:left w:val="nil"/>
              <w:bottom w:val="single" w:sz="8" w:space="0" w:color="auto"/>
              <w:right w:val="single" w:sz="8" w:space="0" w:color="auto"/>
            </w:tcBorders>
            <w:tcMar>
              <w:left w:w="108" w:type="dxa"/>
              <w:right w:w="108" w:type="dxa"/>
            </w:tcMar>
          </w:tcPr>
          <w:p w14:paraId="0383FA7C" w14:textId="3056A43B" w:rsidR="00596DCA" w:rsidRPr="00595FE6" w:rsidRDefault="00596DCA" w:rsidP="00596DCA">
            <w:pPr>
              <w:rPr>
                <w:rFonts w:cs="Arial"/>
                <w:szCs w:val="24"/>
              </w:rPr>
            </w:pPr>
            <w:r w:rsidRPr="00102F0B">
              <w:rPr>
                <w:rFonts w:eastAsia="Aptos" w:cs="Arial"/>
                <w:szCs w:val="24"/>
              </w:rPr>
              <w:t xml:space="preserve"> </w:t>
            </w:r>
          </w:p>
        </w:tc>
        <w:tc>
          <w:tcPr>
            <w:tcW w:w="1134" w:type="dxa"/>
            <w:tcBorders>
              <w:top w:val="single" w:sz="8" w:space="0" w:color="auto"/>
              <w:left w:val="single" w:sz="8" w:space="0" w:color="auto"/>
              <w:bottom w:val="single" w:sz="8" w:space="0" w:color="auto"/>
              <w:right w:val="single" w:sz="8" w:space="0" w:color="auto"/>
            </w:tcBorders>
            <w:shd w:val="clear" w:color="auto" w:fill="086A76"/>
            <w:tcMar>
              <w:left w:w="108" w:type="dxa"/>
              <w:right w:w="108" w:type="dxa"/>
            </w:tcMar>
          </w:tcPr>
          <w:p w14:paraId="64D9852F" w14:textId="77777777" w:rsidR="00EC58FF" w:rsidRDefault="00FB2F6F" w:rsidP="1014D3C0">
            <w:pPr>
              <w:rPr>
                <w:rFonts w:eastAsia="Aptos" w:cs="Arial"/>
                <w:b/>
                <w:color w:val="FFFFFF" w:themeColor="background1"/>
                <w:szCs w:val="24"/>
              </w:rPr>
            </w:pPr>
            <w:r>
              <w:rPr>
                <w:rFonts w:eastAsia="Aptos" w:cs="Arial"/>
                <w:b/>
                <w:color w:val="FFFFFF" w:themeColor="background1"/>
                <w:szCs w:val="24"/>
              </w:rPr>
              <w:t>KS2</w:t>
            </w:r>
          </w:p>
          <w:p w14:paraId="7ECD3F15" w14:textId="6578C2E4" w:rsidR="12C4EBAF" w:rsidRPr="00595FE6" w:rsidRDefault="12C4EBAF" w:rsidP="1014D3C0">
            <w:pPr>
              <w:rPr>
                <w:rFonts w:eastAsia="Aptos" w:cs="Arial"/>
                <w:b/>
                <w:color w:val="FFFFFF" w:themeColor="background1"/>
                <w:szCs w:val="24"/>
              </w:rPr>
            </w:pPr>
            <w:r w:rsidRPr="00595FE6">
              <w:rPr>
                <w:rFonts w:eastAsia="Aptos" w:cs="Arial"/>
                <w:b/>
                <w:color w:val="FFFFFF" w:themeColor="background1"/>
                <w:szCs w:val="24"/>
              </w:rPr>
              <w:t>Extra help</w:t>
            </w:r>
          </w:p>
        </w:tc>
        <w:tc>
          <w:tcPr>
            <w:tcW w:w="1311" w:type="dxa"/>
            <w:tcBorders>
              <w:top w:val="single" w:sz="8" w:space="0" w:color="auto"/>
              <w:left w:val="single" w:sz="8" w:space="0" w:color="auto"/>
              <w:bottom w:val="single" w:sz="8" w:space="0" w:color="auto"/>
              <w:right w:val="single" w:sz="8" w:space="0" w:color="auto"/>
            </w:tcBorders>
            <w:shd w:val="clear" w:color="auto" w:fill="086A76"/>
            <w:tcMar>
              <w:left w:w="108" w:type="dxa"/>
              <w:right w:w="108" w:type="dxa"/>
            </w:tcMar>
          </w:tcPr>
          <w:p w14:paraId="42F295B2" w14:textId="77777777" w:rsidR="00EC58FF" w:rsidRDefault="00EC58FF" w:rsidP="00BB4C01">
            <w:pPr>
              <w:jc w:val="center"/>
              <w:rPr>
                <w:rFonts w:eastAsia="Aptos" w:cs="Arial"/>
                <w:b/>
                <w:color w:val="FFFFFF" w:themeColor="background1"/>
                <w:szCs w:val="24"/>
              </w:rPr>
            </w:pPr>
            <w:r>
              <w:rPr>
                <w:rFonts w:eastAsia="Aptos" w:cs="Arial"/>
                <w:b/>
                <w:color w:val="FFFFFF" w:themeColor="background1"/>
                <w:szCs w:val="24"/>
              </w:rPr>
              <w:t>KS2</w:t>
            </w:r>
          </w:p>
          <w:p w14:paraId="532C4643" w14:textId="0C400048" w:rsidR="12C4EBAF" w:rsidRPr="00595FE6" w:rsidRDefault="12C4EBAF" w:rsidP="00BB4C01">
            <w:pPr>
              <w:jc w:val="center"/>
              <w:rPr>
                <w:rFonts w:eastAsia="Aptos" w:cs="Arial"/>
                <w:b/>
                <w:color w:val="FFFFFF" w:themeColor="background1"/>
                <w:szCs w:val="24"/>
              </w:rPr>
            </w:pPr>
            <w:r w:rsidRPr="00595FE6">
              <w:rPr>
                <w:rFonts w:eastAsia="Aptos" w:cs="Arial"/>
                <w:b/>
                <w:color w:val="FFFFFF" w:themeColor="background1"/>
                <w:szCs w:val="24"/>
              </w:rPr>
              <w:t>No extra help</w:t>
            </w:r>
          </w:p>
        </w:tc>
        <w:tc>
          <w:tcPr>
            <w:tcW w:w="1335" w:type="dxa"/>
            <w:tcBorders>
              <w:top w:val="single" w:sz="8" w:space="0" w:color="auto"/>
              <w:left w:val="single" w:sz="8" w:space="0" w:color="auto"/>
              <w:bottom w:val="single" w:sz="8" w:space="0" w:color="auto"/>
              <w:right w:val="single" w:sz="8" w:space="0" w:color="auto"/>
            </w:tcBorders>
            <w:shd w:val="clear" w:color="auto" w:fill="086A76"/>
            <w:tcMar>
              <w:left w:w="108" w:type="dxa"/>
              <w:right w:w="108" w:type="dxa"/>
            </w:tcMar>
          </w:tcPr>
          <w:p w14:paraId="27032DE7" w14:textId="77777777" w:rsidR="00EC58FF" w:rsidRDefault="00EC58FF" w:rsidP="00BB4C01">
            <w:pPr>
              <w:jc w:val="center"/>
              <w:rPr>
                <w:rFonts w:eastAsia="Aptos" w:cs="Arial"/>
                <w:b/>
                <w:color w:val="FFFFFF" w:themeColor="background1"/>
                <w:szCs w:val="24"/>
              </w:rPr>
            </w:pPr>
            <w:r>
              <w:rPr>
                <w:rFonts w:eastAsia="Aptos" w:cs="Arial"/>
                <w:b/>
                <w:color w:val="FFFFFF" w:themeColor="background1"/>
                <w:szCs w:val="24"/>
              </w:rPr>
              <w:t>KS3</w:t>
            </w:r>
          </w:p>
          <w:p w14:paraId="7599F862" w14:textId="7E6C72DE" w:rsidR="00596DCA" w:rsidRPr="00595FE6" w:rsidRDefault="00596DCA" w:rsidP="00BB4C01">
            <w:pPr>
              <w:jc w:val="center"/>
              <w:rPr>
                <w:rFonts w:cs="Arial"/>
                <w:b/>
                <w:color w:val="FFFFFF" w:themeColor="background1"/>
                <w:szCs w:val="24"/>
              </w:rPr>
            </w:pPr>
            <w:r w:rsidRPr="00595FE6">
              <w:rPr>
                <w:rFonts w:eastAsia="Aptos" w:cs="Arial"/>
                <w:b/>
                <w:color w:val="FFFFFF" w:themeColor="background1"/>
                <w:szCs w:val="24"/>
              </w:rPr>
              <w:t>Extra help</w:t>
            </w:r>
          </w:p>
        </w:tc>
        <w:tc>
          <w:tcPr>
            <w:tcW w:w="1335" w:type="dxa"/>
            <w:tcBorders>
              <w:top w:val="single" w:sz="8" w:space="0" w:color="auto"/>
              <w:left w:val="single" w:sz="8" w:space="0" w:color="auto"/>
              <w:bottom w:val="single" w:sz="8" w:space="0" w:color="auto"/>
              <w:right w:val="single" w:sz="8" w:space="0" w:color="auto"/>
            </w:tcBorders>
            <w:shd w:val="clear" w:color="auto" w:fill="086A76"/>
            <w:tcMar>
              <w:left w:w="108" w:type="dxa"/>
              <w:right w:w="108" w:type="dxa"/>
            </w:tcMar>
          </w:tcPr>
          <w:p w14:paraId="4E471140" w14:textId="77777777" w:rsidR="00EB082E" w:rsidRDefault="00EB082E" w:rsidP="00BB4C01">
            <w:pPr>
              <w:jc w:val="center"/>
              <w:rPr>
                <w:rFonts w:eastAsia="Aptos" w:cs="Arial"/>
                <w:b/>
                <w:color w:val="FFFFFF" w:themeColor="background1"/>
                <w:szCs w:val="24"/>
              </w:rPr>
            </w:pPr>
            <w:r>
              <w:rPr>
                <w:rFonts w:eastAsia="Aptos" w:cs="Arial"/>
                <w:b/>
                <w:color w:val="FFFFFF" w:themeColor="background1"/>
                <w:szCs w:val="24"/>
              </w:rPr>
              <w:t>KS3</w:t>
            </w:r>
          </w:p>
          <w:p w14:paraId="47EC5A20" w14:textId="15AAC159" w:rsidR="00596DCA" w:rsidRPr="00595FE6" w:rsidRDefault="00596DCA" w:rsidP="00BB4C01">
            <w:pPr>
              <w:jc w:val="center"/>
              <w:rPr>
                <w:rFonts w:cs="Arial"/>
                <w:b/>
                <w:color w:val="FFFFFF" w:themeColor="background1"/>
                <w:szCs w:val="24"/>
              </w:rPr>
            </w:pPr>
            <w:r w:rsidRPr="00595FE6">
              <w:rPr>
                <w:rFonts w:eastAsia="Aptos" w:cs="Arial"/>
                <w:b/>
                <w:color w:val="FFFFFF" w:themeColor="background1"/>
                <w:szCs w:val="24"/>
              </w:rPr>
              <w:t>No extra help</w:t>
            </w:r>
          </w:p>
        </w:tc>
        <w:tc>
          <w:tcPr>
            <w:tcW w:w="1335" w:type="dxa"/>
            <w:tcBorders>
              <w:top w:val="single" w:sz="8" w:space="0" w:color="auto"/>
              <w:left w:val="single" w:sz="8" w:space="0" w:color="auto"/>
              <w:bottom w:val="single" w:sz="8" w:space="0" w:color="auto"/>
              <w:right w:val="single" w:sz="8" w:space="0" w:color="auto"/>
            </w:tcBorders>
            <w:shd w:val="clear" w:color="auto" w:fill="086A76"/>
            <w:tcMar>
              <w:left w:w="108" w:type="dxa"/>
              <w:right w:w="108" w:type="dxa"/>
            </w:tcMar>
          </w:tcPr>
          <w:p w14:paraId="0C3F6DC8" w14:textId="77777777" w:rsidR="00EC58FF" w:rsidRDefault="00EC58FF" w:rsidP="00BB4C01">
            <w:pPr>
              <w:jc w:val="center"/>
              <w:rPr>
                <w:rFonts w:eastAsia="Aptos" w:cs="Arial"/>
                <w:b/>
                <w:color w:val="FFFFFF" w:themeColor="background1"/>
                <w:szCs w:val="24"/>
              </w:rPr>
            </w:pPr>
            <w:r>
              <w:rPr>
                <w:rFonts w:eastAsia="Aptos" w:cs="Arial"/>
                <w:b/>
                <w:color w:val="FFFFFF" w:themeColor="background1"/>
                <w:szCs w:val="24"/>
              </w:rPr>
              <w:t>KS4</w:t>
            </w:r>
          </w:p>
          <w:p w14:paraId="4A5379A3" w14:textId="17B15E96" w:rsidR="00596DCA" w:rsidRPr="00595FE6" w:rsidRDefault="00596DCA" w:rsidP="00BB4C01">
            <w:pPr>
              <w:jc w:val="center"/>
              <w:rPr>
                <w:rFonts w:cs="Arial"/>
                <w:b/>
                <w:color w:val="FFFFFF" w:themeColor="background1"/>
                <w:szCs w:val="24"/>
              </w:rPr>
            </w:pPr>
            <w:r w:rsidRPr="00595FE6">
              <w:rPr>
                <w:rFonts w:eastAsia="Aptos" w:cs="Arial"/>
                <w:b/>
                <w:color w:val="FFFFFF" w:themeColor="background1"/>
                <w:szCs w:val="24"/>
              </w:rPr>
              <w:t>Extra help</w:t>
            </w:r>
          </w:p>
        </w:tc>
        <w:tc>
          <w:tcPr>
            <w:tcW w:w="1336" w:type="dxa"/>
            <w:tcBorders>
              <w:top w:val="nil"/>
              <w:left w:val="single" w:sz="8" w:space="0" w:color="auto"/>
              <w:bottom w:val="single" w:sz="8" w:space="0" w:color="auto"/>
              <w:right w:val="single" w:sz="8" w:space="0" w:color="auto"/>
            </w:tcBorders>
            <w:shd w:val="clear" w:color="auto" w:fill="086A76"/>
            <w:tcMar>
              <w:left w:w="108" w:type="dxa"/>
              <w:right w:w="108" w:type="dxa"/>
            </w:tcMar>
          </w:tcPr>
          <w:p w14:paraId="0DBE1DB5" w14:textId="77777777" w:rsidR="00EC58FF" w:rsidRDefault="00EC58FF" w:rsidP="00BB4C01">
            <w:pPr>
              <w:jc w:val="center"/>
              <w:rPr>
                <w:rFonts w:eastAsia="Aptos" w:cs="Arial"/>
                <w:b/>
                <w:color w:val="FFFFFF" w:themeColor="background1"/>
                <w:szCs w:val="24"/>
              </w:rPr>
            </w:pPr>
            <w:r>
              <w:rPr>
                <w:rFonts w:eastAsia="Aptos" w:cs="Arial"/>
                <w:b/>
                <w:color w:val="FFFFFF" w:themeColor="background1"/>
                <w:szCs w:val="24"/>
              </w:rPr>
              <w:t>KS4</w:t>
            </w:r>
          </w:p>
          <w:p w14:paraId="6B61070F" w14:textId="29EC85AA" w:rsidR="00596DCA" w:rsidRPr="00595FE6" w:rsidRDefault="00596DCA" w:rsidP="00BB4C01">
            <w:pPr>
              <w:jc w:val="center"/>
              <w:rPr>
                <w:rFonts w:cs="Arial"/>
                <w:b/>
                <w:color w:val="FFFFFF" w:themeColor="background1"/>
                <w:szCs w:val="24"/>
              </w:rPr>
            </w:pPr>
            <w:r w:rsidRPr="00595FE6">
              <w:rPr>
                <w:rFonts w:eastAsia="Aptos" w:cs="Arial"/>
                <w:b/>
                <w:color w:val="FFFFFF" w:themeColor="background1"/>
                <w:szCs w:val="24"/>
              </w:rPr>
              <w:t>No extra help</w:t>
            </w:r>
          </w:p>
        </w:tc>
      </w:tr>
      <w:tr w:rsidR="00596DCA" w:rsidRPr="00595FE6" w14:paraId="1CEA6EC6" w14:textId="77777777" w:rsidTr="003A45D1">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2C07C035" w14:textId="1F64320A" w:rsidR="00596DCA" w:rsidRPr="000221BE" w:rsidRDefault="00596DCA" w:rsidP="00D9246A">
            <w:pPr>
              <w:rPr>
                <w:rFonts w:cs="Arial"/>
                <w:szCs w:val="24"/>
              </w:rPr>
            </w:pPr>
            <w:r w:rsidRPr="000221BE">
              <w:rPr>
                <w:rFonts w:eastAsia="Aptos" w:cs="Arial"/>
                <w:color w:val="000000" w:themeColor="text1"/>
                <w:szCs w:val="24"/>
              </w:rPr>
              <w:t>Ever tried drugs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1F28E34" w14:textId="5E769FF1" w:rsidR="1014D3C0" w:rsidRPr="00595FE6" w:rsidRDefault="1014D3C0" w:rsidP="0041129F">
            <w:pPr>
              <w:pStyle w:val="ListParagraph"/>
              <w:numPr>
                <w:ilvl w:val="0"/>
                <w:numId w:val="9"/>
              </w:numPr>
              <w:jc w:val="right"/>
              <w:rPr>
                <w:rFonts w:eastAsia="Aptos" w:cs="Arial"/>
                <w:szCs w:val="24"/>
              </w:rPr>
            </w:pPr>
          </w:p>
        </w:tc>
        <w:tc>
          <w:tcPr>
            <w:tcW w:w="1311" w:type="dxa"/>
            <w:tcBorders>
              <w:top w:val="single" w:sz="8" w:space="0" w:color="auto"/>
              <w:left w:val="single" w:sz="8" w:space="0" w:color="auto"/>
              <w:bottom w:val="single" w:sz="8" w:space="0" w:color="auto"/>
              <w:right w:val="single" w:sz="8" w:space="0" w:color="auto"/>
            </w:tcBorders>
            <w:tcMar>
              <w:left w:w="108" w:type="dxa"/>
              <w:right w:w="108" w:type="dxa"/>
            </w:tcMar>
          </w:tcPr>
          <w:p w14:paraId="5A053CF6" w14:textId="4A287917" w:rsidR="1014D3C0" w:rsidRPr="00595FE6" w:rsidRDefault="1014D3C0" w:rsidP="0041129F">
            <w:pPr>
              <w:pStyle w:val="ListParagraph"/>
              <w:numPr>
                <w:ilvl w:val="0"/>
                <w:numId w:val="8"/>
              </w:numPr>
              <w:jc w:val="right"/>
              <w:rPr>
                <w:rFonts w:eastAsia="Aptos" w:cs="Arial"/>
                <w:szCs w:val="24"/>
              </w:rPr>
            </w:pP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6CCCD9E6" w14:textId="41BB356E" w:rsidR="00596DCA" w:rsidRPr="00595FE6" w:rsidRDefault="00596DCA" w:rsidP="00BB4C01">
            <w:pPr>
              <w:jc w:val="right"/>
              <w:rPr>
                <w:rFonts w:cs="Arial"/>
                <w:szCs w:val="24"/>
              </w:rPr>
            </w:pPr>
            <w:r w:rsidRPr="00595FE6">
              <w:rPr>
                <w:rFonts w:eastAsia="Aptos" w:cs="Arial"/>
                <w:szCs w:val="24"/>
              </w:rPr>
              <w:t>10%</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5605B2E7" w14:textId="670C55BB" w:rsidR="00596DCA" w:rsidRPr="00595FE6" w:rsidRDefault="00596DCA" w:rsidP="00BB4C01">
            <w:pPr>
              <w:jc w:val="right"/>
              <w:rPr>
                <w:rFonts w:cs="Arial"/>
                <w:szCs w:val="24"/>
              </w:rPr>
            </w:pPr>
            <w:r w:rsidRPr="00595FE6">
              <w:rPr>
                <w:rFonts w:eastAsia="Aptos" w:cs="Arial"/>
                <w:szCs w:val="24"/>
              </w:rPr>
              <w:t>6%</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790D073B" w14:textId="0C21AA8C" w:rsidR="00596DCA" w:rsidRPr="00595FE6" w:rsidRDefault="00596DCA" w:rsidP="00BB4C01">
            <w:pPr>
              <w:jc w:val="right"/>
              <w:rPr>
                <w:rFonts w:cs="Arial"/>
                <w:szCs w:val="24"/>
              </w:rPr>
            </w:pPr>
            <w:r w:rsidRPr="00595FE6">
              <w:rPr>
                <w:rFonts w:eastAsia="Aptos" w:cs="Arial"/>
                <w:szCs w:val="24"/>
              </w:rPr>
              <w:t>30%</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5AB666BF" w14:textId="175122D3" w:rsidR="00596DCA" w:rsidRPr="00595FE6" w:rsidRDefault="00596DCA" w:rsidP="00BB4C01">
            <w:pPr>
              <w:jc w:val="right"/>
              <w:rPr>
                <w:rFonts w:cs="Arial"/>
                <w:szCs w:val="24"/>
              </w:rPr>
            </w:pPr>
            <w:r w:rsidRPr="00595FE6">
              <w:rPr>
                <w:rFonts w:eastAsia="Aptos" w:cs="Arial"/>
                <w:szCs w:val="24"/>
              </w:rPr>
              <w:t>23%</w:t>
            </w:r>
          </w:p>
        </w:tc>
      </w:tr>
      <w:tr w:rsidR="00596DCA" w:rsidRPr="00595FE6" w14:paraId="19635021" w14:textId="77777777" w:rsidTr="003A45D1">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6EBD7703" w14:textId="1D4A46F0" w:rsidR="00596DCA" w:rsidRPr="000221BE" w:rsidRDefault="00596DCA" w:rsidP="00D9246A">
            <w:pPr>
              <w:rPr>
                <w:rFonts w:cs="Arial"/>
                <w:szCs w:val="24"/>
              </w:rPr>
            </w:pPr>
            <w:r w:rsidRPr="000221BE">
              <w:rPr>
                <w:rFonts w:eastAsia="Aptos" w:cs="Arial"/>
                <w:color w:val="000000" w:themeColor="text1"/>
                <w:szCs w:val="24"/>
              </w:rPr>
              <w:t>Ever had an alcoholic drink</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D323A4E" w14:textId="72277C57" w:rsidR="1014D3C0" w:rsidRPr="00595FE6" w:rsidRDefault="1014D3C0" w:rsidP="0041129F">
            <w:pPr>
              <w:pStyle w:val="ListParagraph"/>
              <w:numPr>
                <w:ilvl w:val="0"/>
                <w:numId w:val="6"/>
              </w:numPr>
              <w:jc w:val="right"/>
              <w:rPr>
                <w:rFonts w:eastAsia="Aptos" w:cs="Arial"/>
                <w:szCs w:val="24"/>
              </w:rPr>
            </w:pPr>
          </w:p>
        </w:tc>
        <w:tc>
          <w:tcPr>
            <w:tcW w:w="1311" w:type="dxa"/>
            <w:tcBorders>
              <w:top w:val="single" w:sz="8" w:space="0" w:color="auto"/>
              <w:left w:val="single" w:sz="8" w:space="0" w:color="auto"/>
              <w:bottom w:val="single" w:sz="8" w:space="0" w:color="auto"/>
              <w:right w:val="single" w:sz="8" w:space="0" w:color="auto"/>
            </w:tcBorders>
            <w:tcMar>
              <w:left w:w="108" w:type="dxa"/>
              <w:right w:w="108" w:type="dxa"/>
            </w:tcMar>
          </w:tcPr>
          <w:p w14:paraId="3CCB80A2" w14:textId="1F955EFB" w:rsidR="1014D3C0" w:rsidRPr="00595FE6" w:rsidRDefault="1014D3C0" w:rsidP="0041129F">
            <w:pPr>
              <w:pStyle w:val="ListParagraph"/>
              <w:numPr>
                <w:ilvl w:val="0"/>
                <w:numId w:val="7"/>
              </w:numPr>
              <w:jc w:val="right"/>
              <w:rPr>
                <w:rFonts w:eastAsia="Aptos" w:cs="Arial"/>
                <w:szCs w:val="24"/>
              </w:rPr>
            </w:pP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3A32499E" w14:textId="7780CD0A" w:rsidR="00596DCA" w:rsidRPr="00595FE6" w:rsidRDefault="00596DCA" w:rsidP="00BB4C01">
            <w:pPr>
              <w:jc w:val="right"/>
              <w:rPr>
                <w:rFonts w:cs="Arial"/>
                <w:szCs w:val="24"/>
              </w:rPr>
            </w:pPr>
            <w:r w:rsidRPr="00595FE6">
              <w:rPr>
                <w:rFonts w:eastAsia="Aptos" w:cs="Arial"/>
                <w:szCs w:val="24"/>
              </w:rPr>
              <w:t>37%</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32733171" w14:textId="737AFDDE" w:rsidR="00596DCA" w:rsidRPr="00595FE6" w:rsidRDefault="00596DCA" w:rsidP="00BB4C01">
            <w:pPr>
              <w:jc w:val="right"/>
              <w:rPr>
                <w:rFonts w:cs="Arial"/>
                <w:szCs w:val="24"/>
              </w:rPr>
            </w:pPr>
            <w:r w:rsidRPr="00595FE6">
              <w:rPr>
                <w:rFonts w:eastAsia="Aptos" w:cs="Arial"/>
                <w:szCs w:val="24"/>
              </w:rPr>
              <w:t>30%</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1C5331C9" w14:textId="44F4B9CC" w:rsidR="00596DCA" w:rsidRPr="00595FE6" w:rsidRDefault="00596DCA" w:rsidP="00BB4C01">
            <w:pPr>
              <w:jc w:val="right"/>
              <w:rPr>
                <w:rFonts w:cs="Arial"/>
                <w:szCs w:val="24"/>
              </w:rPr>
            </w:pPr>
            <w:r w:rsidRPr="00595FE6">
              <w:rPr>
                <w:rFonts w:eastAsia="Aptos" w:cs="Arial"/>
                <w:szCs w:val="24"/>
              </w:rPr>
              <w:t>62%</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254B1CFA" w14:textId="03EC197C" w:rsidR="00596DCA" w:rsidRPr="00595FE6" w:rsidRDefault="00596DCA" w:rsidP="00BB4C01">
            <w:pPr>
              <w:jc w:val="right"/>
              <w:rPr>
                <w:rFonts w:cs="Arial"/>
                <w:szCs w:val="24"/>
              </w:rPr>
            </w:pPr>
            <w:r w:rsidRPr="00595FE6">
              <w:rPr>
                <w:rFonts w:eastAsia="Aptos" w:cs="Arial"/>
                <w:szCs w:val="24"/>
              </w:rPr>
              <w:t>64%</w:t>
            </w:r>
          </w:p>
        </w:tc>
      </w:tr>
      <w:tr w:rsidR="00596DCA" w:rsidRPr="00595FE6" w14:paraId="351D3461" w14:textId="77777777" w:rsidTr="003A45D1">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25C787B9" w14:textId="7321CBF6" w:rsidR="00596DCA" w:rsidRPr="000221BE" w:rsidRDefault="00596DCA" w:rsidP="00D9246A">
            <w:pPr>
              <w:rPr>
                <w:rFonts w:cs="Arial"/>
                <w:szCs w:val="24"/>
              </w:rPr>
            </w:pPr>
            <w:r w:rsidRPr="000221BE">
              <w:rPr>
                <w:rFonts w:eastAsia="Aptos" w:cs="Arial"/>
                <w:color w:val="000000" w:themeColor="text1"/>
                <w:szCs w:val="24"/>
              </w:rPr>
              <w:t>Ever tried cigarettes</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57949717" w14:textId="058003D0" w:rsidR="1014D3C0" w:rsidRPr="00595FE6" w:rsidRDefault="1014D3C0" w:rsidP="0041129F">
            <w:pPr>
              <w:pStyle w:val="ListParagraph"/>
              <w:numPr>
                <w:ilvl w:val="0"/>
                <w:numId w:val="5"/>
              </w:numPr>
              <w:jc w:val="right"/>
              <w:rPr>
                <w:rFonts w:eastAsia="Aptos" w:cs="Arial"/>
                <w:szCs w:val="24"/>
              </w:rPr>
            </w:pPr>
          </w:p>
        </w:tc>
        <w:tc>
          <w:tcPr>
            <w:tcW w:w="1311" w:type="dxa"/>
            <w:tcBorders>
              <w:top w:val="single" w:sz="8" w:space="0" w:color="auto"/>
              <w:left w:val="single" w:sz="8" w:space="0" w:color="auto"/>
              <w:bottom w:val="single" w:sz="8" w:space="0" w:color="auto"/>
              <w:right w:val="single" w:sz="8" w:space="0" w:color="auto"/>
            </w:tcBorders>
            <w:tcMar>
              <w:left w:w="108" w:type="dxa"/>
              <w:right w:w="108" w:type="dxa"/>
            </w:tcMar>
          </w:tcPr>
          <w:p w14:paraId="126FEB9F" w14:textId="40F5DCD1" w:rsidR="1014D3C0" w:rsidRPr="00595FE6" w:rsidRDefault="1014D3C0" w:rsidP="0041129F">
            <w:pPr>
              <w:pStyle w:val="ListParagraph"/>
              <w:numPr>
                <w:ilvl w:val="0"/>
                <w:numId w:val="4"/>
              </w:numPr>
              <w:jc w:val="right"/>
              <w:rPr>
                <w:rFonts w:eastAsia="Aptos" w:cs="Arial"/>
                <w:szCs w:val="24"/>
              </w:rPr>
            </w:pP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6CEC6E9E" w14:textId="2BC39FB0" w:rsidR="00596DCA" w:rsidRPr="00595FE6" w:rsidRDefault="00596DCA" w:rsidP="00BB4C01">
            <w:pPr>
              <w:jc w:val="right"/>
              <w:rPr>
                <w:rFonts w:cs="Arial"/>
                <w:szCs w:val="24"/>
              </w:rPr>
            </w:pPr>
            <w:r w:rsidRPr="00595FE6">
              <w:rPr>
                <w:rFonts w:eastAsia="Aptos" w:cs="Arial"/>
                <w:szCs w:val="24"/>
              </w:rPr>
              <w:t>14%</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6BF9C4F7" w14:textId="5AC62162" w:rsidR="00596DCA" w:rsidRPr="00595FE6" w:rsidRDefault="00596DCA" w:rsidP="00BB4C01">
            <w:pPr>
              <w:jc w:val="right"/>
              <w:rPr>
                <w:rFonts w:cs="Arial"/>
                <w:szCs w:val="24"/>
              </w:rPr>
            </w:pPr>
            <w:r w:rsidRPr="00595FE6">
              <w:rPr>
                <w:rFonts w:eastAsia="Aptos" w:cs="Arial"/>
                <w:szCs w:val="24"/>
              </w:rPr>
              <w:t>6%</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3F0463F0" w14:textId="65C50755" w:rsidR="00596DCA" w:rsidRPr="00595FE6" w:rsidRDefault="00596DCA" w:rsidP="00BB4C01">
            <w:pPr>
              <w:jc w:val="right"/>
              <w:rPr>
                <w:rFonts w:cs="Arial"/>
                <w:szCs w:val="24"/>
              </w:rPr>
            </w:pPr>
            <w:r w:rsidRPr="00595FE6">
              <w:rPr>
                <w:rFonts w:eastAsia="Aptos" w:cs="Arial"/>
                <w:szCs w:val="24"/>
              </w:rPr>
              <w:t>44%</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7588D4A6" w14:textId="3C92C0A6" w:rsidR="00596DCA" w:rsidRPr="00595FE6" w:rsidRDefault="00596DCA" w:rsidP="00BB4C01">
            <w:pPr>
              <w:jc w:val="right"/>
              <w:rPr>
                <w:rFonts w:cs="Arial"/>
                <w:szCs w:val="24"/>
              </w:rPr>
            </w:pPr>
            <w:r w:rsidRPr="00595FE6">
              <w:rPr>
                <w:rFonts w:eastAsia="Aptos" w:cs="Arial"/>
                <w:szCs w:val="24"/>
              </w:rPr>
              <w:t>28%</w:t>
            </w:r>
          </w:p>
        </w:tc>
      </w:tr>
      <w:tr w:rsidR="00596DCA" w:rsidRPr="00595FE6" w14:paraId="3BBAE230" w14:textId="77777777" w:rsidTr="003A45D1">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419CA9E3" w14:textId="6197EFDE" w:rsidR="00596DCA" w:rsidRPr="000221BE" w:rsidRDefault="00596DCA" w:rsidP="00D9246A">
            <w:pPr>
              <w:rPr>
                <w:rFonts w:cs="Arial"/>
                <w:szCs w:val="24"/>
              </w:rPr>
            </w:pPr>
            <w:r w:rsidRPr="000221BE">
              <w:rPr>
                <w:rFonts w:eastAsia="Aptos" w:cs="Arial"/>
                <w:color w:val="000000" w:themeColor="text1"/>
                <w:szCs w:val="24"/>
              </w:rPr>
              <w:t>Ever tried vaping</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FAD8ECA" w14:textId="31403022" w:rsidR="1014D3C0" w:rsidRPr="00595FE6" w:rsidRDefault="1014D3C0" w:rsidP="0041129F">
            <w:pPr>
              <w:pStyle w:val="ListParagraph"/>
              <w:numPr>
                <w:ilvl w:val="0"/>
                <w:numId w:val="3"/>
              </w:numPr>
              <w:jc w:val="right"/>
              <w:rPr>
                <w:rFonts w:eastAsia="Aptos" w:cs="Arial"/>
                <w:szCs w:val="24"/>
              </w:rPr>
            </w:pPr>
          </w:p>
        </w:tc>
        <w:tc>
          <w:tcPr>
            <w:tcW w:w="1311" w:type="dxa"/>
            <w:tcBorders>
              <w:top w:val="single" w:sz="8" w:space="0" w:color="auto"/>
              <w:left w:val="single" w:sz="8" w:space="0" w:color="auto"/>
              <w:bottom w:val="single" w:sz="8" w:space="0" w:color="auto"/>
              <w:right w:val="single" w:sz="8" w:space="0" w:color="auto"/>
            </w:tcBorders>
            <w:tcMar>
              <w:left w:w="108" w:type="dxa"/>
              <w:right w:w="108" w:type="dxa"/>
            </w:tcMar>
          </w:tcPr>
          <w:p w14:paraId="1664E370" w14:textId="57776809" w:rsidR="1014D3C0" w:rsidRPr="00595FE6" w:rsidRDefault="1014D3C0" w:rsidP="0041129F">
            <w:pPr>
              <w:pStyle w:val="ListParagraph"/>
              <w:numPr>
                <w:ilvl w:val="0"/>
                <w:numId w:val="2"/>
              </w:numPr>
              <w:jc w:val="right"/>
              <w:rPr>
                <w:rFonts w:eastAsia="Aptos" w:cs="Arial"/>
                <w:szCs w:val="24"/>
              </w:rPr>
            </w:pP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56518439" w14:textId="3A8D8440" w:rsidR="00596DCA" w:rsidRPr="00595FE6" w:rsidRDefault="00596DCA" w:rsidP="00BB4C01">
            <w:pPr>
              <w:jc w:val="right"/>
              <w:rPr>
                <w:rFonts w:cs="Arial"/>
                <w:szCs w:val="24"/>
              </w:rPr>
            </w:pPr>
            <w:r w:rsidRPr="00595FE6">
              <w:rPr>
                <w:rFonts w:eastAsia="Aptos" w:cs="Arial"/>
                <w:szCs w:val="24"/>
              </w:rPr>
              <w:t>33%</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0AABF001" w14:textId="39D0F1AA" w:rsidR="00596DCA" w:rsidRPr="00595FE6" w:rsidRDefault="00596DCA" w:rsidP="00BB4C01">
            <w:pPr>
              <w:jc w:val="right"/>
              <w:rPr>
                <w:rFonts w:cs="Arial"/>
                <w:szCs w:val="24"/>
              </w:rPr>
            </w:pPr>
            <w:r w:rsidRPr="00595FE6">
              <w:rPr>
                <w:rFonts w:eastAsia="Aptos" w:cs="Arial"/>
                <w:szCs w:val="24"/>
              </w:rPr>
              <w:t>21%</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1438E500" w14:textId="688BD1F3" w:rsidR="00596DCA" w:rsidRPr="00595FE6" w:rsidRDefault="00596DCA" w:rsidP="00BB4C01">
            <w:pPr>
              <w:jc w:val="right"/>
              <w:rPr>
                <w:rFonts w:cs="Arial"/>
                <w:szCs w:val="24"/>
              </w:rPr>
            </w:pPr>
            <w:r w:rsidRPr="00595FE6">
              <w:rPr>
                <w:rFonts w:eastAsia="Aptos" w:cs="Arial"/>
                <w:szCs w:val="24"/>
              </w:rPr>
              <w:t>56%</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35C559B7" w14:textId="45CC3C9F" w:rsidR="00596DCA" w:rsidRPr="00595FE6" w:rsidRDefault="00596DCA" w:rsidP="00BB4C01">
            <w:pPr>
              <w:jc w:val="right"/>
              <w:rPr>
                <w:rFonts w:cs="Arial"/>
                <w:szCs w:val="24"/>
              </w:rPr>
            </w:pPr>
            <w:r w:rsidRPr="00595FE6">
              <w:rPr>
                <w:rFonts w:eastAsia="Aptos" w:cs="Arial"/>
                <w:szCs w:val="24"/>
              </w:rPr>
              <w:t>47%</w:t>
            </w:r>
          </w:p>
        </w:tc>
      </w:tr>
      <w:tr w:rsidR="08650513" w:rsidRPr="00595FE6" w14:paraId="6DCD92EE" w14:textId="77777777" w:rsidTr="003A45D1">
        <w:trPr>
          <w:trHeight w:val="300"/>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2A31DB37" w14:textId="3832A25F" w:rsidR="08650513" w:rsidRPr="000221BE" w:rsidRDefault="63A21389" w:rsidP="00D9246A">
            <w:pPr>
              <w:rPr>
                <w:rFonts w:eastAsia="Aptos" w:cs="Arial"/>
                <w:color w:val="000000" w:themeColor="text1"/>
                <w:szCs w:val="24"/>
              </w:rPr>
            </w:pPr>
            <w:r w:rsidRPr="000221BE">
              <w:rPr>
                <w:rFonts w:eastAsia="Aptos" w:cs="Arial"/>
                <w:color w:val="000000" w:themeColor="text1"/>
                <w:szCs w:val="24"/>
              </w:rPr>
              <w:t xml:space="preserve">Does </w:t>
            </w:r>
            <w:r w:rsidRPr="000221BE">
              <w:rPr>
                <w:rFonts w:eastAsia="Aptos" w:cs="Arial"/>
                <w:bCs/>
                <w:color w:val="000000" w:themeColor="text1"/>
                <w:szCs w:val="24"/>
              </w:rPr>
              <w:t>1hr</w:t>
            </w:r>
            <w:r w:rsidRPr="000221BE">
              <w:rPr>
                <w:rFonts w:eastAsia="Aptos" w:cs="Arial"/>
                <w:color w:val="000000" w:themeColor="text1"/>
                <w:szCs w:val="24"/>
              </w:rPr>
              <w:t xml:space="preserve"> physical activity every day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1258FDF5" w14:textId="20131227" w:rsidR="15AB1518" w:rsidRPr="00595FE6" w:rsidRDefault="15AB1518" w:rsidP="00BB4C01">
            <w:pPr>
              <w:jc w:val="right"/>
              <w:rPr>
                <w:rFonts w:eastAsia="Aptos" w:cs="Arial"/>
                <w:szCs w:val="24"/>
              </w:rPr>
            </w:pPr>
            <w:r w:rsidRPr="00595FE6">
              <w:rPr>
                <w:rFonts w:eastAsia="Aptos" w:cs="Arial"/>
                <w:szCs w:val="24"/>
              </w:rPr>
              <w:t>26%</w:t>
            </w:r>
          </w:p>
        </w:tc>
        <w:tc>
          <w:tcPr>
            <w:tcW w:w="1311" w:type="dxa"/>
            <w:tcBorders>
              <w:top w:val="single" w:sz="8" w:space="0" w:color="auto"/>
              <w:left w:val="single" w:sz="8" w:space="0" w:color="auto"/>
              <w:bottom w:val="single" w:sz="8" w:space="0" w:color="auto"/>
              <w:right w:val="single" w:sz="8" w:space="0" w:color="auto"/>
            </w:tcBorders>
            <w:tcMar>
              <w:left w:w="108" w:type="dxa"/>
              <w:right w:w="108" w:type="dxa"/>
            </w:tcMar>
          </w:tcPr>
          <w:p w14:paraId="3C54FE14" w14:textId="16B2AC44" w:rsidR="15AB1518" w:rsidRPr="00595FE6" w:rsidRDefault="15AB1518" w:rsidP="00BB4C01">
            <w:pPr>
              <w:jc w:val="right"/>
              <w:rPr>
                <w:rFonts w:eastAsia="Aptos" w:cs="Arial"/>
                <w:szCs w:val="24"/>
              </w:rPr>
            </w:pPr>
            <w:r w:rsidRPr="00595FE6">
              <w:rPr>
                <w:rFonts w:eastAsia="Aptos" w:cs="Arial"/>
                <w:szCs w:val="24"/>
              </w:rPr>
              <w:t>29%</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486FA785" w14:textId="59835E33" w:rsidR="08650513" w:rsidRPr="00595FE6" w:rsidRDefault="75F9DFF6" w:rsidP="00BB4C01">
            <w:pPr>
              <w:jc w:val="right"/>
              <w:rPr>
                <w:rFonts w:eastAsia="Aptos" w:cs="Arial"/>
                <w:szCs w:val="24"/>
              </w:rPr>
            </w:pPr>
            <w:r w:rsidRPr="00595FE6">
              <w:rPr>
                <w:rFonts w:eastAsia="Aptos" w:cs="Arial"/>
                <w:szCs w:val="24"/>
              </w:rPr>
              <w:t>21%</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5411D774" w14:textId="4FBD2AE9" w:rsidR="08650513" w:rsidRPr="00595FE6" w:rsidRDefault="75F9DFF6" w:rsidP="00BB4C01">
            <w:pPr>
              <w:jc w:val="right"/>
              <w:rPr>
                <w:rFonts w:eastAsia="Aptos" w:cs="Arial"/>
                <w:szCs w:val="24"/>
              </w:rPr>
            </w:pPr>
            <w:r w:rsidRPr="00595FE6">
              <w:rPr>
                <w:rFonts w:eastAsia="Aptos" w:cs="Arial"/>
                <w:szCs w:val="24"/>
              </w:rPr>
              <w:t>23%</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0776810C" w14:textId="236D7B18" w:rsidR="08650513" w:rsidRPr="00595FE6" w:rsidRDefault="75F9DFF6" w:rsidP="00BB4C01">
            <w:pPr>
              <w:jc w:val="right"/>
              <w:rPr>
                <w:rFonts w:eastAsia="Aptos" w:cs="Arial"/>
                <w:szCs w:val="24"/>
              </w:rPr>
            </w:pPr>
            <w:r w:rsidRPr="00595FE6">
              <w:rPr>
                <w:rFonts w:eastAsia="Aptos" w:cs="Arial"/>
                <w:szCs w:val="24"/>
              </w:rPr>
              <w:t>19%</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75D21DFD" w14:textId="4DCA9BF5" w:rsidR="08650513" w:rsidRPr="00595FE6" w:rsidRDefault="75F9DFF6" w:rsidP="00BB4C01">
            <w:pPr>
              <w:jc w:val="right"/>
              <w:rPr>
                <w:rFonts w:eastAsia="Aptos" w:cs="Arial"/>
                <w:szCs w:val="24"/>
              </w:rPr>
            </w:pPr>
            <w:r w:rsidRPr="00595FE6">
              <w:rPr>
                <w:rFonts w:eastAsia="Aptos" w:cs="Arial"/>
                <w:szCs w:val="24"/>
              </w:rPr>
              <w:t>17%</w:t>
            </w:r>
          </w:p>
        </w:tc>
      </w:tr>
      <w:tr w:rsidR="76B72DAE" w:rsidRPr="00595FE6" w14:paraId="4B2DDF6C" w14:textId="77777777" w:rsidTr="003A45D1">
        <w:trPr>
          <w:trHeight w:val="1188"/>
        </w:trPr>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2E6C5969" w14:textId="638EDD1B" w:rsidR="76B72DAE" w:rsidRPr="000221BE" w:rsidRDefault="00BB4C01" w:rsidP="00D9246A">
            <w:pPr>
              <w:rPr>
                <w:rFonts w:eastAsia="Aptos" w:cs="Arial"/>
                <w:color w:val="000000" w:themeColor="text1"/>
                <w:szCs w:val="24"/>
              </w:rPr>
            </w:pPr>
            <w:r w:rsidRPr="000221BE">
              <w:rPr>
                <w:rFonts w:eastAsia="Aptos" w:cs="Arial"/>
                <w:color w:val="000000" w:themeColor="text1"/>
                <w:szCs w:val="24"/>
              </w:rPr>
              <w:t>Ate</w:t>
            </w:r>
            <w:r w:rsidR="63A21389" w:rsidRPr="000221BE">
              <w:rPr>
                <w:rFonts w:eastAsia="Aptos" w:cs="Arial"/>
                <w:color w:val="000000" w:themeColor="text1"/>
                <w:szCs w:val="24"/>
              </w:rPr>
              <w:t xml:space="preserve"> 5</w:t>
            </w:r>
            <w:r w:rsidRPr="000221BE">
              <w:rPr>
                <w:rFonts w:eastAsia="Aptos" w:cs="Arial"/>
                <w:color w:val="000000" w:themeColor="text1"/>
                <w:szCs w:val="24"/>
              </w:rPr>
              <w:t xml:space="preserve">+ portions of fruit or </w:t>
            </w:r>
            <w:r w:rsidRPr="000221BE">
              <w:rPr>
                <w:rFonts w:eastAsia="Aptos" w:cs="Arial"/>
                <w:bCs/>
                <w:color w:val="000000" w:themeColor="text1"/>
                <w:szCs w:val="24"/>
              </w:rPr>
              <w:t>veg</w:t>
            </w:r>
            <w:r w:rsidR="63A21389" w:rsidRPr="000221BE">
              <w:rPr>
                <w:rFonts w:eastAsia="Aptos" w:cs="Arial"/>
                <w:bCs/>
                <w:color w:val="000000" w:themeColor="text1"/>
                <w:szCs w:val="24"/>
              </w:rPr>
              <w:t xml:space="preserve"> prev</w:t>
            </w:r>
            <w:r w:rsidR="003A45D1">
              <w:rPr>
                <w:rFonts w:eastAsia="Aptos" w:cs="Arial"/>
                <w:bCs/>
                <w:color w:val="000000" w:themeColor="text1"/>
                <w:szCs w:val="24"/>
              </w:rPr>
              <w:t>.</w:t>
            </w:r>
            <w:r w:rsidR="63A21389" w:rsidRPr="000221BE">
              <w:rPr>
                <w:rFonts w:eastAsia="Aptos" w:cs="Arial"/>
                <w:color w:val="000000" w:themeColor="text1"/>
                <w:szCs w:val="24"/>
              </w:rPr>
              <w:t xml:space="preserve"> day</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0009C35" w14:textId="757E6D7F" w:rsidR="27204755" w:rsidRPr="00595FE6" w:rsidRDefault="27204755" w:rsidP="00BB4C01">
            <w:pPr>
              <w:jc w:val="right"/>
              <w:rPr>
                <w:rFonts w:eastAsia="Aptos" w:cs="Arial"/>
                <w:szCs w:val="24"/>
              </w:rPr>
            </w:pPr>
            <w:r w:rsidRPr="00595FE6">
              <w:rPr>
                <w:rFonts w:eastAsia="Aptos" w:cs="Arial"/>
                <w:szCs w:val="24"/>
              </w:rPr>
              <w:t>64%</w:t>
            </w:r>
          </w:p>
        </w:tc>
        <w:tc>
          <w:tcPr>
            <w:tcW w:w="1311" w:type="dxa"/>
            <w:tcBorders>
              <w:top w:val="single" w:sz="8" w:space="0" w:color="auto"/>
              <w:left w:val="single" w:sz="8" w:space="0" w:color="auto"/>
              <w:bottom w:val="single" w:sz="8" w:space="0" w:color="auto"/>
              <w:right w:val="single" w:sz="8" w:space="0" w:color="auto"/>
            </w:tcBorders>
            <w:tcMar>
              <w:left w:w="108" w:type="dxa"/>
              <w:right w:w="108" w:type="dxa"/>
            </w:tcMar>
          </w:tcPr>
          <w:p w14:paraId="192057A2" w14:textId="5F6147A3" w:rsidR="27204755" w:rsidRPr="00595FE6" w:rsidRDefault="27204755" w:rsidP="00BB4C01">
            <w:pPr>
              <w:jc w:val="right"/>
              <w:rPr>
                <w:rFonts w:eastAsia="Aptos" w:cs="Arial"/>
                <w:szCs w:val="24"/>
              </w:rPr>
            </w:pPr>
            <w:r w:rsidRPr="00595FE6">
              <w:rPr>
                <w:rFonts w:eastAsia="Aptos" w:cs="Arial"/>
                <w:szCs w:val="24"/>
              </w:rPr>
              <w:t>71%</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4031E650" w14:textId="56F4CB32" w:rsidR="76B72DAE" w:rsidRPr="00595FE6" w:rsidRDefault="6A682B34" w:rsidP="00BB4C01">
            <w:pPr>
              <w:jc w:val="right"/>
              <w:rPr>
                <w:rFonts w:eastAsia="Aptos" w:cs="Arial"/>
                <w:szCs w:val="24"/>
              </w:rPr>
            </w:pPr>
            <w:r w:rsidRPr="00595FE6">
              <w:rPr>
                <w:rFonts w:eastAsia="Aptos" w:cs="Arial"/>
                <w:szCs w:val="24"/>
              </w:rPr>
              <w:t>57%</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1C086DBB" w14:textId="3991AE47" w:rsidR="76B72DAE" w:rsidRPr="00595FE6" w:rsidRDefault="6A682B34" w:rsidP="00BB4C01">
            <w:pPr>
              <w:jc w:val="right"/>
              <w:rPr>
                <w:rFonts w:eastAsia="Aptos" w:cs="Arial"/>
                <w:szCs w:val="24"/>
              </w:rPr>
            </w:pPr>
            <w:r w:rsidRPr="00595FE6">
              <w:rPr>
                <w:rFonts w:eastAsia="Aptos" w:cs="Arial"/>
                <w:szCs w:val="24"/>
              </w:rPr>
              <w:t>62%</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6104092B" w14:textId="46DECB0E" w:rsidR="76B72DAE" w:rsidRPr="00595FE6" w:rsidRDefault="7D5CF8F3" w:rsidP="00BB4C01">
            <w:pPr>
              <w:jc w:val="right"/>
              <w:rPr>
                <w:rFonts w:eastAsia="Aptos" w:cs="Arial"/>
                <w:szCs w:val="24"/>
              </w:rPr>
            </w:pPr>
            <w:r w:rsidRPr="00595FE6">
              <w:rPr>
                <w:rFonts w:eastAsia="Aptos" w:cs="Arial"/>
                <w:szCs w:val="24"/>
              </w:rPr>
              <w:t>46%</w:t>
            </w:r>
          </w:p>
        </w:tc>
        <w:tc>
          <w:tcPr>
            <w:tcW w:w="1336" w:type="dxa"/>
            <w:tcBorders>
              <w:top w:val="single" w:sz="8" w:space="0" w:color="auto"/>
              <w:left w:val="single" w:sz="8" w:space="0" w:color="auto"/>
              <w:bottom w:val="single" w:sz="8" w:space="0" w:color="auto"/>
              <w:right w:val="single" w:sz="8" w:space="0" w:color="auto"/>
            </w:tcBorders>
            <w:tcMar>
              <w:left w:w="108" w:type="dxa"/>
              <w:right w:w="108" w:type="dxa"/>
            </w:tcMar>
          </w:tcPr>
          <w:p w14:paraId="26968147" w14:textId="3F939DD0" w:rsidR="76B72DAE" w:rsidRPr="00595FE6" w:rsidRDefault="7D5CF8F3" w:rsidP="00BB4C01">
            <w:pPr>
              <w:jc w:val="right"/>
              <w:rPr>
                <w:rFonts w:eastAsia="Aptos" w:cs="Arial"/>
                <w:szCs w:val="24"/>
              </w:rPr>
            </w:pPr>
            <w:r w:rsidRPr="00595FE6">
              <w:rPr>
                <w:rFonts w:eastAsia="Aptos" w:cs="Arial"/>
                <w:szCs w:val="24"/>
              </w:rPr>
              <w:t>51%</w:t>
            </w:r>
          </w:p>
        </w:tc>
      </w:tr>
    </w:tbl>
    <w:p w14:paraId="3A7C3108" w14:textId="33C6E3FC" w:rsidR="6FB58D14" w:rsidRPr="00595FE6" w:rsidRDefault="6FB58D14" w:rsidP="00D9246A">
      <w:pPr>
        <w:spacing w:line="240" w:lineRule="auto"/>
        <w:rPr>
          <w:rFonts w:cs="Arial"/>
          <w:color w:val="000000" w:themeColor="text1"/>
          <w:szCs w:val="24"/>
        </w:rPr>
      </w:pPr>
      <w:r w:rsidRPr="000221BE">
        <w:rPr>
          <w:rFonts w:cs="Arial"/>
          <w:b/>
          <w:color w:val="000000" w:themeColor="text1"/>
          <w:szCs w:val="24"/>
        </w:rPr>
        <w:t>Source:</w:t>
      </w:r>
      <w:r w:rsidRPr="0091285A">
        <w:rPr>
          <w:rFonts w:cs="Arial"/>
          <w:color w:val="000000" w:themeColor="text1"/>
          <w:szCs w:val="24"/>
        </w:rPr>
        <w:t xml:space="preserve"> Safe</w:t>
      </w:r>
      <w:r w:rsidRPr="00595FE6">
        <w:rPr>
          <w:rFonts w:cs="Arial"/>
          <w:color w:val="000000" w:themeColor="text1"/>
          <w:szCs w:val="24"/>
        </w:rPr>
        <w:t xml:space="preserve"> and Well at School Survey, Brighton &amp; Hove City Council and University of Sussex</w:t>
      </w:r>
    </w:p>
    <w:p w14:paraId="4BE07938" w14:textId="23BF8679" w:rsidR="0073021E" w:rsidRPr="00102F0B" w:rsidRDefault="00735C0F" w:rsidP="0096012C">
      <w:pPr>
        <w:pStyle w:val="Heading3"/>
      </w:pPr>
      <w:r w:rsidRPr="00102F0B">
        <w:t>Health Counts Survey 2024</w:t>
      </w:r>
    </w:p>
    <w:p w14:paraId="0892C1DC" w14:textId="4DB2549D" w:rsidR="00570958" w:rsidRPr="00595FE6" w:rsidRDefault="00570958" w:rsidP="00D9246A">
      <w:pPr>
        <w:spacing w:line="240" w:lineRule="auto"/>
        <w:rPr>
          <w:rFonts w:cs="Arial"/>
          <w:szCs w:val="24"/>
        </w:rPr>
      </w:pPr>
      <w:r w:rsidRPr="00595FE6">
        <w:rPr>
          <w:rFonts w:cs="Arial"/>
          <w:szCs w:val="24"/>
        </w:rPr>
        <w:t xml:space="preserve">Health Counts is a health and wellbeing survey of Brighton &amp; Hove residents conducted once a decade. It asks questions about the health and lifestyle issues local people experience and provides important evidence of inequalities in parts of the city and faced by particular groups. </w:t>
      </w:r>
    </w:p>
    <w:p w14:paraId="55755B18" w14:textId="21C61F4F" w:rsidR="00570958" w:rsidRPr="00595FE6" w:rsidRDefault="00570958" w:rsidP="00D9246A">
      <w:pPr>
        <w:spacing w:line="240" w:lineRule="auto"/>
        <w:rPr>
          <w:rFonts w:cs="Arial"/>
          <w:szCs w:val="24"/>
        </w:rPr>
      </w:pPr>
      <w:r w:rsidRPr="00595FE6">
        <w:rPr>
          <w:rFonts w:cs="Arial"/>
          <w:szCs w:val="24"/>
        </w:rPr>
        <w:lastRenderedPageBreak/>
        <w:t xml:space="preserve">The </w:t>
      </w:r>
      <w:r w:rsidRPr="008C0D2C">
        <w:rPr>
          <w:rFonts w:cs="Arial"/>
          <w:szCs w:val="24"/>
        </w:rPr>
        <w:t>2024 Health Counts survey</w:t>
      </w:r>
      <w:r w:rsidR="00C87240">
        <w:rPr>
          <w:rStyle w:val="EndnoteReference"/>
        </w:rPr>
        <w:endnoteReference w:id="58"/>
      </w:r>
      <w:r w:rsidRPr="00595FE6">
        <w:rPr>
          <w:rFonts w:cs="Arial"/>
          <w:szCs w:val="24"/>
        </w:rPr>
        <w:t xml:space="preserve"> was conducted by researchers at the University of Brighton, in collaboration with Brighton &amp; Hove Medical School, NHS Sussex, Healthwatch Brighton &amp; Hove, Brighton &amp; Hove Federation and Brighton &amp; Hove City Council Public Health Intelligence team. It was funded by Public Health and had ethics approval from the NHS and University.</w:t>
      </w:r>
    </w:p>
    <w:p w14:paraId="12349A83" w14:textId="40522B07" w:rsidR="00570958" w:rsidRPr="00595FE6" w:rsidRDefault="00570958" w:rsidP="00D9246A">
      <w:pPr>
        <w:spacing w:line="240" w:lineRule="auto"/>
        <w:rPr>
          <w:rFonts w:cs="Arial"/>
          <w:szCs w:val="24"/>
        </w:rPr>
      </w:pPr>
      <w:r w:rsidRPr="00595FE6">
        <w:rPr>
          <w:rFonts w:cs="Arial"/>
          <w:szCs w:val="24"/>
        </w:rPr>
        <w:t xml:space="preserve">The </w:t>
      </w:r>
      <w:r w:rsidR="00A7542C" w:rsidRPr="00595FE6">
        <w:rPr>
          <w:rFonts w:cs="Arial"/>
          <w:szCs w:val="24"/>
        </w:rPr>
        <w:t xml:space="preserve">previous </w:t>
      </w:r>
      <w:r w:rsidRPr="00595FE6">
        <w:rPr>
          <w:rFonts w:cs="Arial"/>
          <w:szCs w:val="24"/>
        </w:rPr>
        <w:t>survey</w:t>
      </w:r>
      <w:r w:rsidR="00A7542C" w:rsidRPr="00595FE6">
        <w:rPr>
          <w:rFonts w:cs="Arial"/>
          <w:szCs w:val="24"/>
        </w:rPr>
        <w:t>s were</w:t>
      </w:r>
      <w:r w:rsidRPr="00595FE6">
        <w:rPr>
          <w:rFonts w:cs="Arial"/>
          <w:szCs w:val="24"/>
        </w:rPr>
        <w:t xml:space="preserve"> postal survey</w:t>
      </w:r>
      <w:r w:rsidR="00A7542C" w:rsidRPr="00595FE6">
        <w:rPr>
          <w:rFonts w:cs="Arial"/>
          <w:szCs w:val="24"/>
        </w:rPr>
        <w:t xml:space="preserve">. In 2024 this moved to </w:t>
      </w:r>
      <w:r w:rsidRPr="00595FE6">
        <w:rPr>
          <w:rFonts w:cs="Arial"/>
          <w:szCs w:val="24"/>
        </w:rPr>
        <w:t>an online survey</w:t>
      </w:r>
      <w:r w:rsidR="00682B05" w:rsidRPr="00595FE6">
        <w:rPr>
          <w:rFonts w:cs="Arial"/>
          <w:szCs w:val="24"/>
        </w:rPr>
        <w:t>.</w:t>
      </w:r>
      <w:r w:rsidR="00A7542C" w:rsidRPr="00595FE6">
        <w:rPr>
          <w:rFonts w:cs="Arial"/>
          <w:szCs w:val="24"/>
        </w:rPr>
        <w:t xml:space="preserve"> T</w:t>
      </w:r>
      <w:r w:rsidRPr="00595FE6">
        <w:rPr>
          <w:rFonts w:cs="Arial"/>
          <w:szCs w:val="24"/>
        </w:rPr>
        <w:t xml:space="preserve">he main route of invitation </w:t>
      </w:r>
      <w:r w:rsidR="00A7542C" w:rsidRPr="00595FE6">
        <w:rPr>
          <w:rFonts w:cs="Arial"/>
          <w:szCs w:val="24"/>
        </w:rPr>
        <w:t xml:space="preserve">was </w:t>
      </w:r>
      <w:r w:rsidRPr="00595FE6">
        <w:rPr>
          <w:rFonts w:cs="Arial"/>
          <w:szCs w:val="24"/>
        </w:rPr>
        <w:t>through GP practice text message</w:t>
      </w:r>
      <w:r w:rsidR="00A7542C" w:rsidRPr="00595FE6">
        <w:rPr>
          <w:rFonts w:cs="Arial"/>
          <w:szCs w:val="24"/>
        </w:rPr>
        <w:t xml:space="preserve"> invitation for all registered patients aged 18 </w:t>
      </w:r>
      <w:r w:rsidR="00E2713D" w:rsidRPr="00595FE6">
        <w:rPr>
          <w:rFonts w:cs="Arial"/>
          <w:szCs w:val="24"/>
        </w:rPr>
        <w:t>ye</w:t>
      </w:r>
      <w:r w:rsidR="00A7542C" w:rsidRPr="00595FE6">
        <w:rPr>
          <w:rFonts w:cs="Arial"/>
          <w:szCs w:val="24"/>
        </w:rPr>
        <w:t>ars or over, without a national data opt out. There was also</w:t>
      </w:r>
      <w:r w:rsidRPr="00595FE6">
        <w:rPr>
          <w:rFonts w:cs="Arial"/>
          <w:szCs w:val="24"/>
        </w:rPr>
        <w:t xml:space="preserve"> wider promotion and supported completion in some settings</w:t>
      </w:r>
      <w:r w:rsidR="00A7542C" w:rsidRPr="00595FE6">
        <w:rPr>
          <w:rFonts w:cs="Arial"/>
          <w:szCs w:val="24"/>
        </w:rPr>
        <w:t>, targeted to include those that might be more likely not to be registered with a GP practice and groups who might face digital exclusion</w:t>
      </w:r>
      <w:r w:rsidRPr="00595FE6">
        <w:rPr>
          <w:rFonts w:cs="Arial"/>
          <w:szCs w:val="24"/>
        </w:rPr>
        <w:t>.</w:t>
      </w:r>
    </w:p>
    <w:p w14:paraId="4CB562F4" w14:textId="2832435D" w:rsidR="00570958" w:rsidRPr="00595FE6" w:rsidRDefault="00570958" w:rsidP="00D9246A">
      <w:pPr>
        <w:spacing w:line="240" w:lineRule="auto"/>
        <w:rPr>
          <w:rFonts w:cs="Arial"/>
          <w:szCs w:val="24"/>
        </w:rPr>
      </w:pPr>
      <w:r w:rsidRPr="00595FE6">
        <w:rPr>
          <w:rFonts w:cs="Arial"/>
          <w:szCs w:val="24"/>
        </w:rPr>
        <w:t>There were 16,729 respondents to the survey, 7.2% of the resident population aged 18 years or over. Results are weighted for age, gender and deprivation quintile to be more representative of the city.</w:t>
      </w:r>
    </w:p>
    <w:p w14:paraId="7CA9EF0F" w14:textId="0DB5818C" w:rsidR="00735C0F" w:rsidRPr="00595FE6" w:rsidRDefault="00570958" w:rsidP="00D9246A">
      <w:pPr>
        <w:spacing w:line="240" w:lineRule="auto"/>
        <w:rPr>
          <w:rFonts w:cs="Arial"/>
          <w:szCs w:val="24"/>
        </w:rPr>
      </w:pPr>
      <w:r w:rsidRPr="00595FE6">
        <w:rPr>
          <w:rFonts w:cs="Arial"/>
          <w:szCs w:val="24"/>
        </w:rPr>
        <w:t>There were 2,821 respondents aged 18-24 years (weighted base).</w:t>
      </w:r>
      <w:r w:rsidR="00A7542C" w:rsidRPr="00595FE6">
        <w:rPr>
          <w:rFonts w:cs="Arial"/>
          <w:szCs w:val="24"/>
        </w:rPr>
        <w:t xml:space="preserve"> </w:t>
      </w:r>
      <w:r w:rsidRPr="00595FE6">
        <w:rPr>
          <w:rFonts w:cs="Arial"/>
          <w:szCs w:val="24"/>
        </w:rPr>
        <w:t>This large sample enables us to do more inequalities analysis than in previous surveys.</w:t>
      </w:r>
    </w:p>
    <w:p w14:paraId="3B480966" w14:textId="7EE81D9B" w:rsidR="00C014D2" w:rsidRPr="00595FE6" w:rsidRDefault="00C014D2" w:rsidP="00D9246A">
      <w:pPr>
        <w:spacing w:line="240" w:lineRule="auto"/>
        <w:rPr>
          <w:rFonts w:cs="Arial"/>
          <w:szCs w:val="24"/>
        </w:rPr>
      </w:pPr>
      <w:r w:rsidRPr="00595FE6">
        <w:rPr>
          <w:rFonts w:cs="Arial"/>
          <w:szCs w:val="24"/>
        </w:rPr>
        <w:t>The survey used the 2021 Census questions with people who assessed their day-to-day activities as limited by long-term physical or mental health conditions or illnesses classified as disabled. This definition of a disabled person meets the harmonised standard for measuring disability in line with the Equality Act (2010). We recognise that there are limitations with this question –it was used as allows comparability with the Census.</w:t>
      </w:r>
    </w:p>
    <w:p w14:paraId="559D56CF" w14:textId="7D8B9992" w:rsidR="00C014D2" w:rsidRPr="00595FE6" w:rsidRDefault="00C014D2" w:rsidP="00D9246A">
      <w:pPr>
        <w:spacing w:line="240" w:lineRule="auto"/>
        <w:rPr>
          <w:rFonts w:cs="Arial"/>
          <w:szCs w:val="24"/>
        </w:rPr>
      </w:pPr>
      <w:r w:rsidRPr="00595FE6">
        <w:rPr>
          <w:rFonts w:cs="Arial"/>
          <w:szCs w:val="24"/>
        </w:rPr>
        <w:t xml:space="preserve">In this initial analysis we included anyone who said they had a long-term </w:t>
      </w:r>
      <w:r w:rsidR="00E35D62" w:rsidRPr="00595FE6">
        <w:rPr>
          <w:rFonts w:cs="Arial"/>
          <w:szCs w:val="24"/>
        </w:rPr>
        <w:t>condition but</w:t>
      </w:r>
      <w:r w:rsidRPr="00595FE6">
        <w:rPr>
          <w:rFonts w:cs="Arial"/>
          <w:szCs w:val="24"/>
        </w:rPr>
        <w:t xml:space="preserve"> did</w:t>
      </w:r>
      <w:r w:rsidR="00BA2491">
        <w:rPr>
          <w:rFonts w:cs="Arial"/>
          <w:szCs w:val="24"/>
        </w:rPr>
        <w:t xml:space="preserve"> </w:t>
      </w:r>
      <w:r w:rsidR="00BA2491" w:rsidRPr="00595FE6">
        <w:rPr>
          <w:rFonts w:cs="Arial"/>
          <w:szCs w:val="24"/>
        </w:rPr>
        <w:t>not</w:t>
      </w:r>
      <w:r w:rsidRPr="00595FE6">
        <w:rPr>
          <w:rFonts w:cs="Arial"/>
          <w:szCs w:val="24"/>
        </w:rPr>
        <w:t xml:space="preserve"> exclude those who said activities were</w:t>
      </w:r>
      <w:r w:rsidR="00BA2491">
        <w:rPr>
          <w:rFonts w:cs="Arial"/>
          <w:szCs w:val="24"/>
        </w:rPr>
        <w:t xml:space="preserve"> </w:t>
      </w:r>
      <w:r w:rsidR="00BA2491" w:rsidRPr="00595FE6">
        <w:rPr>
          <w:rFonts w:cs="Arial"/>
          <w:szCs w:val="24"/>
        </w:rPr>
        <w:t>not</w:t>
      </w:r>
      <w:r w:rsidRPr="00595FE6">
        <w:rPr>
          <w:rFonts w:cs="Arial"/>
          <w:szCs w:val="24"/>
        </w:rPr>
        <w:t xml:space="preserve"> limited. This will be the next stage of analysis.</w:t>
      </w:r>
    </w:p>
    <w:p w14:paraId="7C5BAC35" w14:textId="46DD4845" w:rsidR="00A7542C" w:rsidRPr="00595FE6" w:rsidRDefault="00C014D2" w:rsidP="00D9246A">
      <w:pPr>
        <w:spacing w:line="240" w:lineRule="auto"/>
        <w:rPr>
          <w:rFonts w:cs="Arial"/>
          <w:szCs w:val="24"/>
        </w:rPr>
      </w:pPr>
      <w:r w:rsidRPr="00595FE6">
        <w:rPr>
          <w:rFonts w:cs="Arial"/>
          <w:szCs w:val="24"/>
        </w:rPr>
        <w:t>We then used the breakdown from the Brighton &amp; Hove City Council equalities monitoring form for physical and mental health and neurodiversity.</w:t>
      </w:r>
    </w:p>
    <w:p w14:paraId="4A8B62E7" w14:textId="61C0BA49" w:rsidR="00DE4C46" w:rsidRPr="00595FE6" w:rsidRDefault="00DE4C46" w:rsidP="00DE4C46">
      <w:pPr>
        <w:spacing w:line="240" w:lineRule="auto"/>
        <w:rPr>
          <w:rFonts w:cs="Arial"/>
          <w:color w:val="000000" w:themeColor="text1"/>
          <w:szCs w:val="24"/>
        </w:rPr>
      </w:pPr>
      <w:r w:rsidRPr="00595FE6">
        <w:rPr>
          <w:rFonts w:cs="Arial"/>
          <w:color w:val="000000" w:themeColor="text1"/>
          <w:szCs w:val="24"/>
        </w:rPr>
        <w:t>It should be noted that the survey was not available in an easy read format and so prevalence of some conditions may be lower in the survey. This may be particularly the case for people with learning disabilities.</w:t>
      </w:r>
    </w:p>
    <w:p w14:paraId="7C1EF4A7" w14:textId="0042BF65" w:rsidR="002C69D1" w:rsidRDefault="007A34BF" w:rsidP="00D9246A">
      <w:pPr>
        <w:spacing w:line="240" w:lineRule="auto"/>
        <w:rPr>
          <w:rFonts w:cs="Arial"/>
          <w:szCs w:val="24"/>
        </w:rPr>
      </w:pPr>
      <w:r w:rsidRPr="00595FE6">
        <w:rPr>
          <w:rFonts w:cs="Arial"/>
          <w:szCs w:val="24"/>
        </w:rPr>
        <w:t>There were 1,5</w:t>
      </w:r>
      <w:r w:rsidR="00BA46CC">
        <w:rPr>
          <w:rFonts w:cs="Arial"/>
          <w:szCs w:val="24"/>
        </w:rPr>
        <w:t>3</w:t>
      </w:r>
      <w:r w:rsidRPr="00595FE6">
        <w:rPr>
          <w:rFonts w:cs="Arial"/>
          <w:szCs w:val="24"/>
        </w:rPr>
        <w:t>0 respondents aged 18 to 24 years (54% of respondents aged 18-24) who said that they had a physical, mental health condition or illness or neurodiver</w:t>
      </w:r>
      <w:r w:rsidR="00DE4C46" w:rsidRPr="00595FE6">
        <w:rPr>
          <w:rFonts w:cs="Arial"/>
          <w:szCs w:val="24"/>
        </w:rPr>
        <w:t>gent</w:t>
      </w:r>
      <w:r w:rsidRPr="00595FE6">
        <w:rPr>
          <w:rFonts w:cs="Arial"/>
          <w:szCs w:val="24"/>
        </w:rPr>
        <w:t>.</w:t>
      </w:r>
    </w:p>
    <w:p w14:paraId="044DF23B" w14:textId="3722ACC6" w:rsidR="00DE4C46" w:rsidRDefault="00DE4C46" w:rsidP="00DE4C46">
      <w:pPr>
        <w:spacing w:line="240" w:lineRule="auto"/>
        <w:rPr>
          <w:rFonts w:cs="Arial"/>
          <w:color w:val="000000" w:themeColor="text1"/>
          <w:szCs w:val="24"/>
        </w:rPr>
      </w:pPr>
      <w:r w:rsidRPr="00595FE6">
        <w:rPr>
          <w:rFonts w:cs="Arial"/>
          <w:color w:val="000000" w:themeColor="text1"/>
          <w:szCs w:val="24"/>
        </w:rPr>
        <w:t>The most commonly reported were mental health (1,016, 36% of respondents in this age group), Autism and/or learning difference (764, 27%) followed by physical illness/condition (320, 11%)</w:t>
      </w:r>
      <w:r w:rsidR="00A62A6C">
        <w:rPr>
          <w:rFonts w:cs="Arial"/>
          <w:color w:val="000000" w:themeColor="text1"/>
          <w:szCs w:val="24"/>
        </w:rPr>
        <w:t xml:space="preserve"> (</w:t>
      </w:r>
      <w:r w:rsidR="00A62A6C" w:rsidRPr="007E2AD1">
        <w:rPr>
          <w:rFonts w:cs="Arial"/>
          <w:color w:val="000000" w:themeColor="text1"/>
          <w:szCs w:val="24"/>
        </w:rPr>
        <w:t>Figure 1</w:t>
      </w:r>
      <w:r w:rsidR="00E53155" w:rsidRPr="007E2AD1">
        <w:rPr>
          <w:rFonts w:cs="Arial"/>
          <w:color w:val="000000" w:themeColor="text1"/>
          <w:szCs w:val="24"/>
        </w:rPr>
        <w:t>8</w:t>
      </w:r>
      <w:r w:rsidR="00A62A6C">
        <w:rPr>
          <w:rFonts w:cs="Arial"/>
          <w:color w:val="000000" w:themeColor="text1"/>
          <w:szCs w:val="24"/>
        </w:rPr>
        <w:t>).</w:t>
      </w:r>
      <w:r w:rsidRPr="00595FE6">
        <w:rPr>
          <w:rFonts w:cs="Arial"/>
          <w:color w:val="000000" w:themeColor="text1"/>
          <w:szCs w:val="24"/>
        </w:rPr>
        <w:t xml:space="preserve"> </w:t>
      </w:r>
    </w:p>
    <w:p w14:paraId="7F49177A" w14:textId="71AA46DC" w:rsidR="00D74B71" w:rsidRPr="00D74B71" w:rsidRDefault="00D74B71" w:rsidP="00D9246A">
      <w:pPr>
        <w:spacing w:line="240" w:lineRule="auto"/>
        <w:rPr>
          <w:rFonts w:cs="Arial"/>
          <w:szCs w:val="24"/>
        </w:rPr>
      </w:pPr>
      <w:r>
        <w:rPr>
          <w:rFonts w:cs="Arial"/>
          <w:szCs w:val="24"/>
        </w:rPr>
        <w:t xml:space="preserve">Neurodivergent young people include those that ticked the </w:t>
      </w:r>
      <w:r>
        <w:rPr>
          <w:rFonts w:cs="Arial"/>
          <w:color w:val="000000" w:themeColor="text1"/>
          <w:szCs w:val="24"/>
        </w:rPr>
        <w:t>A</w:t>
      </w:r>
      <w:r w:rsidRPr="00595FE6">
        <w:rPr>
          <w:rFonts w:cs="Arial"/>
          <w:color w:val="000000" w:themeColor="text1"/>
          <w:szCs w:val="24"/>
        </w:rPr>
        <w:t>utism</w:t>
      </w:r>
      <w:r>
        <w:rPr>
          <w:rFonts w:cs="Arial"/>
          <w:color w:val="000000" w:themeColor="text1"/>
          <w:szCs w:val="24"/>
        </w:rPr>
        <w:t xml:space="preserve"> </w:t>
      </w:r>
      <w:r w:rsidRPr="00595FE6">
        <w:rPr>
          <w:rFonts w:cs="Arial"/>
          <w:color w:val="000000" w:themeColor="text1"/>
          <w:szCs w:val="24"/>
        </w:rPr>
        <w:t>and/or learning difference (</w:t>
      </w:r>
      <w:r>
        <w:rPr>
          <w:rFonts w:cs="Arial"/>
          <w:color w:val="000000" w:themeColor="text1"/>
          <w:szCs w:val="24"/>
        </w:rPr>
        <w:t>e.g. ADHD, Dyslexia, dyspraxia) question options in the survey.</w:t>
      </w:r>
    </w:p>
    <w:p w14:paraId="542BF7C3" w14:textId="204F77EA" w:rsidR="004B78ED" w:rsidRPr="003A45D1" w:rsidRDefault="004B78ED" w:rsidP="00D9246A">
      <w:pPr>
        <w:spacing w:line="240" w:lineRule="auto"/>
        <w:rPr>
          <w:b/>
          <w:color w:val="A65588"/>
        </w:rPr>
      </w:pPr>
      <w:r w:rsidRPr="003A45D1">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18</w:t>
      </w:r>
      <w:r w:rsidR="00CA2D43">
        <w:rPr>
          <w:b/>
          <w:color w:val="A65588"/>
        </w:rPr>
        <w:fldChar w:fldCharType="end"/>
      </w:r>
      <w:r w:rsidRPr="003A45D1">
        <w:rPr>
          <w:b/>
          <w:color w:val="A65588"/>
        </w:rPr>
        <w:t>: Percentage of</w:t>
      </w:r>
      <w:r w:rsidRPr="003A45D1">
        <w:rPr>
          <w:b/>
          <w:bCs/>
          <w:color w:val="A65588"/>
        </w:rPr>
        <w:t xml:space="preserve"> </w:t>
      </w:r>
      <w:r w:rsidR="003A45D1">
        <w:rPr>
          <w:b/>
          <w:bCs/>
          <w:color w:val="A65588"/>
        </w:rPr>
        <w:t>people with</w:t>
      </w:r>
      <w:r>
        <w:rPr>
          <w:b/>
          <w:color w:val="A65588"/>
        </w:rPr>
        <w:t xml:space="preserve"> </w:t>
      </w:r>
      <w:r w:rsidRPr="003A45D1">
        <w:rPr>
          <w:b/>
          <w:color w:val="A65588"/>
        </w:rPr>
        <w:t>physical or mental health conditions or illnesses lasting or expected to last 12 months or mor</w:t>
      </w:r>
      <w:r w:rsidR="00B71A2E" w:rsidRPr="003A45D1">
        <w:rPr>
          <w:b/>
          <w:color w:val="A65588"/>
        </w:rPr>
        <w:t>e, respondents</w:t>
      </w:r>
      <w:r w:rsidRPr="003A45D1">
        <w:rPr>
          <w:b/>
          <w:color w:val="A65588"/>
        </w:rPr>
        <w:t xml:space="preserve"> aged 18-24 years, Health Counts</w:t>
      </w:r>
      <w:r w:rsidR="00CB2E13" w:rsidRPr="003A45D1">
        <w:rPr>
          <w:b/>
          <w:color w:val="A65588"/>
        </w:rPr>
        <w:t xml:space="preserve"> survey</w:t>
      </w:r>
      <w:r w:rsidRPr="003A45D1">
        <w:rPr>
          <w:b/>
          <w:color w:val="A65588"/>
        </w:rPr>
        <w:t>, Brighton &amp; Hove</w:t>
      </w:r>
      <w:r w:rsidR="00CB2E13" w:rsidRPr="003A45D1">
        <w:rPr>
          <w:b/>
          <w:color w:val="A65588"/>
        </w:rPr>
        <w:t>, 2024</w:t>
      </w:r>
    </w:p>
    <w:p w14:paraId="34A9395F" w14:textId="69233109" w:rsidR="004D3C29" w:rsidRPr="00595FE6" w:rsidRDefault="004D3C29" w:rsidP="00DE4C46">
      <w:pPr>
        <w:spacing w:line="240" w:lineRule="auto"/>
        <w:rPr>
          <w:rFonts w:cs="Arial"/>
          <w:color w:val="000000" w:themeColor="text1"/>
          <w:szCs w:val="24"/>
        </w:rPr>
      </w:pPr>
      <w:r w:rsidRPr="004D3C29">
        <w:rPr>
          <w:rFonts w:cs="Arial"/>
          <w:noProof/>
          <w:color w:val="000000" w:themeColor="text1"/>
          <w:szCs w:val="24"/>
        </w:rPr>
        <w:lastRenderedPageBreak/>
        <w:drawing>
          <wp:inline distT="0" distB="0" distL="0" distR="0" wp14:anchorId="061D25BA" wp14:editId="17556D73">
            <wp:extent cx="5676900" cy="4128710"/>
            <wp:effectExtent l="0" t="0" r="0" b="5715"/>
            <wp:docPr id="665186335" name="Picture 1" descr="A bar chart showing physical or mental health conditions or illnesses lasting or expected to last 12 months or more, respondents aged 18-24 years, Health Counts 2024, Brighton &amp; Hove.&#10;&#10;There were 1530 (54%) of respondents aged 18 to 24 years who said that they had a physical, mental health condition or illness or neurodivergent. The most commonly reported were mental health (1,016, 36% of respondents in this age group), Autism and/or learning difference (764, 27%) followed by physical illness/condition (320, 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186335" name="Picture 1" descr="A bar chart showing physical or mental health conditions or illnesses lasting or expected to last 12 months or more, respondents aged 18-24 years, Health Counts 2024, Brighton &amp; Hove.&#10;&#10;There were 1530 (54%) of respondents aged 18 to 24 years who said that they had a physical, mental health condition or illness or neurodivergent. The most commonly reported were mental health (1,016, 36% of respondents in this age group), Autism and/or learning difference (764, 27%) followed by physical illness/condition (320, 11%). "/>
                    <pic:cNvPicPr/>
                  </pic:nvPicPr>
                  <pic:blipFill>
                    <a:blip r:embed="rId69"/>
                    <a:stretch>
                      <a:fillRect/>
                    </a:stretch>
                  </pic:blipFill>
                  <pic:spPr>
                    <a:xfrm>
                      <a:off x="0" y="0"/>
                      <a:ext cx="5678388" cy="4129792"/>
                    </a:xfrm>
                    <a:prstGeom prst="rect">
                      <a:avLst/>
                    </a:prstGeom>
                  </pic:spPr>
                </pic:pic>
              </a:graphicData>
            </a:graphic>
          </wp:inline>
        </w:drawing>
      </w:r>
    </w:p>
    <w:p w14:paraId="2C7C80F5" w14:textId="4567B0B8" w:rsidR="0006433F" w:rsidRPr="002B21D1" w:rsidRDefault="0006433F" w:rsidP="00D9246A">
      <w:pPr>
        <w:pStyle w:val="Caption"/>
        <w:rPr>
          <w:rFonts w:cs="Arial"/>
          <w:b w:val="0"/>
          <w:bCs w:val="0"/>
          <w:color w:val="086A76"/>
        </w:rPr>
      </w:pPr>
      <w:r w:rsidRPr="003A45D1">
        <w:rPr>
          <w:rFonts w:cs="Arial"/>
          <w:color w:val="000000" w:themeColor="text1"/>
        </w:rPr>
        <w:t>Source:</w:t>
      </w:r>
      <w:r w:rsidRPr="002B21D1">
        <w:rPr>
          <w:rFonts w:cs="Arial"/>
          <w:b w:val="0"/>
          <w:bCs w:val="0"/>
          <w:color w:val="000000" w:themeColor="text1"/>
        </w:rPr>
        <w:t xml:space="preserve"> Health Counts 2024, University of Brighton, Brighton and Sussex Medical School and Brighton &amp; Hove City Council</w:t>
      </w:r>
    </w:p>
    <w:p w14:paraId="076304A2" w14:textId="154763F7" w:rsidR="000040BF" w:rsidRPr="00595FE6" w:rsidRDefault="000040BF" w:rsidP="000D5FDF">
      <w:pPr>
        <w:spacing w:line="240" w:lineRule="auto"/>
        <w:rPr>
          <w:rFonts w:cs="Arial"/>
          <w:color w:val="000000" w:themeColor="text1"/>
          <w:szCs w:val="24"/>
        </w:rPr>
      </w:pPr>
      <w:r w:rsidRPr="00595FE6">
        <w:rPr>
          <w:rFonts w:cs="Arial"/>
          <w:color w:val="000000" w:themeColor="text1"/>
          <w:szCs w:val="24"/>
        </w:rPr>
        <w:t>As the sample of those with a learning disability is very small, and the survey was not available as an easy read survey, results for those with a learning disability are not presented, but this group is included within the overall group of those with long</w:t>
      </w:r>
      <w:r w:rsidR="00480B10" w:rsidRPr="00595FE6">
        <w:rPr>
          <w:rFonts w:cs="Arial"/>
          <w:color w:val="000000" w:themeColor="text1"/>
          <w:szCs w:val="24"/>
        </w:rPr>
        <w:t>-term physical or mental health conditions.</w:t>
      </w:r>
    </w:p>
    <w:p w14:paraId="6277F748" w14:textId="0D6F7F73" w:rsidR="0006433F" w:rsidRPr="009F710F" w:rsidRDefault="006015A1" w:rsidP="000D5FDF">
      <w:pPr>
        <w:spacing w:line="240" w:lineRule="auto"/>
        <w:rPr>
          <w:rFonts w:cs="Arial"/>
          <w:b/>
          <w:color w:val="0079C2"/>
          <w:szCs w:val="24"/>
        </w:rPr>
      </w:pPr>
      <w:r w:rsidRPr="009F710F">
        <w:rPr>
          <w:rFonts w:cs="Arial"/>
          <w:b/>
          <w:color w:val="0079C2"/>
          <w:szCs w:val="24"/>
        </w:rPr>
        <w:t>Demographics</w:t>
      </w:r>
    </w:p>
    <w:p w14:paraId="1365107D" w14:textId="1FFCC574" w:rsidR="001A7207" w:rsidRPr="00595FE6" w:rsidRDefault="001A7207" w:rsidP="000D5FDF">
      <w:pPr>
        <w:spacing w:line="240" w:lineRule="auto"/>
        <w:rPr>
          <w:rFonts w:cs="Arial"/>
          <w:color w:val="000000" w:themeColor="text1"/>
          <w:szCs w:val="24"/>
        </w:rPr>
      </w:pPr>
      <w:r w:rsidRPr="00595FE6">
        <w:rPr>
          <w:rFonts w:cs="Arial"/>
          <w:color w:val="000000" w:themeColor="text1"/>
          <w:szCs w:val="24"/>
        </w:rPr>
        <w:t xml:space="preserve">Respondents aged 18-24 years </w:t>
      </w:r>
      <w:r w:rsidR="00DE4039" w:rsidRPr="00595FE6">
        <w:rPr>
          <w:rFonts w:cs="Arial"/>
          <w:color w:val="000000" w:themeColor="text1"/>
          <w:szCs w:val="24"/>
        </w:rPr>
        <w:t xml:space="preserve">with a long-term physical or mental health condition </w:t>
      </w:r>
      <w:r w:rsidRPr="00595FE6">
        <w:rPr>
          <w:rFonts w:cs="Arial"/>
          <w:color w:val="000000" w:themeColor="text1"/>
          <w:szCs w:val="24"/>
        </w:rPr>
        <w:t>were more likely</w:t>
      </w:r>
      <w:r w:rsidR="006238BE" w:rsidRPr="00595FE6">
        <w:rPr>
          <w:rFonts w:cs="Arial"/>
          <w:color w:val="000000" w:themeColor="text1"/>
          <w:szCs w:val="24"/>
        </w:rPr>
        <w:t>, than all respondents aged 18-24,</w:t>
      </w:r>
      <w:r w:rsidRPr="00595FE6">
        <w:rPr>
          <w:rFonts w:cs="Arial"/>
          <w:color w:val="000000" w:themeColor="text1"/>
          <w:szCs w:val="24"/>
        </w:rPr>
        <w:t xml:space="preserve"> to</w:t>
      </w:r>
      <w:r w:rsidR="00F279FC" w:rsidRPr="00595FE6">
        <w:rPr>
          <w:rFonts w:cs="Arial"/>
          <w:color w:val="000000" w:themeColor="text1"/>
          <w:szCs w:val="24"/>
        </w:rPr>
        <w:t>:</w:t>
      </w:r>
      <w:r w:rsidRPr="00595FE6">
        <w:rPr>
          <w:rFonts w:cs="Arial"/>
          <w:color w:val="000000" w:themeColor="text1"/>
          <w:szCs w:val="24"/>
        </w:rPr>
        <w:t xml:space="preserve"> </w:t>
      </w:r>
    </w:p>
    <w:p w14:paraId="03B5A530" w14:textId="0EDF513F" w:rsidR="006015A1" w:rsidRPr="00595FE6" w:rsidRDefault="00F279FC" w:rsidP="009858E3">
      <w:pPr>
        <w:pStyle w:val="ListParagraph"/>
        <w:numPr>
          <w:ilvl w:val="0"/>
          <w:numId w:val="35"/>
        </w:numPr>
        <w:spacing w:line="240" w:lineRule="auto"/>
        <w:rPr>
          <w:rFonts w:cs="Arial"/>
          <w:color w:val="000000" w:themeColor="text1"/>
          <w:szCs w:val="24"/>
        </w:rPr>
      </w:pPr>
      <w:r w:rsidRPr="00595FE6">
        <w:rPr>
          <w:rFonts w:cs="Arial"/>
          <w:b/>
          <w:bCs/>
          <w:color w:val="000000" w:themeColor="text1"/>
          <w:szCs w:val="24"/>
        </w:rPr>
        <w:t xml:space="preserve">Live in more deprived areas: </w:t>
      </w:r>
      <w:r w:rsidR="006015A1" w:rsidRPr="00595FE6">
        <w:rPr>
          <w:rFonts w:cs="Arial"/>
          <w:color w:val="000000" w:themeColor="text1"/>
          <w:szCs w:val="24"/>
        </w:rPr>
        <w:t xml:space="preserve">24% of respondents with long-term physical or mental health conditions live in parts of the city in the 20% most deprived areas of </w:t>
      </w:r>
      <w:r w:rsidR="006015A1" w:rsidRPr="006E43A6">
        <w:rPr>
          <w:rFonts w:cs="Arial"/>
          <w:szCs w:val="24"/>
        </w:rPr>
        <w:t>England</w:t>
      </w:r>
      <w:r w:rsidR="006015A1" w:rsidRPr="00595FE6">
        <w:rPr>
          <w:rFonts w:cs="Arial"/>
          <w:color w:val="000000" w:themeColor="text1"/>
          <w:szCs w:val="24"/>
        </w:rPr>
        <w:t>, compared to 21% of all 18-24 year old respondents</w:t>
      </w:r>
      <w:r w:rsidR="0038158E" w:rsidRPr="00595FE6">
        <w:rPr>
          <w:rFonts w:cs="Arial"/>
          <w:color w:val="000000" w:themeColor="text1"/>
          <w:szCs w:val="24"/>
        </w:rPr>
        <w:t xml:space="preserve">. This was significantly higher for those with a sensory impairment (36%), </w:t>
      </w:r>
      <w:r w:rsidR="00CF0DF8">
        <w:rPr>
          <w:rFonts w:cs="Arial"/>
          <w:color w:val="000000" w:themeColor="text1"/>
          <w:szCs w:val="24"/>
        </w:rPr>
        <w:t xml:space="preserve">neurodivergent </w:t>
      </w:r>
      <w:r w:rsidR="002624C7" w:rsidRPr="00595FE6">
        <w:rPr>
          <w:rFonts w:cs="Arial"/>
          <w:color w:val="000000" w:themeColor="text1"/>
          <w:szCs w:val="24"/>
        </w:rPr>
        <w:t>(31%) or a long-term physical illness/condition (28%)</w:t>
      </w:r>
    </w:p>
    <w:p w14:paraId="6BFA4698" w14:textId="557E628D" w:rsidR="00361EC7" w:rsidRPr="00595FE6" w:rsidRDefault="00B56BE7" w:rsidP="009858E3">
      <w:pPr>
        <w:pStyle w:val="ListParagraph"/>
        <w:numPr>
          <w:ilvl w:val="0"/>
          <w:numId w:val="35"/>
        </w:numPr>
        <w:spacing w:line="240" w:lineRule="auto"/>
        <w:rPr>
          <w:rFonts w:cs="Arial"/>
          <w:color w:val="000000" w:themeColor="text1"/>
          <w:szCs w:val="24"/>
        </w:rPr>
      </w:pPr>
      <w:r w:rsidRPr="1B80D16F">
        <w:rPr>
          <w:rFonts w:cs="Arial"/>
          <w:b/>
          <w:bCs/>
          <w:color w:val="000000" w:themeColor="text1"/>
        </w:rPr>
        <w:t>Be Lesbian, Gay, Bisexual, Queer or other non-heterosexual sexual orientation (LGBQ+):</w:t>
      </w:r>
      <w:r w:rsidRPr="1B80D16F">
        <w:rPr>
          <w:rFonts w:cs="Arial"/>
          <w:color w:val="000000" w:themeColor="text1"/>
        </w:rPr>
        <w:t xml:space="preserve"> </w:t>
      </w:r>
      <w:r w:rsidR="00361EC7" w:rsidRPr="1B80D16F">
        <w:rPr>
          <w:rFonts w:cs="Arial"/>
          <w:color w:val="000000" w:themeColor="text1"/>
        </w:rPr>
        <w:t xml:space="preserve">Almost half (49%) of all respondents aged 18-24 years </w:t>
      </w:r>
      <w:r w:rsidR="00882410">
        <w:rPr>
          <w:rFonts w:cs="Arial"/>
          <w:color w:val="000000" w:themeColor="text1"/>
        </w:rPr>
        <w:t>were</w:t>
      </w:r>
      <w:r w:rsidR="00882410" w:rsidRPr="1B80D16F">
        <w:rPr>
          <w:rFonts w:cs="Arial"/>
          <w:color w:val="000000" w:themeColor="text1"/>
        </w:rPr>
        <w:t xml:space="preserve"> </w:t>
      </w:r>
      <w:r w:rsidR="005C1695" w:rsidRPr="1B80D16F">
        <w:rPr>
          <w:rFonts w:cs="Arial"/>
          <w:color w:val="000000" w:themeColor="text1"/>
        </w:rPr>
        <w:t>LGBQ+</w:t>
      </w:r>
      <w:r w:rsidR="00A704B2">
        <w:rPr>
          <w:rFonts w:cs="Arial"/>
          <w:color w:val="000000" w:themeColor="text1"/>
        </w:rPr>
        <w:t>.</w:t>
      </w:r>
      <w:r w:rsidR="005C1695" w:rsidRPr="1B80D16F">
        <w:rPr>
          <w:rFonts w:cs="Arial"/>
          <w:color w:val="000000" w:themeColor="text1"/>
        </w:rPr>
        <w:t xml:space="preserve"> </w:t>
      </w:r>
      <w:r w:rsidR="00A67327">
        <w:rPr>
          <w:rFonts w:cs="Arial"/>
          <w:color w:val="000000" w:themeColor="text1"/>
        </w:rPr>
        <w:t>Nearly two-thirds (6</w:t>
      </w:r>
      <w:r w:rsidR="00F4719E">
        <w:rPr>
          <w:rFonts w:cs="Arial"/>
          <w:color w:val="000000" w:themeColor="text1"/>
        </w:rPr>
        <w:t>3%) of</w:t>
      </w:r>
      <w:r w:rsidR="005C1695" w:rsidRPr="1B80D16F">
        <w:rPr>
          <w:rFonts w:cs="Arial"/>
          <w:color w:val="000000" w:themeColor="text1"/>
        </w:rPr>
        <w:t xml:space="preserve"> 18-24 year olds with a long-term physical or mental health condition or</w:t>
      </w:r>
      <w:r w:rsidR="00F20A2B" w:rsidRPr="1B80D16F">
        <w:rPr>
          <w:rFonts w:cs="Arial"/>
          <w:color w:val="000000" w:themeColor="text1"/>
        </w:rPr>
        <w:t xml:space="preserve"> </w:t>
      </w:r>
      <w:r w:rsidR="00F20A2B" w:rsidRPr="00562B5B">
        <w:rPr>
          <w:rFonts w:cs="Arial"/>
          <w:color w:val="000000" w:themeColor="text1"/>
          <w:szCs w:val="24"/>
        </w:rPr>
        <w:t>neurodivergent</w:t>
      </w:r>
      <w:r w:rsidR="00F20A2B" w:rsidRPr="1B80D16F">
        <w:rPr>
          <w:rFonts w:cs="Arial"/>
          <w:color w:val="000000" w:themeColor="text1"/>
        </w:rPr>
        <w:t xml:space="preserve"> </w:t>
      </w:r>
      <w:r w:rsidR="004E1EA2" w:rsidRPr="1B80D16F">
        <w:rPr>
          <w:rFonts w:cs="Arial"/>
          <w:color w:val="000000" w:themeColor="text1"/>
        </w:rPr>
        <w:t>respondents</w:t>
      </w:r>
      <w:r w:rsidR="00F20A2B" w:rsidRPr="1B80D16F">
        <w:rPr>
          <w:rFonts w:cs="Arial"/>
          <w:color w:val="000000" w:themeColor="text1"/>
        </w:rPr>
        <w:t xml:space="preserve"> </w:t>
      </w:r>
      <w:r w:rsidR="00F4719E">
        <w:rPr>
          <w:rFonts w:cs="Arial"/>
          <w:color w:val="000000" w:themeColor="text1"/>
        </w:rPr>
        <w:t xml:space="preserve">identified as </w:t>
      </w:r>
      <w:r w:rsidR="7694A7A3" w:rsidRPr="1B80D16F">
        <w:rPr>
          <w:rFonts w:cs="Arial"/>
          <w:color w:val="000000" w:themeColor="text1"/>
        </w:rPr>
        <w:t>LGBQ+</w:t>
      </w:r>
      <w:r w:rsidR="00F20A2B" w:rsidRPr="1B80D16F">
        <w:rPr>
          <w:rFonts w:cs="Arial"/>
          <w:color w:val="000000" w:themeColor="text1"/>
        </w:rPr>
        <w:t xml:space="preserve">. </w:t>
      </w:r>
      <w:r w:rsidR="007C6091">
        <w:rPr>
          <w:rFonts w:cs="Arial"/>
          <w:color w:val="000000" w:themeColor="text1"/>
        </w:rPr>
        <w:t>N</w:t>
      </w:r>
      <w:r w:rsidR="0037554D">
        <w:rPr>
          <w:rFonts w:cs="Arial"/>
          <w:color w:val="000000" w:themeColor="text1"/>
        </w:rPr>
        <w:t xml:space="preserve">eurodivergent </w:t>
      </w:r>
      <w:r w:rsidR="001F40FE" w:rsidRPr="1B80D16F">
        <w:rPr>
          <w:rFonts w:cs="Arial"/>
          <w:color w:val="000000" w:themeColor="text1"/>
        </w:rPr>
        <w:t>(72%</w:t>
      </w:r>
      <w:r w:rsidR="00E95D7B">
        <w:rPr>
          <w:rFonts w:cs="Arial"/>
          <w:color w:val="000000" w:themeColor="text1"/>
        </w:rPr>
        <w:t>)</w:t>
      </w:r>
      <w:r w:rsidR="001F40FE" w:rsidRPr="1B80D16F">
        <w:rPr>
          <w:rFonts w:cs="Arial"/>
          <w:color w:val="000000" w:themeColor="text1"/>
        </w:rPr>
        <w:t>, mental health issue (71%), physica</w:t>
      </w:r>
      <w:r w:rsidR="004E1EA2" w:rsidRPr="1B80D16F">
        <w:rPr>
          <w:rFonts w:cs="Arial"/>
          <w:color w:val="000000" w:themeColor="text1"/>
        </w:rPr>
        <w:t xml:space="preserve">l </w:t>
      </w:r>
      <w:r w:rsidR="006105FE" w:rsidRPr="1B80D16F">
        <w:rPr>
          <w:rFonts w:cs="Arial"/>
          <w:color w:val="000000" w:themeColor="text1"/>
        </w:rPr>
        <w:t>difference</w:t>
      </w:r>
      <w:r w:rsidR="001F40FE" w:rsidRPr="1B80D16F">
        <w:rPr>
          <w:rFonts w:cs="Arial"/>
          <w:color w:val="000000" w:themeColor="text1"/>
        </w:rPr>
        <w:t xml:space="preserve"> (69%) and </w:t>
      </w:r>
      <w:r w:rsidR="004E1EA2" w:rsidRPr="1B80D16F">
        <w:rPr>
          <w:rFonts w:cs="Arial"/>
          <w:color w:val="000000" w:themeColor="text1"/>
        </w:rPr>
        <w:t>sensory impairment (68%</w:t>
      </w:r>
      <w:r w:rsidR="00E95D7B">
        <w:rPr>
          <w:rFonts w:cs="Arial"/>
          <w:color w:val="000000" w:themeColor="text1"/>
        </w:rPr>
        <w:t>)</w:t>
      </w:r>
      <w:r w:rsidR="0096459A">
        <w:rPr>
          <w:rFonts w:cs="Arial"/>
          <w:color w:val="000000" w:themeColor="text1"/>
        </w:rPr>
        <w:t xml:space="preserve"> were most likely to </w:t>
      </w:r>
      <w:r w:rsidR="00F0307E">
        <w:rPr>
          <w:rFonts w:cs="Arial"/>
          <w:color w:val="000000" w:themeColor="text1"/>
        </w:rPr>
        <w:t>be LGBQ+</w:t>
      </w:r>
    </w:p>
    <w:p w14:paraId="211319F4" w14:textId="6C979941" w:rsidR="00C0475A" w:rsidRDefault="00B56BE7" w:rsidP="009858E3">
      <w:pPr>
        <w:pStyle w:val="ListParagraph"/>
        <w:numPr>
          <w:ilvl w:val="0"/>
          <w:numId w:val="35"/>
        </w:numPr>
        <w:spacing w:line="240" w:lineRule="auto"/>
        <w:rPr>
          <w:rFonts w:cs="Arial"/>
          <w:color w:val="000000" w:themeColor="text1"/>
          <w:szCs w:val="24"/>
        </w:rPr>
      </w:pPr>
      <w:r w:rsidRPr="00595FE6">
        <w:rPr>
          <w:rFonts w:cs="Arial"/>
          <w:b/>
          <w:bCs/>
          <w:color w:val="000000" w:themeColor="text1"/>
          <w:szCs w:val="24"/>
        </w:rPr>
        <w:t>Be Trans, Non-binary or Intersex (TNBI):</w:t>
      </w:r>
      <w:r w:rsidRPr="00595FE6">
        <w:rPr>
          <w:rFonts w:cs="Arial"/>
          <w:color w:val="000000" w:themeColor="text1"/>
          <w:szCs w:val="24"/>
        </w:rPr>
        <w:t xml:space="preserve"> </w:t>
      </w:r>
      <w:r w:rsidR="006105FE" w:rsidRPr="00595FE6">
        <w:rPr>
          <w:rFonts w:cs="Arial"/>
          <w:color w:val="000000" w:themeColor="text1"/>
          <w:szCs w:val="24"/>
        </w:rPr>
        <w:t xml:space="preserve">15% of all respondents aged 18-24 years are </w:t>
      </w:r>
      <w:r w:rsidR="002E1235" w:rsidRPr="00595FE6">
        <w:rPr>
          <w:rFonts w:cs="Arial"/>
          <w:color w:val="000000" w:themeColor="text1"/>
          <w:szCs w:val="24"/>
        </w:rPr>
        <w:t>TNB</w:t>
      </w:r>
      <w:r w:rsidRPr="00595FE6">
        <w:rPr>
          <w:rFonts w:cs="Arial"/>
          <w:color w:val="000000" w:themeColor="text1"/>
          <w:szCs w:val="24"/>
        </w:rPr>
        <w:t>I</w:t>
      </w:r>
      <w:r w:rsidR="006E100A">
        <w:rPr>
          <w:rFonts w:cs="Arial"/>
          <w:color w:val="000000" w:themeColor="text1"/>
          <w:szCs w:val="24"/>
        </w:rPr>
        <w:t xml:space="preserve">. A </w:t>
      </w:r>
      <w:r w:rsidR="006E100A" w:rsidRPr="006E43A6">
        <w:rPr>
          <w:rFonts w:cs="Arial"/>
          <w:szCs w:val="24"/>
        </w:rPr>
        <w:t>fifth</w:t>
      </w:r>
      <w:r w:rsidR="006E100A">
        <w:rPr>
          <w:rFonts w:cs="Arial"/>
          <w:color w:val="000000" w:themeColor="text1"/>
          <w:szCs w:val="24"/>
        </w:rPr>
        <w:t xml:space="preserve"> (22%)</w:t>
      </w:r>
      <w:r w:rsidR="006105FE" w:rsidRPr="00595FE6">
        <w:rPr>
          <w:rFonts w:cs="Arial"/>
          <w:color w:val="000000" w:themeColor="text1"/>
          <w:szCs w:val="24"/>
        </w:rPr>
        <w:t xml:space="preserve"> </w:t>
      </w:r>
      <w:r w:rsidR="00DF2952">
        <w:rPr>
          <w:rFonts w:cs="Arial"/>
          <w:color w:val="000000" w:themeColor="text1"/>
          <w:szCs w:val="24"/>
        </w:rPr>
        <w:t>of</w:t>
      </w:r>
      <w:r w:rsidR="006105FE" w:rsidRPr="00595FE6">
        <w:rPr>
          <w:rFonts w:cs="Arial"/>
          <w:color w:val="000000" w:themeColor="text1"/>
          <w:szCs w:val="24"/>
        </w:rPr>
        <w:t xml:space="preserve"> 18-24 year olds with a long-term physical or mental health condition or neurodivergent respondents</w:t>
      </w:r>
      <w:r w:rsidR="001D2375">
        <w:rPr>
          <w:rFonts w:cs="Arial"/>
          <w:color w:val="000000" w:themeColor="text1"/>
          <w:szCs w:val="24"/>
        </w:rPr>
        <w:t xml:space="preserve"> identified as TNBI</w:t>
      </w:r>
      <w:r w:rsidR="006105FE" w:rsidRPr="00595FE6">
        <w:rPr>
          <w:rFonts w:cs="Arial"/>
          <w:color w:val="000000" w:themeColor="text1"/>
          <w:szCs w:val="24"/>
        </w:rPr>
        <w:t xml:space="preserve">.  </w:t>
      </w:r>
      <w:r w:rsidR="007A16A7">
        <w:rPr>
          <w:rFonts w:cs="Arial"/>
          <w:color w:val="000000" w:themeColor="text1"/>
          <w:szCs w:val="24"/>
        </w:rPr>
        <w:t xml:space="preserve">Neurodivergent young people </w:t>
      </w:r>
      <w:r w:rsidR="006105FE" w:rsidRPr="00595FE6">
        <w:rPr>
          <w:rFonts w:cs="Arial"/>
          <w:color w:val="000000" w:themeColor="text1"/>
          <w:szCs w:val="24"/>
        </w:rPr>
        <w:t>(</w:t>
      </w:r>
      <w:r w:rsidR="002E1235" w:rsidRPr="00595FE6">
        <w:rPr>
          <w:rFonts w:cs="Arial"/>
          <w:color w:val="000000" w:themeColor="text1"/>
          <w:szCs w:val="24"/>
        </w:rPr>
        <w:t>35</w:t>
      </w:r>
      <w:r w:rsidR="006105FE" w:rsidRPr="00595FE6">
        <w:rPr>
          <w:rFonts w:cs="Arial"/>
          <w:color w:val="000000" w:themeColor="text1"/>
          <w:szCs w:val="24"/>
        </w:rPr>
        <w:t>%)</w:t>
      </w:r>
      <w:r w:rsidR="00ED15F5">
        <w:rPr>
          <w:rFonts w:cs="Arial"/>
          <w:color w:val="000000" w:themeColor="text1"/>
          <w:szCs w:val="24"/>
        </w:rPr>
        <w:t xml:space="preserve"> were most likely to </w:t>
      </w:r>
      <w:r w:rsidR="004251EF">
        <w:rPr>
          <w:rFonts w:cs="Arial"/>
          <w:color w:val="000000" w:themeColor="text1"/>
          <w:szCs w:val="24"/>
        </w:rPr>
        <w:t>identify as TNBI</w:t>
      </w:r>
    </w:p>
    <w:p w14:paraId="36B3DE97" w14:textId="367EF003" w:rsidR="00482E27" w:rsidRPr="008B7354" w:rsidRDefault="00482E27" w:rsidP="009858E3">
      <w:pPr>
        <w:pStyle w:val="ListParagraph"/>
        <w:numPr>
          <w:ilvl w:val="0"/>
          <w:numId w:val="35"/>
        </w:numPr>
        <w:spacing w:line="240" w:lineRule="auto"/>
        <w:rPr>
          <w:rFonts w:cs="Arial"/>
          <w:color w:val="000000" w:themeColor="text1"/>
          <w:szCs w:val="24"/>
        </w:rPr>
      </w:pPr>
      <w:r w:rsidRPr="00C508E1">
        <w:rPr>
          <w:rFonts w:cs="Arial"/>
          <w:b/>
          <w:color w:val="000000" w:themeColor="text1"/>
          <w:szCs w:val="24"/>
        </w:rPr>
        <w:t xml:space="preserve">There was less difference </w:t>
      </w:r>
      <w:r w:rsidR="00B56BE7" w:rsidRPr="00C508E1">
        <w:rPr>
          <w:rFonts w:cs="Arial"/>
          <w:b/>
          <w:color w:val="000000" w:themeColor="text1"/>
          <w:szCs w:val="24"/>
        </w:rPr>
        <w:t>for ethnicity:</w:t>
      </w:r>
      <w:r w:rsidR="00B56BE7" w:rsidRPr="00C508E1">
        <w:rPr>
          <w:rFonts w:cs="Arial"/>
          <w:color w:val="000000" w:themeColor="text1"/>
          <w:szCs w:val="24"/>
        </w:rPr>
        <w:t xml:space="preserve"> </w:t>
      </w:r>
      <w:r w:rsidRPr="00C508E1">
        <w:rPr>
          <w:rFonts w:cs="Arial"/>
          <w:color w:val="000000" w:themeColor="text1"/>
          <w:szCs w:val="24"/>
        </w:rPr>
        <w:t xml:space="preserve">28% of all 18-24 year old respondents </w:t>
      </w:r>
      <w:r w:rsidR="00B50388" w:rsidRPr="00C508E1">
        <w:rPr>
          <w:rFonts w:cs="Arial"/>
          <w:color w:val="000000" w:themeColor="text1"/>
          <w:szCs w:val="24"/>
        </w:rPr>
        <w:t xml:space="preserve">were </w:t>
      </w:r>
      <w:r w:rsidRPr="00C508E1">
        <w:rPr>
          <w:rFonts w:cs="Arial"/>
          <w:color w:val="000000" w:themeColor="text1"/>
          <w:szCs w:val="24"/>
        </w:rPr>
        <w:t>Black and Racially Minoritised</w:t>
      </w:r>
      <w:r w:rsidR="00D0255F" w:rsidRPr="00C508E1">
        <w:rPr>
          <w:rFonts w:cs="Arial"/>
          <w:color w:val="000000" w:themeColor="text1"/>
          <w:szCs w:val="24"/>
        </w:rPr>
        <w:t xml:space="preserve"> (BRM</w:t>
      </w:r>
      <w:r w:rsidR="00D0255F" w:rsidRPr="00321AEB">
        <w:rPr>
          <w:rFonts w:cs="Arial"/>
          <w:color w:val="000000" w:themeColor="text1"/>
          <w:szCs w:val="24"/>
        </w:rPr>
        <w:t>)</w:t>
      </w:r>
      <w:r w:rsidR="00E40A6F">
        <w:rPr>
          <w:rFonts w:cs="Arial"/>
          <w:color w:val="000000" w:themeColor="text1"/>
          <w:szCs w:val="24"/>
        </w:rPr>
        <w:t xml:space="preserve"> and</w:t>
      </w:r>
      <w:r w:rsidRPr="006F7778" w:rsidDel="00E40A6F">
        <w:rPr>
          <w:rFonts w:cs="Arial"/>
          <w:color w:val="000000" w:themeColor="text1"/>
          <w:szCs w:val="24"/>
        </w:rPr>
        <w:t xml:space="preserve"> </w:t>
      </w:r>
      <w:r w:rsidR="0084287C" w:rsidRPr="006F7778">
        <w:rPr>
          <w:rFonts w:cs="Arial"/>
          <w:color w:val="000000" w:themeColor="text1"/>
          <w:szCs w:val="24"/>
        </w:rPr>
        <w:t>significantly</w:t>
      </w:r>
      <w:r w:rsidR="0084287C" w:rsidRPr="00321AEB">
        <w:rPr>
          <w:rFonts w:cs="Arial"/>
          <w:color w:val="000000" w:themeColor="text1"/>
          <w:szCs w:val="24"/>
        </w:rPr>
        <w:t xml:space="preserve"> higher for those with a </w:t>
      </w:r>
      <w:r w:rsidR="0084287C" w:rsidRPr="00321AEB">
        <w:rPr>
          <w:rFonts w:cs="Arial"/>
          <w:color w:val="000000" w:themeColor="text1"/>
          <w:szCs w:val="24"/>
        </w:rPr>
        <w:lastRenderedPageBreak/>
        <w:t>physical difference (40%) and significantly lower for those with a long-term physical illness/condition (21%)</w:t>
      </w:r>
    </w:p>
    <w:p w14:paraId="7B7589E0" w14:textId="6DE50A20" w:rsidR="00B56BE7" w:rsidRPr="009F710F" w:rsidRDefault="00DE4039" w:rsidP="00B56BE7">
      <w:pPr>
        <w:spacing w:line="240" w:lineRule="auto"/>
        <w:rPr>
          <w:rFonts w:cs="Arial"/>
          <w:b/>
          <w:color w:val="0079C2"/>
          <w:szCs w:val="24"/>
        </w:rPr>
      </w:pPr>
      <w:r w:rsidRPr="009F710F">
        <w:rPr>
          <w:rFonts w:cs="Arial"/>
          <w:b/>
          <w:color w:val="0079C2"/>
          <w:szCs w:val="24"/>
        </w:rPr>
        <w:t>General health</w:t>
      </w:r>
    </w:p>
    <w:p w14:paraId="3EDF552C" w14:textId="13F08BD7" w:rsidR="00D35BCF" w:rsidRPr="00595FE6" w:rsidRDefault="00D35BCF" w:rsidP="00D35BCF">
      <w:pPr>
        <w:spacing w:line="240" w:lineRule="auto"/>
        <w:rPr>
          <w:rFonts w:cs="Arial"/>
          <w:color w:val="000000" w:themeColor="text1"/>
          <w:szCs w:val="24"/>
        </w:rPr>
      </w:pPr>
      <w:r w:rsidRPr="00595FE6">
        <w:rPr>
          <w:rFonts w:cs="Arial"/>
          <w:b/>
          <w:bCs/>
          <w:color w:val="000000" w:themeColor="text1"/>
          <w:szCs w:val="24"/>
        </w:rPr>
        <w:t>Respondents aged 18-24 years with a long-term physical or mental health condition were less likely, than all respondents aged 18-24, to be in good or better health</w:t>
      </w:r>
      <w:r w:rsidR="007310A9" w:rsidRPr="00595FE6">
        <w:rPr>
          <w:rFonts w:cs="Arial"/>
          <w:b/>
          <w:bCs/>
          <w:color w:val="000000" w:themeColor="text1"/>
          <w:szCs w:val="24"/>
        </w:rPr>
        <w:t>:</w:t>
      </w:r>
      <w:r w:rsidR="007310A9" w:rsidRPr="00595FE6">
        <w:rPr>
          <w:rFonts w:cs="Arial"/>
          <w:color w:val="000000" w:themeColor="text1"/>
          <w:szCs w:val="24"/>
        </w:rPr>
        <w:t xml:space="preserve"> 67% of all respondents were in good or better health, compared to 51% of those with a long-term physical or mental health condition</w:t>
      </w:r>
      <w:r w:rsidR="00D67168" w:rsidRPr="00595FE6">
        <w:rPr>
          <w:rFonts w:cs="Arial"/>
          <w:color w:val="000000" w:themeColor="text1"/>
          <w:szCs w:val="24"/>
        </w:rPr>
        <w:t xml:space="preserve"> </w:t>
      </w:r>
      <w:r w:rsidR="00D67168" w:rsidRPr="009266BF">
        <w:rPr>
          <w:rFonts w:cs="Arial"/>
          <w:color w:val="000000" w:themeColor="text1"/>
          <w:szCs w:val="24"/>
        </w:rPr>
        <w:t>(</w:t>
      </w:r>
      <w:r w:rsidR="00D67168" w:rsidRPr="00F6353F">
        <w:rPr>
          <w:rFonts w:cs="Arial"/>
          <w:color w:val="000000" w:themeColor="text1"/>
          <w:szCs w:val="24"/>
        </w:rPr>
        <w:t xml:space="preserve">Figure </w:t>
      </w:r>
      <w:r w:rsidR="00EF295C" w:rsidRPr="0092412A">
        <w:rPr>
          <w:rFonts w:cs="Arial"/>
          <w:color w:val="000000" w:themeColor="text1"/>
          <w:szCs w:val="24"/>
        </w:rPr>
        <w:t>1</w:t>
      </w:r>
      <w:r w:rsidR="0014599B" w:rsidRPr="0092412A">
        <w:rPr>
          <w:rFonts w:cs="Arial"/>
          <w:color w:val="000000" w:themeColor="text1"/>
          <w:szCs w:val="24"/>
        </w:rPr>
        <w:t>9</w:t>
      </w:r>
      <w:r w:rsidR="00D67168" w:rsidRPr="007D5D7F">
        <w:rPr>
          <w:rFonts w:cs="Arial"/>
          <w:color w:val="000000" w:themeColor="text1"/>
          <w:szCs w:val="24"/>
        </w:rPr>
        <w:t>)</w:t>
      </w:r>
      <w:r w:rsidR="007310A9" w:rsidRPr="007D5D7F">
        <w:rPr>
          <w:rFonts w:cs="Arial"/>
          <w:color w:val="000000" w:themeColor="text1"/>
          <w:szCs w:val="24"/>
        </w:rPr>
        <w:t>.</w:t>
      </w:r>
    </w:p>
    <w:p w14:paraId="7A2BAB50" w14:textId="4330519B" w:rsidR="00DE4039" w:rsidRDefault="00286C73" w:rsidP="00B56BE7">
      <w:pPr>
        <w:spacing w:line="240" w:lineRule="auto"/>
        <w:rPr>
          <w:rFonts w:cs="Arial"/>
          <w:color w:val="000000" w:themeColor="text1"/>
          <w:szCs w:val="24"/>
        </w:rPr>
      </w:pPr>
      <w:r w:rsidRPr="00595FE6">
        <w:rPr>
          <w:rFonts w:cs="Arial"/>
          <w:color w:val="000000" w:themeColor="text1"/>
          <w:szCs w:val="24"/>
        </w:rPr>
        <w:t>This was lowest for those with a physical difference (33%), followed by those with a long-term physical health condition (39%).</w:t>
      </w:r>
    </w:p>
    <w:p w14:paraId="7BC23355" w14:textId="23B81CA2" w:rsidR="00FA677C" w:rsidRPr="003A45D1" w:rsidRDefault="00D03B80" w:rsidP="00D9246A">
      <w:pPr>
        <w:spacing w:line="240" w:lineRule="auto"/>
        <w:rPr>
          <w:b/>
          <w:color w:val="A65588"/>
        </w:rPr>
      </w:pPr>
      <w:r w:rsidRPr="003A45D1">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19</w:t>
      </w:r>
      <w:r w:rsidR="00CA2D43">
        <w:rPr>
          <w:b/>
          <w:color w:val="A65588"/>
        </w:rPr>
        <w:fldChar w:fldCharType="end"/>
      </w:r>
      <w:r w:rsidRPr="003A45D1">
        <w:rPr>
          <w:b/>
          <w:color w:val="A65588"/>
        </w:rPr>
        <w:t xml:space="preserve">: </w:t>
      </w:r>
      <w:r w:rsidR="003A45D1">
        <w:rPr>
          <w:b/>
          <w:bCs/>
          <w:color w:val="A65588"/>
        </w:rPr>
        <w:t>Percentage of people in good or better</w:t>
      </w:r>
      <w:r w:rsidR="00FA677C">
        <w:rPr>
          <w:b/>
          <w:color w:val="A65588"/>
        </w:rPr>
        <w:t xml:space="preserve"> health</w:t>
      </w:r>
      <w:r w:rsidR="00FA677C" w:rsidRPr="003A45D1">
        <w:rPr>
          <w:b/>
          <w:color w:val="A65588"/>
        </w:rPr>
        <w:t xml:space="preserve"> by long-term physical and mental health conditions, respondents aged 18-24 years, </w:t>
      </w:r>
      <w:r w:rsidR="003A45D1" w:rsidRPr="003A45D1">
        <w:rPr>
          <w:b/>
          <w:bCs/>
          <w:color w:val="A65588"/>
        </w:rPr>
        <w:t xml:space="preserve">Brighton &amp; Hove </w:t>
      </w:r>
      <w:r w:rsidR="00FA677C" w:rsidRPr="003A45D1">
        <w:rPr>
          <w:b/>
          <w:color w:val="A65588"/>
        </w:rPr>
        <w:t>Health Counts</w:t>
      </w:r>
      <w:r w:rsidR="00CB2E13" w:rsidRPr="003A45D1">
        <w:rPr>
          <w:b/>
          <w:color w:val="A65588"/>
        </w:rPr>
        <w:t xml:space="preserve"> survey</w:t>
      </w:r>
      <w:r w:rsidR="00FA677C" w:rsidRPr="003A45D1">
        <w:rPr>
          <w:b/>
          <w:color w:val="A65588"/>
        </w:rPr>
        <w:t xml:space="preserve">, </w:t>
      </w:r>
      <w:r w:rsidR="00CB2E13" w:rsidRPr="003A45D1">
        <w:rPr>
          <w:b/>
          <w:bCs/>
          <w:color w:val="A65588"/>
        </w:rPr>
        <w:t>2024</w:t>
      </w:r>
    </w:p>
    <w:p w14:paraId="2A5DD1EE" w14:textId="1B7DB7C4" w:rsidR="008B7354" w:rsidRPr="00B13714" w:rsidRDefault="008B7354" w:rsidP="00B56BE7">
      <w:pPr>
        <w:spacing w:line="240" w:lineRule="auto"/>
        <w:rPr>
          <w:rFonts w:cs="Arial"/>
          <w:color w:val="000000" w:themeColor="text1"/>
          <w:szCs w:val="24"/>
        </w:rPr>
      </w:pPr>
      <w:r w:rsidRPr="008B7354">
        <w:rPr>
          <w:rFonts w:cs="Arial"/>
          <w:noProof/>
          <w:color w:val="000000" w:themeColor="text1"/>
          <w:szCs w:val="24"/>
        </w:rPr>
        <w:drawing>
          <wp:inline distT="0" distB="0" distL="0" distR="0" wp14:anchorId="40FF8E34" wp14:editId="6AE5249B">
            <wp:extent cx="5938571" cy="3832528"/>
            <wp:effectExtent l="0" t="0" r="5080" b="0"/>
            <wp:docPr id="1507488388" name="Picture 1" descr="A bar chart showing general health by long-term physical and mental health conditions, respondents aged 18-24 years, Health Counts 2024, Brighton &amp; Hove. &#10;&#10;67% of all respondents were in good or better health, compared to 51% of those with a long-term physical or mental health cond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88388" name="Picture 1" descr="A bar chart showing general health by long-term physical and mental health conditions, respondents aged 18-24 years, Health Counts 2024, Brighton &amp; Hove. &#10;&#10;67% of all respondents were in good or better health, compared to 51% of those with a long-term physical or mental health condition. "/>
                    <pic:cNvPicPr/>
                  </pic:nvPicPr>
                  <pic:blipFill>
                    <a:blip r:embed="rId70"/>
                    <a:stretch>
                      <a:fillRect/>
                    </a:stretch>
                  </pic:blipFill>
                  <pic:spPr>
                    <a:xfrm>
                      <a:off x="0" y="0"/>
                      <a:ext cx="6000820" cy="3872701"/>
                    </a:xfrm>
                    <a:prstGeom prst="rect">
                      <a:avLst/>
                    </a:prstGeom>
                  </pic:spPr>
                </pic:pic>
              </a:graphicData>
            </a:graphic>
          </wp:inline>
        </w:drawing>
      </w:r>
    </w:p>
    <w:p w14:paraId="716E383A" w14:textId="20B57979" w:rsidR="00EF295C" w:rsidRPr="008804DC" w:rsidRDefault="00B13714" w:rsidP="00D9246A">
      <w:pPr>
        <w:pStyle w:val="Caption"/>
        <w:rPr>
          <w:rFonts w:cs="Arial"/>
          <w:b w:val="0"/>
          <w:bCs w:val="0"/>
          <w:color w:val="086A76"/>
        </w:rPr>
      </w:pPr>
      <w:r w:rsidRPr="008804DC">
        <w:rPr>
          <w:rFonts w:cs="Arial"/>
          <w:b w:val="0"/>
          <w:bCs w:val="0"/>
          <w:color w:val="000000" w:themeColor="text1"/>
        </w:rPr>
        <w:t>Source: Health Counts 2024, University of Brighton, Brighton and Sussex Medical School and Brighton &amp; Hove City Council</w:t>
      </w:r>
    </w:p>
    <w:p w14:paraId="35330EC1" w14:textId="445ACE9E" w:rsidR="00DC3ECA" w:rsidRDefault="00DC3ECA" w:rsidP="00D9246A">
      <w:pPr>
        <w:spacing w:line="240" w:lineRule="auto"/>
        <w:rPr>
          <w:rFonts w:cs="Arial"/>
          <w:bCs/>
          <w:szCs w:val="24"/>
        </w:rPr>
      </w:pPr>
      <w:r w:rsidRPr="00C663EF">
        <w:rPr>
          <w:rFonts w:cs="Arial"/>
          <w:b/>
          <w:szCs w:val="24"/>
        </w:rPr>
        <w:t>*</w:t>
      </w:r>
      <w:r w:rsidR="00C663EF" w:rsidRPr="00C663EF">
        <w:rPr>
          <w:rFonts w:cs="Arial"/>
          <w:bCs/>
          <w:szCs w:val="24"/>
        </w:rPr>
        <w:t>Denotes</w:t>
      </w:r>
      <w:r w:rsidRPr="00C663EF">
        <w:rPr>
          <w:rFonts w:cs="Arial"/>
          <w:bCs/>
          <w:szCs w:val="24"/>
        </w:rPr>
        <w:t xml:space="preserve"> significantly </w:t>
      </w:r>
      <w:r w:rsidR="00C663EF" w:rsidRPr="00C663EF">
        <w:rPr>
          <w:rFonts w:cs="Arial"/>
          <w:bCs/>
          <w:szCs w:val="24"/>
        </w:rPr>
        <w:t>different from Brighton &amp; Hove</w:t>
      </w:r>
    </w:p>
    <w:p w14:paraId="409CDA9B" w14:textId="6CCC75FF" w:rsidR="00E2713D" w:rsidRPr="009F710F" w:rsidRDefault="009171A7" w:rsidP="001A7207">
      <w:pPr>
        <w:spacing w:line="240" w:lineRule="auto"/>
        <w:rPr>
          <w:rFonts w:cs="Arial"/>
          <w:b/>
          <w:color w:val="0079C2"/>
          <w:szCs w:val="24"/>
        </w:rPr>
      </w:pPr>
      <w:r w:rsidRPr="009F710F">
        <w:rPr>
          <w:rFonts w:cs="Arial"/>
          <w:b/>
          <w:color w:val="0079C2"/>
          <w:szCs w:val="24"/>
        </w:rPr>
        <w:t xml:space="preserve">Emotional wellbeing, </w:t>
      </w:r>
      <w:r w:rsidR="00737DB7" w:rsidRPr="009F710F">
        <w:rPr>
          <w:rFonts w:cs="Arial"/>
          <w:b/>
          <w:color w:val="0079C2"/>
          <w:szCs w:val="24"/>
        </w:rPr>
        <w:t>self-harm,</w:t>
      </w:r>
      <w:r w:rsidRPr="009F710F">
        <w:rPr>
          <w:rFonts w:cs="Arial"/>
          <w:b/>
          <w:color w:val="0079C2"/>
          <w:szCs w:val="24"/>
        </w:rPr>
        <w:t xml:space="preserve"> suicidal thoughts and attempts</w:t>
      </w:r>
    </w:p>
    <w:p w14:paraId="78C9BB3D" w14:textId="42358F39" w:rsidR="009171A7" w:rsidRPr="00595FE6" w:rsidRDefault="00FD294A" w:rsidP="009858E3">
      <w:pPr>
        <w:pStyle w:val="ListParagraph"/>
        <w:numPr>
          <w:ilvl w:val="0"/>
          <w:numId w:val="35"/>
        </w:numPr>
        <w:spacing w:line="240" w:lineRule="auto"/>
        <w:rPr>
          <w:rFonts w:cs="Arial"/>
          <w:color w:val="000000" w:themeColor="text1"/>
          <w:szCs w:val="24"/>
        </w:rPr>
      </w:pPr>
      <w:r w:rsidRPr="00595FE6">
        <w:rPr>
          <w:rFonts w:cs="Arial"/>
          <w:b/>
          <w:bCs/>
          <w:color w:val="000000" w:themeColor="text1"/>
          <w:szCs w:val="24"/>
        </w:rPr>
        <w:t>Respondents aged 18-24 years with a long-term physical or mental health condition were more likely, than all respondents aged 18-24, to have a low happiness score</w:t>
      </w:r>
      <w:r w:rsidR="00295536" w:rsidRPr="00595FE6">
        <w:rPr>
          <w:rFonts w:cs="Arial"/>
          <w:color w:val="000000" w:themeColor="text1"/>
          <w:szCs w:val="24"/>
        </w:rPr>
        <w:t xml:space="preserve"> – 41% for all 18-24 year olds, compared to 50% for 18-24 years with a long-term physical or mental health condition. </w:t>
      </w:r>
      <w:r w:rsidR="005F1C73">
        <w:rPr>
          <w:rFonts w:cs="Arial"/>
          <w:color w:val="000000" w:themeColor="text1"/>
          <w:szCs w:val="24"/>
        </w:rPr>
        <w:t>The low happiness score</w:t>
      </w:r>
      <w:r w:rsidR="00295536" w:rsidRPr="00595FE6">
        <w:rPr>
          <w:rFonts w:cs="Arial"/>
          <w:color w:val="000000" w:themeColor="text1"/>
          <w:szCs w:val="24"/>
        </w:rPr>
        <w:t xml:space="preserve"> was highest in </w:t>
      </w:r>
      <w:r w:rsidR="00295536" w:rsidRPr="006E43A6">
        <w:rPr>
          <w:rFonts w:cs="Arial"/>
          <w:szCs w:val="24"/>
        </w:rPr>
        <w:t>those</w:t>
      </w:r>
      <w:r w:rsidR="00295536" w:rsidRPr="00595FE6">
        <w:rPr>
          <w:rFonts w:cs="Arial"/>
          <w:color w:val="000000" w:themeColor="text1"/>
          <w:szCs w:val="24"/>
        </w:rPr>
        <w:t xml:space="preserve"> with</w:t>
      </w:r>
      <w:r w:rsidR="00324C15" w:rsidRPr="00595FE6">
        <w:rPr>
          <w:rFonts w:cs="Arial"/>
          <w:color w:val="000000" w:themeColor="text1"/>
          <w:szCs w:val="24"/>
        </w:rPr>
        <w:t xml:space="preserve"> a physical difference (71%), mental health condition (62%) or hearing or sight impairment (61%).</w:t>
      </w:r>
    </w:p>
    <w:p w14:paraId="34E4813F" w14:textId="202B0794" w:rsidR="00324C15" w:rsidRPr="00595FE6" w:rsidRDefault="00B70BC6" w:rsidP="009858E3">
      <w:pPr>
        <w:pStyle w:val="ListParagraph"/>
        <w:numPr>
          <w:ilvl w:val="0"/>
          <w:numId w:val="35"/>
        </w:numPr>
        <w:spacing w:line="240" w:lineRule="auto"/>
        <w:rPr>
          <w:rFonts w:cs="Arial"/>
          <w:color w:val="000000" w:themeColor="text1"/>
          <w:szCs w:val="24"/>
        </w:rPr>
      </w:pPr>
      <w:r w:rsidRPr="00595FE6">
        <w:rPr>
          <w:rFonts w:cs="Arial"/>
          <w:b/>
          <w:bCs/>
          <w:color w:val="000000" w:themeColor="text1"/>
          <w:szCs w:val="24"/>
        </w:rPr>
        <w:t xml:space="preserve">Having </w:t>
      </w:r>
      <w:r w:rsidR="003F43C5" w:rsidRPr="00595FE6">
        <w:rPr>
          <w:rFonts w:cs="Arial"/>
          <w:b/>
          <w:bCs/>
          <w:color w:val="000000" w:themeColor="text1"/>
          <w:szCs w:val="24"/>
        </w:rPr>
        <w:t>self-harmed</w:t>
      </w:r>
      <w:r w:rsidRPr="00595FE6">
        <w:rPr>
          <w:rFonts w:cs="Arial"/>
          <w:b/>
          <w:bCs/>
          <w:color w:val="000000" w:themeColor="text1"/>
          <w:szCs w:val="24"/>
        </w:rPr>
        <w:t xml:space="preserve"> in the last 12 months was also significantly higher</w:t>
      </w:r>
      <w:r w:rsidR="003A078D" w:rsidRPr="00595FE6">
        <w:rPr>
          <w:rFonts w:cs="Arial"/>
          <w:b/>
          <w:bCs/>
          <w:color w:val="000000" w:themeColor="text1"/>
          <w:szCs w:val="24"/>
        </w:rPr>
        <w:t xml:space="preserve"> for 18-24 year olds with a long-term physical or mental health condition</w:t>
      </w:r>
      <w:r w:rsidRPr="00595FE6">
        <w:rPr>
          <w:rFonts w:cs="Arial"/>
          <w:color w:val="000000" w:themeColor="text1"/>
          <w:szCs w:val="24"/>
        </w:rPr>
        <w:t xml:space="preserve"> –</w:t>
      </w:r>
      <w:r w:rsidR="000B21D5">
        <w:rPr>
          <w:rFonts w:cs="Arial"/>
          <w:color w:val="000000" w:themeColor="text1"/>
          <w:szCs w:val="24"/>
        </w:rPr>
        <w:t xml:space="preserve"> </w:t>
      </w:r>
      <w:r w:rsidRPr="00595FE6">
        <w:rPr>
          <w:rFonts w:cs="Arial"/>
          <w:color w:val="000000" w:themeColor="text1"/>
          <w:szCs w:val="24"/>
        </w:rPr>
        <w:t xml:space="preserve">39% of 18-24 years with a long-term physical or mental health condition compared to 27% of </w:t>
      </w:r>
      <w:r w:rsidR="00420769" w:rsidRPr="00595FE6">
        <w:rPr>
          <w:rFonts w:cs="Arial"/>
          <w:color w:val="000000" w:themeColor="text1"/>
          <w:szCs w:val="24"/>
        </w:rPr>
        <w:t xml:space="preserve">all </w:t>
      </w:r>
      <w:r w:rsidR="00420769" w:rsidRPr="00595FE6">
        <w:rPr>
          <w:rFonts w:cs="Arial"/>
          <w:color w:val="000000" w:themeColor="text1"/>
          <w:szCs w:val="24"/>
        </w:rPr>
        <w:lastRenderedPageBreak/>
        <w:t xml:space="preserve">18-24 year olds. </w:t>
      </w:r>
      <w:r w:rsidR="00E40F19">
        <w:rPr>
          <w:rFonts w:cs="Arial"/>
          <w:color w:val="000000" w:themeColor="text1"/>
          <w:szCs w:val="24"/>
        </w:rPr>
        <w:t>Self-</w:t>
      </w:r>
      <w:r w:rsidR="00E40F19" w:rsidRPr="00562B5B">
        <w:rPr>
          <w:rFonts w:cs="Arial"/>
          <w:color w:val="000000" w:themeColor="text1"/>
          <w:szCs w:val="24"/>
        </w:rPr>
        <w:t>harming</w:t>
      </w:r>
      <w:r w:rsidR="00420769" w:rsidRPr="00595FE6">
        <w:rPr>
          <w:rFonts w:cs="Arial"/>
          <w:color w:val="000000" w:themeColor="text1"/>
          <w:szCs w:val="24"/>
        </w:rPr>
        <w:t xml:space="preserve"> was highest in 18-24 year olds with mental health conditions (49%), </w:t>
      </w:r>
      <w:r w:rsidR="003F43C5" w:rsidRPr="00595FE6">
        <w:rPr>
          <w:rFonts w:cs="Arial"/>
          <w:color w:val="000000" w:themeColor="text1"/>
          <w:szCs w:val="24"/>
        </w:rPr>
        <w:t>Autism or learning difference (44%) or a physical difference (40%).</w:t>
      </w:r>
    </w:p>
    <w:p w14:paraId="4C0E2ECC" w14:textId="034772C4" w:rsidR="003F43C5" w:rsidRPr="00595FE6" w:rsidRDefault="000519D8" w:rsidP="009858E3">
      <w:pPr>
        <w:pStyle w:val="ListParagraph"/>
        <w:numPr>
          <w:ilvl w:val="0"/>
          <w:numId w:val="35"/>
        </w:numPr>
        <w:spacing w:line="240" w:lineRule="auto"/>
        <w:rPr>
          <w:rFonts w:cs="Arial"/>
          <w:color w:val="000000" w:themeColor="text1"/>
          <w:szCs w:val="24"/>
        </w:rPr>
      </w:pPr>
      <w:r w:rsidRPr="00595FE6">
        <w:rPr>
          <w:rFonts w:cs="Arial"/>
          <w:b/>
          <w:bCs/>
          <w:color w:val="000000" w:themeColor="text1"/>
          <w:szCs w:val="24"/>
        </w:rPr>
        <w:t xml:space="preserve">Almost half of all 18-24 year olds said that they had </w:t>
      </w:r>
      <w:r w:rsidR="00F74CCA" w:rsidRPr="00595FE6">
        <w:rPr>
          <w:rFonts w:cs="Arial"/>
          <w:b/>
          <w:bCs/>
          <w:color w:val="000000" w:themeColor="text1"/>
          <w:szCs w:val="24"/>
        </w:rPr>
        <w:t>thought of taking their life in the last 12 months even though they would not actually do it. This was higher for 18-24 year olds with a long-term physical or mental health condition at 63%,</w:t>
      </w:r>
      <w:r w:rsidR="00F74CCA" w:rsidRPr="00595FE6">
        <w:rPr>
          <w:rFonts w:cs="Arial"/>
          <w:color w:val="000000" w:themeColor="text1"/>
          <w:szCs w:val="24"/>
        </w:rPr>
        <w:t xml:space="preserve"> and highest for those with a mental health condition (78%), </w:t>
      </w:r>
      <w:r w:rsidR="002B3CF9" w:rsidRPr="00595FE6">
        <w:rPr>
          <w:rFonts w:cs="Arial"/>
          <w:color w:val="000000" w:themeColor="text1"/>
          <w:szCs w:val="24"/>
        </w:rPr>
        <w:t>Autism or learning difference (67%), physical difference or hearing/sight impairment (both 60%).</w:t>
      </w:r>
    </w:p>
    <w:p w14:paraId="7E599E35" w14:textId="7489781E" w:rsidR="00737DB7" w:rsidRPr="00595FE6" w:rsidRDefault="008C03EF" w:rsidP="009858E3">
      <w:pPr>
        <w:pStyle w:val="ListParagraph"/>
        <w:numPr>
          <w:ilvl w:val="0"/>
          <w:numId w:val="35"/>
        </w:numPr>
        <w:spacing w:line="240" w:lineRule="auto"/>
        <w:rPr>
          <w:rFonts w:cs="Arial"/>
          <w:color w:val="000000" w:themeColor="text1"/>
          <w:szCs w:val="24"/>
        </w:rPr>
      </w:pPr>
      <w:r w:rsidRPr="00595FE6">
        <w:rPr>
          <w:rFonts w:cs="Arial"/>
          <w:b/>
          <w:bCs/>
          <w:color w:val="000000" w:themeColor="text1"/>
          <w:szCs w:val="24"/>
        </w:rPr>
        <w:t>Respondents aged 18-24 years with a long-term physical or mental health condition were more likely to have ever attempted suicide</w:t>
      </w:r>
      <w:r w:rsidR="00A97B78" w:rsidRPr="00595FE6">
        <w:rPr>
          <w:rFonts w:cs="Arial"/>
          <w:color w:val="000000" w:themeColor="text1"/>
          <w:szCs w:val="24"/>
        </w:rPr>
        <w:t xml:space="preserve"> at 35% compared to 23% of all 18-24 year olds</w:t>
      </w:r>
      <w:r w:rsidR="00B94BEC" w:rsidRPr="00595FE6">
        <w:rPr>
          <w:rFonts w:cs="Arial"/>
          <w:color w:val="000000" w:themeColor="text1"/>
          <w:szCs w:val="24"/>
        </w:rPr>
        <w:t>.</w:t>
      </w:r>
    </w:p>
    <w:p w14:paraId="0B4C3A8C" w14:textId="239D18CA" w:rsidR="00B94BEC" w:rsidRPr="009F710F" w:rsidRDefault="00B94BEC" w:rsidP="00B94BEC">
      <w:pPr>
        <w:spacing w:line="240" w:lineRule="auto"/>
        <w:rPr>
          <w:rFonts w:cs="Arial"/>
          <w:b/>
          <w:color w:val="0079C2"/>
          <w:szCs w:val="24"/>
        </w:rPr>
      </w:pPr>
      <w:r w:rsidRPr="009F710F">
        <w:rPr>
          <w:rFonts w:cs="Arial"/>
          <w:b/>
          <w:color w:val="0079C2"/>
          <w:szCs w:val="24"/>
        </w:rPr>
        <w:t>Healthy lifestyles</w:t>
      </w:r>
    </w:p>
    <w:p w14:paraId="1614C75A" w14:textId="7DA6F2D7" w:rsidR="00425B45" w:rsidRPr="00595FE6" w:rsidRDefault="00B94BEC" w:rsidP="009858E3">
      <w:pPr>
        <w:pStyle w:val="ListParagraph"/>
        <w:numPr>
          <w:ilvl w:val="0"/>
          <w:numId w:val="35"/>
        </w:numPr>
        <w:spacing w:line="240" w:lineRule="auto"/>
        <w:rPr>
          <w:rFonts w:cs="Arial"/>
          <w:color w:val="000000" w:themeColor="text1"/>
          <w:szCs w:val="24"/>
        </w:rPr>
      </w:pPr>
      <w:r w:rsidRPr="00595FE6">
        <w:rPr>
          <w:rFonts w:cs="Arial"/>
          <w:b/>
          <w:bCs/>
          <w:color w:val="000000" w:themeColor="text1"/>
          <w:szCs w:val="24"/>
        </w:rPr>
        <w:t xml:space="preserve">There was little difference in </w:t>
      </w:r>
      <w:r w:rsidR="00767A41" w:rsidRPr="00595FE6">
        <w:rPr>
          <w:rFonts w:cs="Arial"/>
          <w:b/>
          <w:bCs/>
          <w:color w:val="000000" w:themeColor="text1"/>
          <w:szCs w:val="24"/>
        </w:rPr>
        <w:t>alcohol risk</w:t>
      </w:r>
      <w:r w:rsidRPr="00595FE6">
        <w:rPr>
          <w:rFonts w:cs="Arial"/>
          <w:color w:val="000000" w:themeColor="text1"/>
          <w:szCs w:val="24"/>
        </w:rPr>
        <w:t xml:space="preserve"> for 18-24 year olds with a physical or mental health condition</w:t>
      </w:r>
      <w:r w:rsidR="00425B45" w:rsidRPr="00595FE6">
        <w:rPr>
          <w:rFonts w:cs="Arial"/>
          <w:color w:val="000000" w:themeColor="text1"/>
          <w:szCs w:val="24"/>
        </w:rPr>
        <w:t xml:space="preserve"> (50%) compared to all 18-24 year olds (51%).</w:t>
      </w:r>
    </w:p>
    <w:p w14:paraId="61EE2ACD" w14:textId="22B55C71" w:rsidR="00F663F4" w:rsidRPr="00595FE6" w:rsidRDefault="00F663F4" w:rsidP="009858E3">
      <w:pPr>
        <w:pStyle w:val="ListParagraph"/>
        <w:numPr>
          <w:ilvl w:val="0"/>
          <w:numId w:val="35"/>
        </w:numPr>
        <w:spacing w:line="240" w:lineRule="auto"/>
        <w:rPr>
          <w:rFonts w:cs="Arial"/>
          <w:color w:val="000000" w:themeColor="text1"/>
          <w:szCs w:val="24"/>
        </w:rPr>
      </w:pPr>
      <w:r w:rsidRPr="00595FE6">
        <w:rPr>
          <w:rFonts w:cs="Arial"/>
          <w:b/>
          <w:bCs/>
          <w:color w:val="000000" w:themeColor="text1"/>
          <w:szCs w:val="24"/>
        </w:rPr>
        <w:t>Respondents aged 18-24 years with a long-term physical or mental health condition were more likely, than all respondents aged 18-24, to have used non-prescription drugs in the past 12 months</w:t>
      </w:r>
      <w:r w:rsidRPr="00595FE6">
        <w:rPr>
          <w:rFonts w:cs="Arial"/>
          <w:color w:val="000000" w:themeColor="text1"/>
          <w:szCs w:val="24"/>
        </w:rPr>
        <w:t xml:space="preserve"> – 35% for all 18-24 year olds, compared to 41% for 18-24 years with a long-term physical or mental health condition. It was highest in those with </w:t>
      </w:r>
      <w:r w:rsidR="006726A4" w:rsidRPr="00595FE6">
        <w:rPr>
          <w:rFonts w:cs="Arial"/>
          <w:color w:val="000000" w:themeColor="text1"/>
          <w:szCs w:val="24"/>
        </w:rPr>
        <w:t xml:space="preserve">Autism or learning difference (47%), </w:t>
      </w:r>
      <w:r w:rsidRPr="00595FE6">
        <w:rPr>
          <w:rFonts w:cs="Arial"/>
          <w:color w:val="000000" w:themeColor="text1"/>
          <w:szCs w:val="24"/>
        </w:rPr>
        <w:t>a physical difference (</w:t>
      </w:r>
      <w:r w:rsidR="006726A4" w:rsidRPr="00595FE6">
        <w:rPr>
          <w:rFonts w:cs="Arial"/>
          <w:color w:val="000000" w:themeColor="text1"/>
          <w:szCs w:val="24"/>
        </w:rPr>
        <w:t>47</w:t>
      </w:r>
      <w:r w:rsidRPr="00595FE6">
        <w:rPr>
          <w:rFonts w:cs="Arial"/>
          <w:color w:val="000000" w:themeColor="text1"/>
          <w:szCs w:val="24"/>
        </w:rPr>
        <w:t xml:space="preserve">%), </w:t>
      </w:r>
      <w:r w:rsidR="006726A4" w:rsidRPr="00595FE6">
        <w:rPr>
          <w:rFonts w:cs="Arial"/>
          <w:color w:val="000000" w:themeColor="text1"/>
          <w:szCs w:val="24"/>
        </w:rPr>
        <w:t xml:space="preserve">or </w:t>
      </w:r>
      <w:r w:rsidRPr="00595FE6">
        <w:rPr>
          <w:rFonts w:cs="Arial"/>
          <w:color w:val="000000" w:themeColor="text1"/>
          <w:szCs w:val="24"/>
        </w:rPr>
        <w:t>mental health condition (</w:t>
      </w:r>
      <w:r w:rsidR="006726A4" w:rsidRPr="00595FE6">
        <w:rPr>
          <w:rFonts w:cs="Arial"/>
          <w:color w:val="000000" w:themeColor="text1"/>
          <w:szCs w:val="24"/>
        </w:rPr>
        <w:t>45</w:t>
      </w:r>
      <w:r w:rsidRPr="00595FE6">
        <w:rPr>
          <w:rFonts w:cs="Arial"/>
          <w:color w:val="000000" w:themeColor="text1"/>
          <w:szCs w:val="24"/>
        </w:rPr>
        <w:t>%).</w:t>
      </w:r>
    </w:p>
    <w:p w14:paraId="2A88B179" w14:textId="7EF54F8C" w:rsidR="002411A4" w:rsidRPr="00595FE6" w:rsidRDefault="00FB51D6" w:rsidP="009858E3">
      <w:pPr>
        <w:pStyle w:val="ListParagraph"/>
        <w:numPr>
          <w:ilvl w:val="0"/>
          <w:numId w:val="35"/>
        </w:numPr>
        <w:spacing w:line="240" w:lineRule="auto"/>
        <w:rPr>
          <w:rFonts w:cs="Arial"/>
          <w:color w:val="000000" w:themeColor="text1"/>
          <w:szCs w:val="24"/>
        </w:rPr>
      </w:pPr>
      <w:r w:rsidRPr="00595FE6">
        <w:rPr>
          <w:rFonts w:cs="Arial"/>
          <w:b/>
          <w:bCs/>
          <w:color w:val="000000" w:themeColor="text1"/>
          <w:szCs w:val="24"/>
        </w:rPr>
        <w:t xml:space="preserve">Respondents aged 18-24 years with a long-term physical or mental health condition were less likely, than all respondents aged 18-24, to be a healthy weight </w:t>
      </w:r>
      <w:r w:rsidRPr="00595FE6">
        <w:rPr>
          <w:rFonts w:cs="Arial"/>
          <w:color w:val="000000" w:themeColor="text1"/>
          <w:szCs w:val="24"/>
        </w:rPr>
        <w:t>– 52% for all 18-24 year olds, compared to 45% for 18-24 years with a long-term physical or mental health condition.</w:t>
      </w:r>
    </w:p>
    <w:p w14:paraId="3C133382" w14:textId="0E46C91D" w:rsidR="00FB51D6" w:rsidRPr="009F710F" w:rsidRDefault="00F922B1" w:rsidP="00F922B1">
      <w:pPr>
        <w:spacing w:line="240" w:lineRule="auto"/>
        <w:rPr>
          <w:rFonts w:cs="Arial"/>
          <w:b/>
          <w:color w:val="0079C2"/>
          <w:szCs w:val="24"/>
        </w:rPr>
      </w:pPr>
      <w:r w:rsidRPr="009F710F">
        <w:rPr>
          <w:rFonts w:cs="Arial"/>
          <w:b/>
          <w:color w:val="0079C2"/>
          <w:szCs w:val="24"/>
        </w:rPr>
        <w:t>Social support, safety and harassment</w:t>
      </w:r>
    </w:p>
    <w:p w14:paraId="0C4E709D" w14:textId="6C02F98B" w:rsidR="00F922B1" w:rsidRPr="00595FE6" w:rsidRDefault="00F922B1" w:rsidP="009858E3">
      <w:pPr>
        <w:pStyle w:val="ListParagraph"/>
        <w:numPr>
          <w:ilvl w:val="0"/>
          <w:numId w:val="35"/>
        </w:numPr>
        <w:spacing w:line="240" w:lineRule="auto"/>
        <w:rPr>
          <w:rFonts w:cs="Arial"/>
          <w:color w:val="000000" w:themeColor="text1"/>
          <w:szCs w:val="24"/>
        </w:rPr>
      </w:pPr>
      <w:r w:rsidRPr="00595FE6">
        <w:rPr>
          <w:rFonts w:cs="Arial"/>
          <w:b/>
          <w:bCs/>
          <w:color w:val="000000" w:themeColor="text1"/>
          <w:szCs w:val="24"/>
        </w:rPr>
        <w:t xml:space="preserve">Respondents aged 18-24 years with a long-term physical or mental health condition were as likely, than all respondents aged 18-24, to say that </w:t>
      </w:r>
      <w:r w:rsidR="009B01DA" w:rsidRPr="00595FE6">
        <w:rPr>
          <w:rFonts w:cs="Arial"/>
          <w:b/>
          <w:bCs/>
          <w:color w:val="000000" w:themeColor="text1"/>
          <w:szCs w:val="24"/>
        </w:rPr>
        <w:t>if they were ill in bed that they had someone they could ask for help</w:t>
      </w:r>
      <w:r w:rsidRPr="00595FE6">
        <w:rPr>
          <w:rFonts w:cs="Arial"/>
          <w:color w:val="000000" w:themeColor="text1"/>
          <w:szCs w:val="24"/>
        </w:rPr>
        <w:t xml:space="preserve"> – </w:t>
      </w:r>
      <w:r w:rsidR="009B01DA" w:rsidRPr="00595FE6">
        <w:rPr>
          <w:rFonts w:cs="Arial"/>
          <w:color w:val="000000" w:themeColor="text1"/>
          <w:szCs w:val="24"/>
        </w:rPr>
        <w:t>68</w:t>
      </w:r>
      <w:r w:rsidRPr="00595FE6">
        <w:rPr>
          <w:rFonts w:cs="Arial"/>
          <w:color w:val="000000" w:themeColor="text1"/>
          <w:szCs w:val="24"/>
        </w:rPr>
        <w:t xml:space="preserve">% for all 18-24 year olds, compared to </w:t>
      </w:r>
      <w:r w:rsidR="009B01DA" w:rsidRPr="00595FE6">
        <w:rPr>
          <w:rFonts w:cs="Arial"/>
          <w:color w:val="000000" w:themeColor="text1"/>
          <w:szCs w:val="24"/>
        </w:rPr>
        <w:t>64</w:t>
      </w:r>
      <w:r w:rsidRPr="00595FE6">
        <w:rPr>
          <w:rFonts w:cs="Arial"/>
          <w:color w:val="000000" w:themeColor="text1"/>
          <w:szCs w:val="24"/>
        </w:rPr>
        <w:t xml:space="preserve">% for 18-24 years with a long-term physical or mental health condition. </w:t>
      </w:r>
      <w:r w:rsidR="009B01DA" w:rsidRPr="00595FE6">
        <w:rPr>
          <w:rFonts w:cs="Arial"/>
          <w:color w:val="000000" w:themeColor="text1"/>
          <w:szCs w:val="24"/>
        </w:rPr>
        <w:t>This was significantly lower for 18-24 year olds with</w:t>
      </w:r>
      <w:r w:rsidRPr="00595FE6">
        <w:rPr>
          <w:rFonts w:cs="Arial"/>
          <w:color w:val="000000" w:themeColor="text1"/>
          <w:szCs w:val="24"/>
        </w:rPr>
        <w:t xml:space="preserve"> Autism or learning difference (</w:t>
      </w:r>
      <w:r w:rsidR="009B01DA" w:rsidRPr="00595FE6">
        <w:rPr>
          <w:rFonts w:cs="Arial"/>
          <w:color w:val="000000" w:themeColor="text1"/>
          <w:szCs w:val="24"/>
        </w:rPr>
        <w:t>61</w:t>
      </w:r>
      <w:r w:rsidRPr="00595FE6">
        <w:rPr>
          <w:rFonts w:cs="Arial"/>
          <w:color w:val="000000" w:themeColor="text1"/>
          <w:szCs w:val="24"/>
        </w:rPr>
        <w:t>%), or mental health condition (</w:t>
      </w:r>
      <w:r w:rsidR="009B01DA" w:rsidRPr="00595FE6">
        <w:rPr>
          <w:rFonts w:cs="Arial"/>
          <w:color w:val="000000" w:themeColor="text1"/>
          <w:szCs w:val="24"/>
        </w:rPr>
        <w:t>59</w:t>
      </w:r>
      <w:r w:rsidRPr="00595FE6">
        <w:rPr>
          <w:rFonts w:cs="Arial"/>
          <w:color w:val="000000" w:themeColor="text1"/>
          <w:szCs w:val="24"/>
        </w:rPr>
        <w:t>%).</w:t>
      </w:r>
    </w:p>
    <w:p w14:paraId="047BE678" w14:textId="799C8227" w:rsidR="00BA1BA6" w:rsidRPr="00595FE6" w:rsidRDefault="00BA1BA6" w:rsidP="009858E3">
      <w:pPr>
        <w:pStyle w:val="ListParagraph"/>
        <w:numPr>
          <w:ilvl w:val="0"/>
          <w:numId w:val="35"/>
        </w:numPr>
        <w:spacing w:line="240" w:lineRule="auto"/>
        <w:rPr>
          <w:rFonts w:cs="Arial"/>
          <w:color w:val="000000" w:themeColor="text1"/>
          <w:szCs w:val="24"/>
        </w:rPr>
      </w:pPr>
      <w:r w:rsidRPr="00595FE6">
        <w:rPr>
          <w:rFonts w:cs="Arial"/>
          <w:b/>
          <w:bCs/>
          <w:color w:val="000000" w:themeColor="text1"/>
          <w:szCs w:val="24"/>
        </w:rPr>
        <w:t>Respondents aged 18-24 years with a long-term physical or mental health condition were less likely, than all respondents aged 18-24, to feel very or fairly safe walking alone at night in their local area</w:t>
      </w:r>
      <w:r w:rsidRPr="00595FE6">
        <w:rPr>
          <w:rFonts w:cs="Arial"/>
          <w:color w:val="000000" w:themeColor="text1"/>
          <w:szCs w:val="24"/>
        </w:rPr>
        <w:t xml:space="preserve"> – 52% for all 18-24 year olds, compared to </w:t>
      </w:r>
      <w:r w:rsidR="00DD6327" w:rsidRPr="00595FE6">
        <w:rPr>
          <w:rFonts w:cs="Arial"/>
          <w:color w:val="000000" w:themeColor="text1"/>
          <w:szCs w:val="24"/>
        </w:rPr>
        <w:t>42</w:t>
      </w:r>
      <w:r w:rsidRPr="00595FE6">
        <w:rPr>
          <w:rFonts w:cs="Arial"/>
          <w:color w:val="000000" w:themeColor="text1"/>
          <w:szCs w:val="24"/>
        </w:rPr>
        <w:t xml:space="preserve">% for 18-24 years with a long-term physical or mental health condition. This was </w:t>
      </w:r>
      <w:r w:rsidR="00DD6327" w:rsidRPr="00595FE6">
        <w:rPr>
          <w:rFonts w:cs="Arial"/>
          <w:color w:val="000000" w:themeColor="text1"/>
          <w:szCs w:val="24"/>
        </w:rPr>
        <w:t>lowest for</w:t>
      </w:r>
      <w:r w:rsidRPr="00595FE6">
        <w:rPr>
          <w:rFonts w:cs="Arial"/>
          <w:color w:val="000000" w:themeColor="text1"/>
          <w:szCs w:val="24"/>
        </w:rPr>
        <w:t xml:space="preserve"> 18-24 year olds with </w:t>
      </w:r>
      <w:r w:rsidR="00565A08" w:rsidRPr="00595FE6">
        <w:rPr>
          <w:rFonts w:cs="Arial"/>
          <w:color w:val="000000" w:themeColor="text1"/>
          <w:szCs w:val="24"/>
        </w:rPr>
        <w:t>a hearing/sight condition (23%)</w:t>
      </w:r>
      <w:r w:rsidRPr="00595FE6">
        <w:rPr>
          <w:rFonts w:cs="Arial"/>
          <w:color w:val="000000" w:themeColor="text1"/>
          <w:szCs w:val="24"/>
        </w:rPr>
        <w:t xml:space="preserve">, </w:t>
      </w:r>
      <w:r w:rsidR="00A64262" w:rsidRPr="00595FE6">
        <w:rPr>
          <w:rFonts w:cs="Arial"/>
          <w:color w:val="000000" w:themeColor="text1"/>
          <w:szCs w:val="24"/>
        </w:rPr>
        <w:t>physical difference (33%) or long-term physical illness/condition</w:t>
      </w:r>
      <w:r w:rsidRPr="00595FE6">
        <w:rPr>
          <w:rFonts w:cs="Arial"/>
          <w:color w:val="000000" w:themeColor="text1"/>
          <w:szCs w:val="24"/>
        </w:rPr>
        <w:t xml:space="preserve"> (</w:t>
      </w:r>
      <w:r w:rsidR="000F0FA5" w:rsidRPr="00595FE6">
        <w:rPr>
          <w:rFonts w:cs="Arial"/>
          <w:color w:val="000000" w:themeColor="text1"/>
          <w:szCs w:val="24"/>
        </w:rPr>
        <w:t>35</w:t>
      </w:r>
      <w:r w:rsidRPr="00595FE6">
        <w:rPr>
          <w:rFonts w:cs="Arial"/>
          <w:color w:val="000000" w:themeColor="text1"/>
          <w:szCs w:val="24"/>
        </w:rPr>
        <w:t>%).</w:t>
      </w:r>
    </w:p>
    <w:p w14:paraId="0DFED73C" w14:textId="0FDE2B03" w:rsidR="00EE0D14" w:rsidRPr="00595FE6" w:rsidRDefault="00EE0D14" w:rsidP="009858E3">
      <w:pPr>
        <w:pStyle w:val="ListParagraph"/>
        <w:numPr>
          <w:ilvl w:val="0"/>
          <w:numId w:val="35"/>
        </w:numPr>
        <w:spacing w:line="240" w:lineRule="auto"/>
        <w:rPr>
          <w:rFonts w:cs="Arial"/>
          <w:color w:val="000000" w:themeColor="text1"/>
          <w:szCs w:val="24"/>
        </w:rPr>
      </w:pPr>
      <w:r w:rsidRPr="00595FE6">
        <w:rPr>
          <w:rFonts w:cs="Arial"/>
          <w:b/>
          <w:bCs/>
          <w:color w:val="000000" w:themeColor="text1"/>
          <w:szCs w:val="24"/>
        </w:rPr>
        <w:t xml:space="preserve">Respondents aged 18-24 years with a long-term physical or mental health condition were more likely, than all respondents aged 18-24, to </w:t>
      </w:r>
      <w:r w:rsidR="00761A2D" w:rsidRPr="00595FE6">
        <w:rPr>
          <w:rFonts w:cs="Arial"/>
          <w:b/>
          <w:bCs/>
          <w:color w:val="000000" w:themeColor="text1"/>
          <w:szCs w:val="24"/>
        </w:rPr>
        <w:t>have been insulted or shouted at by a stranger in a public space</w:t>
      </w:r>
      <w:r w:rsidRPr="00595FE6">
        <w:rPr>
          <w:rFonts w:cs="Arial"/>
          <w:color w:val="000000" w:themeColor="text1"/>
          <w:szCs w:val="24"/>
        </w:rPr>
        <w:t xml:space="preserve"> – </w:t>
      </w:r>
      <w:r w:rsidR="00761A2D" w:rsidRPr="00595FE6">
        <w:rPr>
          <w:rFonts w:cs="Arial"/>
          <w:color w:val="000000" w:themeColor="text1"/>
          <w:szCs w:val="24"/>
        </w:rPr>
        <w:t>39</w:t>
      </w:r>
      <w:r w:rsidRPr="00595FE6">
        <w:rPr>
          <w:rFonts w:cs="Arial"/>
          <w:color w:val="000000" w:themeColor="text1"/>
          <w:szCs w:val="24"/>
        </w:rPr>
        <w:t xml:space="preserve">% for all 18-24 year olds, compared to </w:t>
      </w:r>
      <w:r w:rsidR="00761A2D" w:rsidRPr="00595FE6">
        <w:rPr>
          <w:rFonts w:cs="Arial"/>
          <w:color w:val="000000" w:themeColor="text1"/>
          <w:szCs w:val="24"/>
        </w:rPr>
        <w:t>44</w:t>
      </w:r>
      <w:r w:rsidRPr="00595FE6">
        <w:rPr>
          <w:rFonts w:cs="Arial"/>
          <w:color w:val="000000" w:themeColor="text1"/>
          <w:szCs w:val="24"/>
        </w:rPr>
        <w:t xml:space="preserve">% for 18-24 years with a long-term physical or mental health condition. This was </w:t>
      </w:r>
      <w:r w:rsidR="00761A2D" w:rsidRPr="00595FE6">
        <w:rPr>
          <w:rFonts w:cs="Arial"/>
          <w:color w:val="000000" w:themeColor="text1"/>
          <w:szCs w:val="24"/>
        </w:rPr>
        <w:t>highest</w:t>
      </w:r>
      <w:r w:rsidRPr="00595FE6">
        <w:rPr>
          <w:rFonts w:cs="Arial"/>
          <w:color w:val="000000" w:themeColor="text1"/>
          <w:szCs w:val="24"/>
        </w:rPr>
        <w:t xml:space="preserve"> for 18-24 year olds with a </w:t>
      </w:r>
      <w:r w:rsidR="00761A2D" w:rsidRPr="00595FE6">
        <w:rPr>
          <w:rFonts w:cs="Arial"/>
          <w:color w:val="000000" w:themeColor="text1"/>
          <w:szCs w:val="24"/>
        </w:rPr>
        <w:t xml:space="preserve">physical difference (50%), </w:t>
      </w:r>
      <w:r w:rsidR="00113D64" w:rsidRPr="00595FE6">
        <w:rPr>
          <w:rFonts w:cs="Arial"/>
          <w:color w:val="000000" w:themeColor="text1"/>
          <w:szCs w:val="24"/>
        </w:rPr>
        <w:t>mental health condition (48%), Autism or learning difference (45%)</w:t>
      </w:r>
      <w:r w:rsidR="003B43DA" w:rsidRPr="00595FE6">
        <w:rPr>
          <w:rFonts w:cs="Arial"/>
          <w:color w:val="000000" w:themeColor="text1"/>
          <w:szCs w:val="24"/>
        </w:rPr>
        <w:t>. There was a similar pattern for having felt physically threatened by a stranger in a public place.</w:t>
      </w:r>
    </w:p>
    <w:p w14:paraId="3E2A1D0C" w14:textId="2AD67754" w:rsidR="00BA1BA6" w:rsidRPr="00595FE6" w:rsidRDefault="008863F0" w:rsidP="009858E3">
      <w:pPr>
        <w:pStyle w:val="ListParagraph"/>
        <w:numPr>
          <w:ilvl w:val="0"/>
          <w:numId w:val="35"/>
        </w:numPr>
        <w:spacing w:line="240" w:lineRule="auto"/>
        <w:rPr>
          <w:rFonts w:cs="Arial"/>
          <w:color w:val="000000" w:themeColor="text1"/>
          <w:szCs w:val="24"/>
        </w:rPr>
      </w:pPr>
      <w:r w:rsidRPr="00595FE6">
        <w:rPr>
          <w:rFonts w:cs="Arial"/>
          <w:b/>
          <w:bCs/>
          <w:color w:val="000000" w:themeColor="text1"/>
          <w:szCs w:val="24"/>
        </w:rPr>
        <w:t xml:space="preserve">8% of respondents aged 18-24 years with a long-term physical or mental health condition feel fairly/very worried </w:t>
      </w:r>
      <w:r w:rsidR="00063C2A" w:rsidRPr="00595FE6">
        <w:rPr>
          <w:rFonts w:cs="Arial"/>
          <w:b/>
          <w:bCs/>
          <w:color w:val="000000" w:themeColor="text1"/>
          <w:szCs w:val="24"/>
        </w:rPr>
        <w:t xml:space="preserve">about being targeted by perpetrators of hate crime because of their disability or assumed disability. </w:t>
      </w:r>
      <w:r w:rsidR="00063C2A" w:rsidRPr="00595FE6">
        <w:rPr>
          <w:rFonts w:cs="Arial"/>
          <w:color w:val="000000" w:themeColor="text1"/>
          <w:szCs w:val="24"/>
        </w:rPr>
        <w:t xml:space="preserve">This was highest for </w:t>
      </w:r>
      <w:r w:rsidR="00D33C86">
        <w:rPr>
          <w:rFonts w:cs="Arial"/>
          <w:color w:val="000000" w:themeColor="text1"/>
          <w:szCs w:val="24"/>
        </w:rPr>
        <w:t>those</w:t>
      </w:r>
      <w:r w:rsidR="00063C2A" w:rsidRPr="00595FE6">
        <w:rPr>
          <w:rFonts w:cs="Arial"/>
          <w:color w:val="000000" w:themeColor="text1"/>
          <w:szCs w:val="24"/>
        </w:rPr>
        <w:t xml:space="preserve"> with a physical difference (</w:t>
      </w:r>
      <w:r w:rsidR="0032569F" w:rsidRPr="00595FE6">
        <w:rPr>
          <w:rFonts w:cs="Arial"/>
          <w:color w:val="000000" w:themeColor="text1"/>
          <w:szCs w:val="24"/>
        </w:rPr>
        <w:t>20</w:t>
      </w:r>
      <w:r w:rsidR="00063C2A" w:rsidRPr="00595FE6">
        <w:rPr>
          <w:rFonts w:cs="Arial"/>
          <w:color w:val="000000" w:themeColor="text1"/>
          <w:szCs w:val="24"/>
        </w:rPr>
        <w:t>%), Autism or learning difference (</w:t>
      </w:r>
      <w:r w:rsidR="0032569F" w:rsidRPr="00595FE6">
        <w:rPr>
          <w:rFonts w:cs="Arial"/>
          <w:color w:val="000000" w:themeColor="text1"/>
          <w:szCs w:val="24"/>
        </w:rPr>
        <w:t>14</w:t>
      </w:r>
      <w:r w:rsidR="00063C2A" w:rsidRPr="00595FE6">
        <w:rPr>
          <w:rFonts w:cs="Arial"/>
          <w:color w:val="000000" w:themeColor="text1"/>
          <w:szCs w:val="24"/>
        </w:rPr>
        <w:t>%).</w:t>
      </w:r>
    </w:p>
    <w:p w14:paraId="4F07A515" w14:textId="67594E75" w:rsidR="002D6EC1" w:rsidRPr="00595FE6" w:rsidRDefault="002D6EC1" w:rsidP="00D9246A">
      <w:pPr>
        <w:pStyle w:val="Heading2"/>
        <w:spacing w:before="0" w:after="120"/>
      </w:pPr>
      <w:r w:rsidRPr="00595FE6">
        <w:lastRenderedPageBreak/>
        <w:t xml:space="preserve">Local </w:t>
      </w:r>
      <w:r w:rsidR="00586181">
        <w:t>referrals</w:t>
      </w:r>
    </w:p>
    <w:p w14:paraId="2A2B50ED" w14:textId="41DBE62B" w:rsidR="00EA36DE" w:rsidRPr="005E2A70" w:rsidRDefault="00637F2D" w:rsidP="00D9246A">
      <w:pPr>
        <w:spacing w:line="240" w:lineRule="auto"/>
        <w:rPr>
          <w:rFonts w:cs="Arial"/>
          <w:szCs w:val="24"/>
        </w:rPr>
      </w:pPr>
      <w:r>
        <w:rPr>
          <w:rFonts w:cs="Arial"/>
          <w:szCs w:val="24"/>
        </w:rPr>
        <w:t xml:space="preserve">This section summarises </w:t>
      </w:r>
      <w:r w:rsidR="00280AE7">
        <w:rPr>
          <w:rFonts w:cs="Arial"/>
          <w:szCs w:val="24"/>
        </w:rPr>
        <w:t xml:space="preserve">local </w:t>
      </w:r>
      <w:r>
        <w:rPr>
          <w:rFonts w:cs="Arial"/>
          <w:szCs w:val="24"/>
        </w:rPr>
        <w:t xml:space="preserve">data available on </w:t>
      </w:r>
      <w:r w:rsidR="00280AE7">
        <w:rPr>
          <w:rFonts w:cs="Arial"/>
          <w:szCs w:val="24"/>
        </w:rPr>
        <w:t>open autism referrals</w:t>
      </w:r>
      <w:r w:rsidR="00F0110B">
        <w:rPr>
          <w:rFonts w:cs="Arial"/>
          <w:szCs w:val="24"/>
        </w:rPr>
        <w:t xml:space="preserve"> for 0-25 year olds (</w:t>
      </w:r>
      <w:r w:rsidR="00280AE7">
        <w:rPr>
          <w:rFonts w:cs="Arial"/>
          <w:szCs w:val="24"/>
        </w:rPr>
        <w:t>provided</w:t>
      </w:r>
      <w:r w:rsidR="00F0110B">
        <w:rPr>
          <w:rFonts w:cs="Arial"/>
          <w:szCs w:val="24"/>
        </w:rPr>
        <w:t xml:space="preserve"> by</w:t>
      </w:r>
      <w:r w:rsidR="00280AE7">
        <w:rPr>
          <w:rFonts w:cs="Arial"/>
          <w:szCs w:val="24"/>
        </w:rPr>
        <w:t xml:space="preserve"> </w:t>
      </w:r>
      <w:r w:rsidR="00480FFA">
        <w:rPr>
          <w:rFonts w:cs="Arial"/>
          <w:szCs w:val="24"/>
        </w:rPr>
        <w:t>NHS England</w:t>
      </w:r>
      <w:r w:rsidR="00F0110B">
        <w:rPr>
          <w:rFonts w:cs="Arial"/>
          <w:szCs w:val="24"/>
        </w:rPr>
        <w:t xml:space="preserve">) and </w:t>
      </w:r>
      <w:r w:rsidR="00636122">
        <w:t>n</w:t>
      </w:r>
      <w:r w:rsidR="00636122" w:rsidRPr="00636122">
        <w:t>eurodevelopmental</w:t>
      </w:r>
      <w:r w:rsidR="00636122" w:rsidRPr="00636122">
        <w:rPr>
          <w:rFonts w:cs="Arial"/>
          <w:szCs w:val="24"/>
        </w:rPr>
        <w:t xml:space="preserve"> assessment</w:t>
      </w:r>
      <w:r w:rsidR="00D75DBC">
        <w:rPr>
          <w:rFonts w:cs="Arial"/>
          <w:szCs w:val="24"/>
        </w:rPr>
        <w:t xml:space="preserve"> </w:t>
      </w:r>
      <w:r w:rsidR="00B6677E">
        <w:rPr>
          <w:rFonts w:cs="Arial"/>
          <w:szCs w:val="24"/>
        </w:rPr>
        <w:t xml:space="preserve">referrals </w:t>
      </w:r>
      <w:r w:rsidR="00D75DBC">
        <w:rPr>
          <w:rFonts w:cs="Arial"/>
          <w:szCs w:val="24"/>
        </w:rPr>
        <w:t xml:space="preserve">for </w:t>
      </w:r>
      <w:r w:rsidR="004612DF">
        <w:rPr>
          <w:rFonts w:cs="Arial"/>
          <w:szCs w:val="24"/>
        </w:rPr>
        <w:t>a</w:t>
      </w:r>
      <w:r w:rsidR="00636122" w:rsidRPr="00636122">
        <w:rPr>
          <w:rFonts w:cs="Arial"/>
          <w:szCs w:val="24"/>
        </w:rPr>
        <w:t>utism and ADHD</w:t>
      </w:r>
      <w:r w:rsidR="004612DF">
        <w:rPr>
          <w:rFonts w:cs="Arial"/>
          <w:szCs w:val="24"/>
        </w:rPr>
        <w:t xml:space="preserve"> (available on Pan-Sussex dashboard)</w:t>
      </w:r>
      <w:r w:rsidR="00B943AF">
        <w:rPr>
          <w:rFonts w:cs="Arial"/>
          <w:szCs w:val="24"/>
        </w:rPr>
        <w:t>.</w:t>
      </w:r>
    </w:p>
    <w:p w14:paraId="438C19B5" w14:textId="211E8043" w:rsidR="003568CE" w:rsidRPr="00595FE6" w:rsidRDefault="003568CE" w:rsidP="0096012C">
      <w:pPr>
        <w:pStyle w:val="Heading3"/>
      </w:pPr>
      <w:r w:rsidRPr="00595FE6">
        <w:t xml:space="preserve">Autism and </w:t>
      </w:r>
      <w:r w:rsidR="009C5D64">
        <w:t>ND</w:t>
      </w:r>
      <w:r w:rsidRPr="00595FE6">
        <w:t xml:space="preserve"> assessment</w:t>
      </w:r>
    </w:p>
    <w:p w14:paraId="4B5D1A3E" w14:textId="7680EEF9" w:rsidR="00144EE1" w:rsidRDefault="00144EE1" w:rsidP="00B431B6">
      <w:pPr>
        <w:pStyle w:val="Heading4"/>
      </w:pPr>
      <w:r w:rsidRPr="00144EE1">
        <w:t>NHS England autism waiting times</w:t>
      </w:r>
      <w:r>
        <w:t xml:space="preserve"> </w:t>
      </w:r>
    </w:p>
    <w:p w14:paraId="0099F6D1" w14:textId="79CD782A" w:rsidR="00790CFC" w:rsidRDefault="003568CE" w:rsidP="00D9246A">
      <w:pPr>
        <w:spacing w:line="240" w:lineRule="auto"/>
        <w:rPr>
          <w:rFonts w:cs="Arial"/>
          <w:szCs w:val="24"/>
        </w:rPr>
      </w:pPr>
      <w:r w:rsidRPr="00595FE6">
        <w:rPr>
          <w:rFonts w:cs="Arial"/>
          <w:szCs w:val="24"/>
        </w:rPr>
        <w:t xml:space="preserve">NHS England provide data on open referrals </w:t>
      </w:r>
      <w:r w:rsidR="003E4D01" w:rsidRPr="003E4D01">
        <w:rPr>
          <w:rFonts w:cs="Arial"/>
          <w:szCs w:val="24"/>
        </w:rPr>
        <w:t>based on the time between a referral for suspected autism and the first care contact associated with that referral.</w:t>
      </w:r>
      <w:r w:rsidR="005F3599">
        <w:rPr>
          <w:rFonts w:cs="Arial"/>
          <w:szCs w:val="24"/>
        </w:rPr>
        <w:t xml:space="preserve"> </w:t>
      </w:r>
      <w:r w:rsidR="00A81ACB">
        <w:rPr>
          <w:rFonts w:cs="Arial"/>
          <w:szCs w:val="24"/>
        </w:rPr>
        <w:t xml:space="preserve">Monthly data is provided on a group of measures by age group. </w:t>
      </w:r>
      <w:r w:rsidR="00383D53">
        <w:rPr>
          <w:rFonts w:cs="Arial"/>
          <w:szCs w:val="24"/>
        </w:rPr>
        <w:t>T</w:t>
      </w:r>
      <w:r w:rsidR="003851DD">
        <w:rPr>
          <w:rFonts w:cs="Arial"/>
          <w:szCs w:val="24"/>
        </w:rPr>
        <w:t>he</w:t>
      </w:r>
      <w:r w:rsidR="00235586">
        <w:rPr>
          <w:rFonts w:cs="Arial"/>
          <w:szCs w:val="24"/>
        </w:rPr>
        <w:t>se</w:t>
      </w:r>
      <w:r w:rsidR="003851DD">
        <w:rPr>
          <w:rFonts w:cs="Arial"/>
          <w:szCs w:val="24"/>
        </w:rPr>
        <w:t xml:space="preserve"> </w:t>
      </w:r>
      <w:r w:rsidR="00235586">
        <w:rPr>
          <w:rFonts w:cs="Arial"/>
          <w:szCs w:val="24"/>
        </w:rPr>
        <w:t xml:space="preserve">are </w:t>
      </w:r>
      <w:r w:rsidR="004E6365">
        <w:rPr>
          <w:rFonts w:cs="Arial"/>
          <w:szCs w:val="24"/>
        </w:rPr>
        <w:t xml:space="preserve">experimental statistics </w:t>
      </w:r>
      <w:r w:rsidR="00235586">
        <w:rPr>
          <w:rFonts w:cs="Arial"/>
          <w:szCs w:val="24"/>
        </w:rPr>
        <w:t>(</w:t>
      </w:r>
      <w:r w:rsidR="004E6365">
        <w:rPr>
          <w:rFonts w:cs="Arial"/>
          <w:szCs w:val="24"/>
        </w:rPr>
        <w:t>official statistics in development</w:t>
      </w:r>
      <w:r w:rsidR="00235586">
        <w:rPr>
          <w:rFonts w:cs="Arial"/>
          <w:szCs w:val="24"/>
        </w:rPr>
        <w:t xml:space="preserve">) </w:t>
      </w:r>
      <w:r w:rsidR="001D3009">
        <w:rPr>
          <w:rFonts w:cs="Arial"/>
          <w:szCs w:val="24"/>
        </w:rPr>
        <w:t>published by NHS Digital</w:t>
      </w:r>
      <w:r w:rsidR="004E6365">
        <w:rPr>
          <w:rFonts w:cs="Arial"/>
          <w:szCs w:val="24"/>
        </w:rPr>
        <w:t xml:space="preserve">. </w:t>
      </w:r>
    </w:p>
    <w:p w14:paraId="70C32046" w14:textId="1DCA77D6" w:rsidR="003568CE" w:rsidRPr="00595FE6" w:rsidRDefault="00CF2993" w:rsidP="00D9246A">
      <w:pPr>
        <w:spacing w:line="240" w:lineRule="auto"/>
        <w:rPr>
          <w:rFonts w:cs="Arial"/>
          <w:szCs w:val="24"/>
        </w:rPr>
      </w:pPr>
      <w:r>
        <w:rPr>
          <w:rFonts w:cs="Arial"/>
          <w:szCs w:val="24"/>
        </w:rPr>
        <w:t>C</w:t>
      </w:r>
      <w:r w:rsidR="00A129A6" w:rsidRPr="00B6409A">
        <w:rPr>
          <w:rFonts w:cs="Arial"/>
          <w:szCs w:val="24"/>
        </w:rPr>
        <w:t xml:space="preserve">hild and adolescent mental health </w:t>
      </w:r>
      <w:r>
        <w:rPr>
          <w:rFonts w:cs="Arial"/>
          <w:szCs w:val="24"/>
        </w:rPr>
        <w:t>(</w:t>
      </w:r>
      <w:r w:rsidR="00B6409A" w:rsidRPr="00B6409A">
        <w:rPr>
          <w:rFonts w:cs="Arial"/>
          <w:szCs w:val="24"/>
        </w:rPr>
        <w:t>CAMH</w:t>
      </w:r>
      <w:r>
        <w:rPr>
          <w:rFonts w:cs="Arial"/>
          <w:szCs w:val="24"/>
        </w:rPr>
        <w:t>)</w:t>
      </w:r>
      <w:r w:rsidR="00B6409A" w:rsidRPr="00B6409A">
        <w:rPr>
          <w:rFonts w:cs="Arial"/>
          <w:szCs w:val="24"/>
        </w:rPr>
        <w:t xml:space="preserve"> services </w:t>
      </w:r>
      <w:r>
        <w:rPr>
          <w:rFonts w:cs="Arial"/>
          <w:szCs w:val="24"/>
        </w:rPr>
        <w:t xml:space="preserve">data </w:t>
      </w:r>
      <w:r w:rsidR="00B6409A" w:rsidRPr="00B6409A">
        <w:rPr>
          <w:rFonts w:cs="Arial"/>
          <w:szCs w:val="24"/>
        </w:rPr>
        <w:t>is reported alongside adult mental healthcare activity in the Mental Health Services Dataset (MHSDS). Activity in community paediatric services is reported through the Community Services Dataset (CSDS)</w:t>
      </w:r>
      <w:r w:rsidR="00A630D9">
        <w:rPr>
          <w:rFonts w:cs="Arial"/>
          <w:szCs w:val="24"/>
        </w:rPr>
        <w:t>, this is currently not included in this data report.</w:t>
      </w:r>
      <w:r w:rsidR="009A42B9">
        <w:rPr>
          <w:rFonts w:cs="Arial"/>
          <w:szCs w:val="24"/>
        </w:rPr>
        <w:t xml:space="preserve"> For Brighton &amp; Hove, there are low numbers of open referrals for </w:t>
      </w:r>
      <w:r w:rsidR="00A908E7">
        <w:rPr>
          <w:rFonts w:cs="Arial"/>
          <w:szCs w:val="24"/>
        </w:rPr>
        <w:t xml:space="preserve">those aged under 10 years (breakdowns available are under 10, 10-17 and 18+ years), which suggests that </w:t>
      </w:r>
      <w:r w:rsidR="00790CFC">
        <w:rPr>
          <w:rFonts w:cs="Arial"/>
          <w:szCs w:val="24"/>
        </w:rPr>
        <w:t>it does not include data from community paediatric services and so is not included with this summary.</w:t>
      </w:r>
      <w:r w:rsidR="002420F9">
        <w:rPr>
          <w:rStyle w:val="EndnoteReference"/>
          <w:szCs w:val="24"/>
        </w:rPr>
        <w:endnoteReference w:id="59"/>
      </w:r>
      <w:r w:rsidR="00790CFC">
        <w:rPr>
          <w:rFonts w:cs="Arial"/>
          <w:szCs w:val="24"/>
        </w:rPr>
        <w:t xml:space="preserve"> </w:t>
      </w:r>
    </w:p>
    <w:p w14:paraId="7C6AB9AC" w14:textId="1A915E46" w:rsidR="00060B84" w:rsidRPr="004D38C5" w:rsidRDefault="004D38C5" w:rsidP="00B431B6">
      <w:pPr>
        <w:pStyle w:val="Heading4"/>
        <w:rPr>
          <w:lang w:eastAsia="en-GB"/>
        </w:rPr>
      </w:pPr>
      <w:r w:rsidRPr="004D38C5">
        <w:t>Sussex Integrated Care System Children and Young People’s dashboard</w:t>
      </w:r>
    </w:p>
    <w:p w14:paraId="5E529679" w14:textId="7766C1BA" w:rsidR="003568CE" w:rsidRPr="00595FE6" w:rsidRDefault="003568CE" w:rsidP="00D9246A">
      <w:pPr>
        <w:spacing w:line="240" w:lineRule="auto"/>
        <w:rPr>
          <w:rFonts w:cs="Arial"/>
          <w:bCs/>
          <w:szCs w:val="24"/>
        </w:rPr>
      </w:pPr>
      <w:r w:rsidRPr="00595FE6">
        <w:rPr>
          <w:rFonts w:cs="Arial"/>
          <w:bCs/>
          <w:szCs w:val="24"/>
        </w:rPr>
        <w:t>There has previously been a lack of consistent data on autism assessment pathways. The Sussex Integrated Care System now has a Children and Young People’s dashboard which is bringing together information on the pathway for those aged 0-17 years. Note that 18</w:t>
      </w:r>
      <w:r w:rsidR="001F18D9" w:rsidRPr="00595FE6">
        <w:rPr>
          <w:rFonts w:cs="Arial"/>
          <w:bCs/>
          <w:szCs w:val="24"/>
        </w:rPr>
        <w:t>–</w:t>
      </w:r>
      <w:r w:rsidRPr="00595FE6">
        <w:rPr>
          <w:rFonts w:cs="Arial"/>
          <w:bCs/>
          <w:szCs w:val="24"/>
        </w:rPr>
        <w:t>24</w:t>
      </w:r>
      <w:r w:rsidR="001F18D9" w:rsidRPr="00595FE6">
        <w:rPr>
          <w:rFonts w:cs="Arial"/>
          <w:bCs/>
          <w:szCs w:val="24"/>
        </w:rPr>
        <w:t>-</w:t>
      </w:r>
      <w:r w:rsidRPr="00595FE6">
        <w:rPr>
          <w:rFonts w:cs="Arial"/>
          <w:bCs/>
          <w:szCs w:val="24"/>
        </w:rPr>
        <w:t>year</w:t>
      </w:r>
      <w:r w:rsidR="001F18D9" w:rsidRPr="00595FE6">
        <w:rPr>
          <w:rFonts w:cs="Arial"/>
          <w:bCs/>
          <w:szCs w:val="24"/>
        </w:rPr>
        <w:t>-</w:t>
      </w:r>
      <w:r w:rsidRPr="00595FE6">
        <w:rPr>
          <w:rFonts w:cs="Arial"/>
          <w:bCs/>
          <w:szCs w:val="24"/>
        </w:rPr>
        <w:t>olds are not included within these figures.</w:t>
      </w:r>
    </w:p>
    <w:p w14:paraId="21638D6E" w14:textId="4DA58200" w:rsidR="003568CE" w:rsidRPr="00595FE6" w:rsidRDefault="003568CE" w:rsidP="00D9246A">
      <w:pPr>
        <w:spacing w:line="240" w:lineRule="auto"/>
        <w:rPr>
          <w:rFonts w:cs="Arial"/>
          <w:b/>
          <w:szCs w:val="24"/>
        </w:rPr>
      </w:pPr>
      <w:r w:rsidRPr="00595FE6">
        <w:rPr>
          <w:rFonts w:cs="Arial"/>
          <w:b/>
          <w:szCs w:val="24"/>
        </w:rPr>
        <w:t xml:space="preserve">This information is only available from this source since </w:t>
      </w:r>
      <w:r w:rsidR="00811A1F">
        <w:rPr>
          <w:rFonts w:cs="Arial"/>
          <w:b/>
          <w:szCs w:val="24"/>
        </w:rPr>
        <w:t>June</w:t>
      </w:r>
      <w:r w:rsidRPr="00595FE6">
        <w:rPr>
          <w:rFonts w:cs="Arial"/>
          <w:b/>
          <w:szCs w:val="24"/>
        </w:rPr>
        <w:t xml:space="preserve"> 2023, but shows that between September 2023 and September 2024:</w:t>
      </w:r>
    </w:p>
    <w:p w14:paraId="033576E7" w14:textId="692F3769" w:rsidR="003568CE" w:rsidRPr="00595FE6" w:rsidRDefault="00F017CE" w:rsidP="009858E3">
      <w:pPr>
        <w:pStyle w:val="ListParagraph"/>
        <w:numPr>
          <w:ilvl w:val="0"/>
          <w:numId w:val="35"/>
        </w:numPr>
        <w:spacing w:line="240" w:lineRule="auto"/>
        <w:rPr>
          <w:rFonts w:cs="Arial"/>
          <w:b/>
          <w:szCs w:val="24"/>
        </w:rPr>
      </w:pPr>
      <w:r>
        <w:rPr>
          <w:rFonts w:cs="Arial"/>
          <w:b/>
          <w:szCs w:val="24"/>
        </w:rPr>
        <w:t>New r</w:t>
      </w:r>
      <w:r w:rsidR="003568CE" w:rsidRPr="00595FE6">
        <w:rPr>
          <w:rFonts w:cs="Arial"/>
          <w:b/>
          <w:szCs w:val="24"/>
        </w:rPr>
        <w:t xml:space="preserve">eferrals for </w:t>
      </w:r>
      <w:r w:rsidR="003568CE" w:rsidRPr="00595FE6">
        <w:rPr>
          <w:rStyle w:val="Hyperlink"/>
          <w:rFonts w:cs="Arial"/>
          <w:b/>
          <w:color w:val="000000" w:themeColor="text1"/>
          <w:szCs w:val="24"/>
          <w:u w:val="none"/>
        </w:rPr>
        <w:t>Neurodevelopmental</w:t>
      </w:r>
      <w:r w:rsidR="003568CE" w:rsidRPr="00595FE6">
        <w:rPr>
          <w:rFonts w:cs="Arial"/>
          <w:b/>
          <w:szCs w:val="24"/>
        </w:rPr>
        <w:t xml:space="preserve"> assessment (Autism and ADHD) have fallen from 1.6 per 1,000 people in September 2023 to 0.8 per 1,000 population in September 202</w:t>
      </w:r>
      <w:r w:rsidR="005E1EFC">
        <w:rPr>
          <w:rFonts w:cs="Arial"/>
          <w:b/>
          <w:szCs w:val="24"/>
        </w:rPr>
        <w:t xml:space="preserve">4 </w:t>
      </w:r>
      <w:r w:rsidR="005E1EFC">
        <w:rPr>
          <w:rFonts w:cs="Arial"/>
          <w:bCs/>
          <w:szCs w:val="24"/>
        </w:rPr>
        <w:t>(</w:t>
      </w:r>
      <w:r w:rsidR="005E1EFC" w:rsidRPr="00164B8B">
        <w:rPr>
          <w:rFonts w:cs="Arial"/>
          <w:bCs/>
          <w:szCs w:val="24"/>
        </w:rPr>
        <w:t>Figure 2</w:t>
      </w:r>
      <w:r w:rsidR="00B848DA" w:rsidRPr="0092412A">
        <w:rPr>
          <w:rFonts w:cs="Arial"/>
          <w:bCs/>
          <w:szCs w:val="24"/>
        </w:rPr>
        <w:t>0</w:t>
      </w:r>
      <w:r w:rsidR="005E1EFC">
        <w:rPr>
          <w:rFonts w:cs="Arial"/>
          <w:bCs/>
          <w:szCs w:val="24"/>
        </w:rPr>
        <w:t>)</w:t>
      </w:r>
    </w:p>
    <w:p w14:paraId="351F2967" w14:textId="536D98B3" w:rsidR="003568CE" w:rsidRPr="00595FE6" w:rsidRDefault="003568CE" w:rsidP="009858E3">
      <w:pPr>
        <w:pStyle w:val="ListParagraph"/>
        <w:numPr>
          <w:ilvl w:val="0"/>
          <w:numId w:val="35"/>
        </w:numPr>
        <w:spacing w:line="240" w:lineRule="auto"/>
        <w:rPr>
          <w:rFonts w:cs="Arial"/>
          <w:b/>
          <w:szCs w:val="24"/>
        </w:rPr>
      </w:pPr>
      <w:r w:rsidRPr="00595FE6">
        <w:rPr>
          <w:rFonts w:cs="Arial"/>
          <w:b/>
          <w:szCs w:val="24"/>
        </w:rPr>
        <w:t xml:space="preserve">The average wait time in weeks for neurodevelopment assessment in children increased from 23 weeks in September 2023 to 27 weeks in </w:t>
      </w:r>
      <w:r w:rsidR="002C24BF">
        <w:rPr>
          <w:rFonts w:cs="Arial"/>
          <w:b/>
          <w:szCs w:val="24"/>
        </w:rPr>
        <w:t>June</w:t>
      </w:r>
      <w:r w:rsidRPr="00595FE6">
        <w:rPr>
          <w:rFonts w:cs="Arial"/>
          <w:b/>
          <w:szCs w:val="24"/>
        </w:rPr>
        <w:t xml:space="preserve"> 2024</w:t>
      </w:r>
      <w:r w:rsidR="005E1EFC">
        <w:rPr>
          <w:rFonts w:cs="Arial"/>
          <w:b/>
          <w:szCs w:val="24"/>
        </w:rPr>
        <w:t xml:space="preserve"> </w:t>
      </w:r>
      <w:r w:rsidR="005E1EFC">
        <w:rPr>
          <w:rFonts w:cs="Arial"/>
          <w:bCs/>
          <w:szCs w:val="24"/>
        </w:rPr>
        <w:t>(</w:t>
      </w:r>
      <w:r w:rsidR="005E1EFC" w:rsidRPr="00164B8B">
        <w:rPr>
          <w:rFonts w:cs="Arial"/>
          <w:bCs/>
          <w:szCs w:val="24"/>
        </w:rPr>
        <w:t>Figure 2</w:t>
      </w:r>
      <w:r w:rsidR="00FE0A03" w:rsidRPr="0092412A">
        <w:rPr>
          <w:rFonts w:cs="Arial"/>
          <w:bCs/>
          <w:szCs w:val="24"/>
        </w:rPr>
        <w:t>1</w:t>
      </w:r>
      <w:r w:rsidR="005E1EFC">
        <w:rPr>
          <w:rFonts w:cs="Arial"/>
          <w:bCs/>
          <w:szCs w:val="24"/>
        </w:rPr>
        <w:t>)</w:t>
      </w:r>
    </w:p>
    <w:p w14:paraId="078411B7" w14:textId="2E87F7E6" w:rsidR="003568CE" w:rsidRPr="00595FE6" w:rsidRDefault="003568CE" w:rsidP="009858E3">
      <w:pPr>
        <w:pStyle w:val="ListParagraph"/>
        <w:numPr>
          <w:ilvl w:val="0"/>
          <w:numId w:val="35"/>
        </w:numPr>
        <w:spacing w:line="240" w:lineRule="auto"/>
        <w:rPr>
          <w:rFonts w:cs="Arial"/>
          <w:bCs/>
          <w:szCs w:val="24"/>
        </w:rPr>
      </w:pPr>
      <w:r w:rsidRPr="00595FE6">
        <w:rPr>
          <w:rFonts w:cs="Arial"/>
          <w:b/>
          <w:szCs w:val="24"/>
        </w:rPr>
        <w:t xml:space="preserve">The number of children aged 0 to 17 years in Brighton &amp; Hove with an open suspected Autism referral </w:t>
      </w:r>
      <w:r w:rsidR="00A03772">
        <w:rPr>
          <w:rFonts w:cs="Arial"/>
          <w:b/>
          <w:szCs w:val="24"/>
        </w:rPr>
        <w:t>(</w:t>
      </w:r>
      <w:r w:rsidR="00BF7EB2">
        <w:rPr>
          <w:rFonts w:cs="Arial"/>
          <w:b/>
          <w:szCs w:val="24"/>
        </w:rPr>
        <w:t xml:space="preserve">waiting for assessment) </w:t>
      </w:r>
      <w:r w:rsidRPr="00595FE6">
        <w:rPr>
          <w:rFonts w:cs="Arial"/>
          <w:b/>
          <w:szCs w:val="24"/>
        </w:rPr>
        <w:t>has increased by 185% since September 2023.</w:t>
      </w:r>
      <w:r w:rsidRPr="00595FE6">
        <w:rPr>
          <w:rFonts w:cs="Arial"/>
          <w:bCs/>
          <w:szCs w:val="24"/>
        </w:rPr>
        <w:t xml:space="preserve"> In September 2023, there were 170 children with an open suspected autism referral, compared </w:t>
      </w:r>
      <w:r w:rsidRPr="00595FE6">
        <w:rPr>
          <w:rFonts w:cs="Arial"/>
          <w:szCs w:val="24"/>
        </w:rPr>
        <w:t>to</w:t>
      </w:r>
      <w:r w:rsidRPr="00595FE6">
        <w:rPr>
          <w:rFonts w:cs="Arial"/>
          <w:bCs/>
          <w:szCs w:val="24"/>
        </w:rPr>
        <w:t xml:space="preserve"> 485 </w:t>
      </w:r>
      <w:r w:rsidRPr="00562B5B">
        <w:rPr>
          <w:rFonts w:cs="Arial"/>
        </w:rPr>
        <w:t>in</w:t>
      </w:r>
      <w:r w:rsidRPr="00595FE6">
        <w:rPr>
          <w:rFonts w:cs="Arial"/>
          <w:bCs/>
          <w:szCs w:val="24"/>
        </w:rPr>
        <w:t xml:space="preserve"> September 2024. This could be attributed to an increased awareness about Autism from parent carers, school and health professionals (</w:t>
      </w:r>
      <w:r w:rsidRPr="00164B8B">
        <w:rPr>
          <w:rFonts w:cs="Arial"/>
          <w:bCs/>
          <w:szCs w:val="24"/>
        </w:rPr>
        <w:t xml:space="preserve">Figure </w:t>
      </w:r>
      <w:r w:rsidR="005E1EFC" w:rsidRPr="00164B8B">
        <w:rPr>
          <w:rFonts w:cs="Arial"/>
          <w:bCs/>
          <w:szCs w:val="24"/>
        </w:rPr>
        <w:t>2</w:t>
      </w:r>
      <w:r w:rsidR="00FE0A03" w:rsidRPr="0092412A">
        <w:rPr>
          <w:rFonts w:cs="Arial"/>
          <w:bCs/>
          <w:szCs w:val="24"/>
        </w:rPr>
        <w:t>2</w:t>
      </w:r>
      <w:r w:rsidRPr="00595FE6">
        <w:rPr>
          <w:rFonts w:cs="Arial"/>
          <w:bCs/>
          <w:szCs w:val="24"/>
        </w:rPr>
        <w:t>)</w:t>
      </w:r>
    </w:p>
    <w:p w14:paraId="70A853EC" w14:textId="313E0979" w:rsidR="003568CE" w:rsidRDefault="003568CE" w:rsidP="009858E3">
      <w:pPr>
        <w:pStyle w:val="ListParagraph"/>
        <w:numPr>
          <w:ilvl w:val="0"/>
          <w:numId w:val="35"/>
        </w:numPr>
        <w:spacing w:line="240" w:lineRule="auto"/>
        <w:rPr>
          <w:rFonts w:cs="Arial"/>
          <w:szCs w:val="24"/>
        </w:rPr>
      </w:pPr>
      <w:r w:rsidRPr="00595FE6">
        <w:rPr>
          <w:rFonts w:cs="Arial"/>
          <w:b/>
          <w:bCs/>
          <w:szCs w:val="24"/>
        </w:rPr>
        <w:t>The percentage of autism assessments open for more than 13 weeks varies month on month and as of September 2024 was 91% of open assessments</w:t>
      </w:r>
      <w:r w:rsidRPr="00595FE6">
        <w:rPr>
          <w:rFonts w:cs="Arial"/>
          <w:szCs w:val="24"/>
        </w:rPr>
        <w:t xml:space="preserve"> (</w:t>
      </w:r>
      <w:r w:rsidRPr="00164B8B">
        <w:rPr>
          <w:rFonts w:cs="Arial"/>
          <w:szCs w:val="24"/>
        </w:rPr>
        <w:t xml:space="preserve">Figure </w:t>
      </w:r>
      <w:r w:rsidR="005E1EFC" w:rsidRPr="00164B8B">
        <w:rPr>
          <w:rFonts w:cs="Arial"/>
          <w:szCs w:val="24"/>
        </w:rPr>
        <w:t>2</w:t>
      </w:r>
      <w:r w:rsidR="00FE0A03" w:rsidRPr="0092412A">
        <w:rPr>
          <w:rFonts w:cs="Arial"/>
          <w:szCs w:val="24"/>
        </w:rPr>
        <w:t>3</w:t>
      </w:r>
      <w:r w:rsidRPr="00595FE6">
        <w:rPr>
          <w:rFonts w:cs="Arial"/>
          <w:szCs w:val="24"/>
        </w:rPr>
        <w:t>)</w:t>
      </w:r>
      <w:r w:rsidR="00562B5B">
        <w:rPr>
          <w:rFonts w:cs="Arial"/>
          <w:szCs w:val="24"/>
        </w:rPr>
        <w:t>.</w:t>
      </w:r>
    </w:p>
    <w:p w14:paraId="28B92BD5" w14:textId="33FE3568" w:rsidR="00B90AC5" w:rsidRPr="001C54F3" w:rsidRDefault="00B90AC5" w:rsidP="00D9246A">
      <w:pPr>
        <w:spacing w:line="240" w:lineRule="auto"/>
        <w:rPr>
          <w:b/>
          <w:color w:val="A65588"/>
        </w:rPr>
      </w:pPr>
      <w:r w:rsidRPr="001C54F3">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20</w:t>
      </w:r>
      <w:r w:rsidR="00CA2D43">
        <w:rPr>
          <w:b/>
          <w:color w:val="A65588"/>
        </w:rPr>
        <w:fldChar w:fldCharType="end"/>
      </w:r>
      <w:r w:rsidRPr="001C54F3">
        <w:rPr>
          <w:b/>
          <w:color w:val="A65588"/>
        </w:rPr>
        <w:t xml:space="preserve">: </w:t>
      </w:r>
      <w:r w:rsidR="005E26D9">
        <w:rPr>
          <w:b/>
          <w:bCs/>
          <w:color w:val="A65588"/>
        </w:rPr>
        <w:t>New r</w:t>
      </w:r>
      <w:r w:rsidRPr="001C54F3">
        <w:rPr>
          <w:b/>
          <w:bCs/>
          <w:color w:val="A65588"/>
        </w:rPr>
        <w:t>eferrals</w:t>
      </w:r>
      <w:r w:rsidRPr="001C54F3">
        <w:rPr>
          <w:b/>
          <w:color w:val="A65588"/>
        </w:rPr>
        <w:t xml:space="preserve"> for neurodevelopmental assessment </w:t>
      </w:r>
      <w:r w:rsidR="001C54F3" w:rsidRPr="001C54F3">
        <w:rPr>
          <w:b/>
          <w:bCs/>
          <w:color w:val="A65588"/>
        </w:rPr>
        <w:t xml:space="preserve">per 1,000 </w:t>
      </w:r>
      <w:r w:rsidR="001C54F3">
        <w:rPr>
          <w:b/>
          <w:bCs/>
          <w:color w:val="A65588"/>
        </w:rPr>
        <w:t>people</w:t>
      </w:r>
      <w:r w:rsidRPr="001C54F3">
        <w:rPr>
          <w:b/>
          <w:color w:val="A65588"/>
        </w:rPr>
        <w:t xml:space="preserve"> aged 0-17 years</w:t>
      </w:r>
      <w:r w:rsidR="00967A90" w:rsidRPr="001C54F3">
        <w:rPr>
          <w:b/>
          <w:color w:val="A65588"/>
        </w:rPr>
        <w:t xml:space="preserve">, </w:t>
      </w:r>
      <w:r w:rsidR="001C54F3" w:rsidRPr="001C54F3">
        <w:rPr>
          <w:b/>
          <w:bCs/>
          <w:color w:val="A65588"/>
        </w:rPr>
        <w:t xml:space="preserve">Brighton &amp; Hove, </w:t>
      </w:r>
      <w:r w:rsidRPr="001C54F3">
        <w:rPr>
          <w:b/>
          <w:color w:val="A65588"/>
        </w:rPr>
        <w:t xml:space="preserve">September 2023 </w:t>
      </w:r>
      <w:r w:rsidR="00967A90" w:rsidRPr="001C54F3">
        <w:rPr>
          <w:b/>
          <w:color w:val="A65588"/>
        </w:rPr>
        <w:t xml:space="preserve">to </w:t>
      </w:r>
      <w:r w:rsidRPr="001C54F3">
        <w:rPr>
          <w:b/>
          <w:color w:val="A65588"/>
        </w:rPr>
        <w:t>September 2024</w:t>
      </w:r>
    </w:p>
    <w:p w14:paraId="4E295225" w14:textId="26D611FD" w:rsidR="003568CE" w:rsidRDefault="002630A4" w:rsidP="00D9246A">
      <w:pPr>
        <w:spacing w:line="240" w:lineRule="auto"/>
        <w:rPr>
          <w:rFonts w:cs="Arial"/>
        </w:rPr>
      </w:pPr>
      <w:r w:rsidRPr="002630A4">
        <w:rPr>
          <w:rFonts w:cs="Arial"/>
          <w:noProof/>
          <w:szCs w:val="24"/>
        </w:rPr>
        <w:lastRenderedPageBreak/>
        <w:drawing>
          <wp:inline distT="0" distB="0" distL="0" distR="0" wp14:anchorId="15DE52D6" wp14:editId="6F111358">
            <wp:extent cx="5939790" cy="3340100"/>
            <wp:effectExtent l="0" t="0" r="3810" b="0"/>
            <wp:docPr id="1681394786" name="Picture 1" descr="Line chart showing the rate of referrals per 1,000 population for Neurodevelopmental (ND) assessment in children aged 0 to 17 years, between September 2023 and September 2024, in Brighton &amp; Hove.&#10;&#10;Referrals for Neurodevelopmental assessment (Autism and ADHD) have fallen from 1.6 per 1,000 people in September 2023 to 0.8 per 1,000 population in September 20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394786" name="Picture 1" descr="Line chart showing the rate of referrals per 1,000 population for Neurodevelopmental (ND) assessment in children aged 0 to 17 years, between September 2023 and September 2024, in Brighton &amp; Hove.&#10;&#10;Referrals for Neurodevelopmental assessment (Autism and ADHD) have fallen from 1.6 per 1,000 people in September 2023 to 0.8 per 1,000 population in September 2024.&#10;"/>
                    <pic:cNvPicPr/>
                  </pic:nvPicPr>
                  <pic:blipFill>
                    <a:blip r:embed="rId71"/>
                    <a:stretch>
                      <a:fillRect/>
                    </a:stretch>
                  </pic:blipFill>
                  <pic:spPr>
                    <a:xfrm>
                      <a:off x="0" y="0"/>
                      <a:ext cx="5939790" cy="3340100"/>
                    </a:xfrm>
                    <a:prstGeom prst="rect">
                      <a:avLst/>
                    </a:prstGeom>
                  </pic:spPr>
                </pic:pic>
              </a:graphicData>
            </a:graphic>
          </wp:inline>
        </w:drawing>
      </w:r>
      <w:r w:rsidR="003568CE" w:rsidRPr="005E26D9">
        <w:rPr>
          <w:rFonts w:cs="Arial"/>
          <w:b/>
        </w:rPr>
        <w:t>Source:</w:t>
      </w:r>
      <w:r w:rsidR="003568CE" w:rsidRPr="00E7109B">
        <w:rPr>
          <w:rFonts w:cs="Arial"/>
        </w:rPr>
        <w:t xml:space="preserve"> </w:t>
      </w:r>
      <w:r w:rsidR="000A2DD7">
        <w:rPr>
          <w:rFonts w:cs="Arial"/>
        </w:rPr>
        <w:t>Pan Sussex Children’s Metrics Dashboard, Susse</w:t>
      </w:r>
      <w:r w:rsidR="00837651">
        <w:rPr>
          <w:rFonts w:cs="Arial"/>
        </w:rPr>
        <w:t>x health and care</w:t>
      </w:r>
      <w:r w:rsidR="00B358F8" w:rsidRPr="00E7109B">
        <w:rPr>
          <w:rFonts w:cs="Arial"/>
        </w:rPr>
        <w:t>, 2024</w:t>
      </w:r>
    </w:p>
    <w:p w14:paraId="01554649" w14:textId="3A53B770" w:rsidR="00BF45DE" w:rsidRPr="005E26D9" w:rsidRDefault="00BF45DE" w:rsidP="00D9246A">
      <w:pPr>
        <w:spacing w:line="240" w:lineRule="auto"/>
        <w:rPr>
          <w:b/>
          <w:color w:val="A65588"/>
        </w:rPr>
      </w:pPr>
      <w:r w:rsidRPr="005E26D9">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21</w:t>
      </w:r>
      <w:r w:rsidR="00CA2D43">
        <w:rPr>
          <w:b/>
          <w:color w:val="A65588"/>
        </w:rPr>
        <w:fldChar w:fldCharType="end"/>
      </w:r>
      <w:r w:rsidRPr="005E26D9">
        <w:rPr>
          <w:b/>
          <w:color w:val="A65588"/>
        </w:rPr>
        <w:t>: Average wait time (weeks) for neurodevelopmental assessment</w:t>
      </w:r>
      <w:r w:rsidR="005E26D9">
        <w:rPr>
          <w:b/>
          <w:bCs/>
          <w:color w:val="A65588"/>
        </w:rPr>
        <w:t>,</w:t>
      </w:r>
      <w:r w:rsidRPr="005E26D9">
        <w:rPr>
          <w:b/>
          <w:bCs/>
          <w:color w:val="A65588"/>
        </w:rPr>
        <w:t xml:space="preserve"> </w:t>
      </w:r>
      <w:r w:rsidR="005E26D9">
        <w:rPr>
          <w:b/>
          <w:bCs/>
          <w:color w:val="A65588"/>
        </w:rPr>
        <w:t>people</w:t>
      </w:r>
      <w:r>
        <w:rPr>
          <w:b/>
          <w:color w:val="A65588"/>
        </w:rPr>
        <w:t xml:space="preserve"> </w:t>
      </w:r>
      <w:r w:rsidRPr="005E26D9">
        <w:rPr>
          <w:b/>
          <w:color w:val="A65588"/>
        </w:rPr>
        <w:t xml:space="preserve">aged 0-17 years, Brighton &amp; Hove, </w:t>
      </w:r>
      <w:r w:rsidRPr="005E26D9">
        <w:rPr>
          <w:b/>
          <w:bCs/>
          <w:color w:val="A65588"/>
        </w:rPr>
        <w:t>Sept</w:t>
      </w:r>
      <w:r w:rsidRPr="005E26D9">
        <w:rPr>
          <w:b/>
          <w:color w:val="A65588"/>
        </w:rPr>
        <w:t xml:space="preserve"> 2023 </w:t>
      </w:r>
      <w:r w:rsidR="00C21A10" w:rsidRPr="005E26D9">
        <w:rPr>
          <w:b/>
          <w:color w:val="A65588"/>
        </w:rPr>
        <w:t xml:space="preserve">to </w:t>
      </w:r>
      <w:r w:rsidRPr="005E26D9">
        <w:rPr>
          <w:b/>
          <w:color w:val="A65588"/>
        </w:rPr>
        <w:t>June 2024</w:t>
      </w:r>
    </w:p>
    <w:p w14:paraId="380842A7" w14:textId="77777777" w:rsidR="00837651" w:rsidRDefault="00717C3B" w:rsidP="00D9246A">
      <w:pPr>
        <w:spacing w:line="240" w:lineRule="auto"/>
        <w:rPr>
          <w:rFonts w:cs="Arial"/>
        </w:rPr>
      </w:pPr>
      <w:r w:rsidRPr="00717C3B">
        <w:rPr>
          <w:rFonts w:cs="Arial"/>
          <w:noProof/>
          <w:szCs w:val="24"/>
        </w:rPr>
        <w:drawing>
          <wp:inline distT="0" distB="0" distL="0" distR="0" wp14:anchorId="7EE7B86B" wp14:editId="0F54AF0C">
            <wp:extent cx="5939790" cy="2786380"/>
            <wp:effectExtent l="0" t="0" r="3810" b="0"/>
            <wp:docPr id="28652827" name="Picture 1" descr="Line chart showing the average wait time in weeks for Neurodevelopmental (ND) assessment in children aged 0 to 17 years, between September 2023 and June 2024, in Brighton &amp; Hove.&#10;&#10;The average wait time in weeks for neurodevelopment assessment in children increased from 23 weeks in September 2023 to 27 weeks in Jun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2827" name="Picture 1" descr="Line chart showing the average wait time in weeks for Neurodevelopmental (ND) assessment in children aged 0 to 17 years, between September 2023 and June 2024, in Brighton &amp; Hove.&#10;&#10;The average wait time in weeks for neurodevelopment assessment in children increased from 23 weeks in September 2023 to 27 weeks in June 2024."/>
                    <pic:cNvPicPr/>
                  </pic:nvPicPr>
                  <pic:blipFill>
                    <a:blip r:embed="rId72"/>
                    <a:stretch>
                      <a:fillRect/>
                    </a:stretch>
                  </pic:blipFill>
                  <pic:spPr>
                    <a:xfrm>
                      <a:off x="0" y="0"/>
                      <a:ext cx="5939790" cy="2786380"/>
                    </a:xfrm>
                    <a:prstGeom prst="rect">
                      <a:avLst/>
                    </a:prstGeom>
                  </pic:spPr>
                </pic:pic>
              </a:graphicData>
            </a:graphic>
          </wp:inline>
        </w:drawing>
      </w:r>
      <w:r w:rsidR="003568CE" w:rsidRPr="005E26D9">
        <w:rPr>
          <w:rFonts w:cs="Arial"/>
          <w:b/>
        </w:rPr>
        <w:t>Source:</w:t>
      </w:r>
      <w:r w:rsidR="003568CE" w:rsidRPr="000A2DD7">
        <w:rPr>
          <w:rFonts w:cs="Arial"/>
        </w:rPr>
        <w:t xml:space="preserve"> </w:t>
      </w:r>
      <w:r w:rsidR="00837651">
        <w:rPr>
          <w:rFonts w:cs="Arial"/>
        </w:rPr>
        <w:t>Pan Sussex Children’s Metrics Dashboard, Sussex health and care</w:t>
      </w:r>
      <w:r w:rsidR="00837651" w:rsidRPr="00E7109B">
        <w:rPr>
          <w:rFonts w:cs="Arial"/>
        </w:rPr>
        <w:t>, 2024</w:t>
      </w:r>
    </w:p>
    <w:p w14:paraId="50EAABDF" w14:textId="646ACE71" w:rsidR="00071598" w:rsidRDefault="00A4231E" w:rsidP="00D9246A">
      <w:pPr>
        <w:spacing w:line="240" w:lineRule="auto"/>
        <w:rPr>
          <w:rFonts w:cs="Arial"/>
          <w:noProof/>
          <w:szCs w:val="24"/>
        </w:rPr>
      </w:pPr>
      <w:r w:rsidRPr="00843D9C">
        <w:rPr>
          <w:rFonts w:cs="Arial"/>
          <w:szCs w:val="24"/>
        </w:rPr>
        <w:t>At the time of collating this data,</w:t>
      </w:r>
      <w:r>
        <w:rPr>
          <w:rFonts w:cs="Arial"/>
          <w:noProof/>
          <w:szCs w:val="24"/>
        </w:rPr>
        <w:t xml:space="preserve"> </w:t>
      </w:r>
      <w:r w:rsidR="00B13976">
        <w:rPr>
          <w:rFonts w:cs="Arial"/>
          <w:noProof/>
          <w:szCs w:val="24"/>
        </w:rPr>
        <w:t>t</w:t>
      </w:r>
      <w:r w:rsidR="003568CE" w:rsidRPr="00595FE6">
        <w:rPr>
          <w:rFonts w:cs="Arial"/>
          <w:noProof/>
          <w:szCs w:val="24"/>
        </w:rPr>
        <w:t xml:space="preserve">here </w:t>
      </w:r>
      <w:r w:rsidR="00B13976">
        <w:rPr>
          <w:rFonts w:cs="Arial"/>
          <w:noProof/>
          <w:szCs w:val="24"/>
        </w:rPr>
        <w:t>was</w:t>
      </w:r>
      <w:r w:rsidR="003568CE" w:rsidRPr="00595FE6">
        <w:rPr>
          <w:rFonts w:cs="Arial"/>
          <w:noProof/>
          <w:szCs w:val="24"/>
        </w:rPr>
        <w:t xml:space="preserve"> no available data for the average wait time for July to September 2024.</w:t>
      </w:r>
    </w:p>
    <w:p w14:paraId="3756201E" w14:textId="38B129AA" w:rsidR="00D0309A" w:rsidRPr="005E26D9" w:rsidRDefault="00D0309A" w:rsidP="00D9246A">
      <w:pPr>
        <w:spacing w:line="240" w:lineRule="auto"/>
        <w:rPr>
          <w:b/>
          <w:color w:val="A65588"/>
        </w:rPr>
      </w:pPr>
      <w:r w:rsidRPr="005E26D9">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22</w:t>
      </w:r>
      <w:r w:rsidR="00CA2D43">
        <w:rPr>
          <w:b/>
          <w:color w:val="A65588"/>
        </w:rPr>
        <w:fldChar w:fldCharType="end"/>
      </w:r>
      <w:r w:rsidRPr="005E26D9">
        <w:rPr>
          <w:b/>
          <w:color w:val="A65588"/>
        </w:rPr>
        <w:t>: Number of patients aged 0 to 17 years with an open suspected autism referral</w:t>
      </w:r>
      <w:r w:rsidR="005E26D9">
        <w:rPr>
          <w:b/>
          <w:bCs/>
          <w:color w:val="A65588"/>
        </w:rPr>
        <w:t xml:space="preserve"> by month</w:t>
      </w:r>
      <w:r w:rsidR="00676FA8" w:rsidRPr="005E26D9">
        <w:rPr>
          <w:b/>
          <w:bCs/>
          <w:color w:val="A65588"/>
        </w:rPr>
        <w:t xml:space="preserve">, </w:t>
      </w:r>
      <w:r w:rsidR="005E26D9">
        <w:rPr>
          <w:b/>
          <w:bCs/>
          <w:color w:val="A65588"/>
        </w:rPr>
        <w:t>Brighton &amp; Hove</w:t>
      </w:r>
      <w:r w:rsidR="00676FA8">
        <w:rPr>
          <w:b/>
          <w:color w:val="A65588"/>
        </w:rPr>
        <w:t xml:space="preserve">, </w:t>
      </w:r>
      <w:r w:rsidRPr="005E26D9">
        <w:rPr>
          <w:b/>
          <w:color w:val="A65588"/>
        </w:rPr>
        <w:t xml:space="preserve">September 2023 </w:t>
      </w:r>
      <w:r w:rsidR="00676FA8" w:rsidRPr="005E26D9">
        <w:rPr>
          <w:b/>
          <w:color w:val="A65588"/>
        </w:rPr>
        <w:t xml:space="preserve">to </w:t>
      </w:r>
      <w:r w:rsidRPr="005E26D9">
        <w:rPr>
          <w:b/>
          <w:color w:val="A65588"/>
        </w:rPr>
        <w:t>September 2024</w:t>
      </w:r>
    </w:p>
    <w:p w14:paraId="1C170C4A" w14:textId="218C0C4F" w:rsidR="00071598" w:rsidRPr="00595FE6" w:rsidRDefault="00071598" w:rsidP="00D9246A">
      <w:pPr>
        <w:spacing w:line="240" w:lineRule="auto"/>
        <w:rPr>
          <w:rFonts w:cs="Arial"/>
          <w:noProof/>
          <w:szCs w:val="24"/>
        </w:rPr>
      </w:pPr>
      <w:r w:rsidRPr="00071598">
        <w:rPr>
          <w:rFonts w:cs="Arial"/>
          <w:noProof/>
          <w:szCs w:val="24"/>
        </w:rPr>
        <w:lastRenderedPageBreak/>
        <w:drawing>
          <wp:inline distT="0" distB="0" distL="0" distR="0" wp14:anchorId="14C0F4DD" wp14:editId="584B5706">
            <wp:extent cx="5939790" cy="2685415"/>
            <wp:effectExtent l="0" t="0" r="3810" b="635"/>
            <wp:docPr id="1323095388" name="Picture 1" descr="A column chart showing the monthly number of patients aged 0 to 17 years with an open suspected autism referral in Brighton &amp; Hove, September 2023 to September 2024.&#10;&#10;The number of children aged 0 to 17 years in Brighton &amp; Hove with an open suspected Autism referral has increased by 185% from 170 in September 2023 to 485 in Septem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095388" name="Picture 1" descr="A column chart showing the monthly number of patients aged 0 to 17 years with an open suspected autism referral in Brighton &amp; Hove, September 2023 to September 2024.&#10;&#10;The number of children aged 0 to 17 years in Brighton &amp; Hove with an open suspected Autism referral has increased by 185% from 170 in September 2023 to 485 in September 2024."/>
                    <pic:cNvPicPr/>
                  </pic:nvPicPr>
                  <pic:blipFill>
                    <a:blip r:embed="rId73"/>
                    <a:stretch>
                      <a:fillRect/>
                    </a:stretch>
                  </pic:blipFill>
                  <pic:spPr>
                    <a:xfrm>
                      <a:off x="0" y="0"/>
                      <a:ext cx="5939790" cy="2685415"/>
                    </a:xfrm>
                    <a:prstGeom prst="rect">
                      <a:avLst/>
                    </a:prstGeom>
                  </pic:spPr>
                </pic:pic>
              </a:graphicData>
            </a:graphic>
          </wp:inline>
        </w:drawing>
      </w:r>
    </w:p>
    <w:p w14:paraId="77B91822" w14:textId="341A298F" w:rsidR="00837651" w:rsidRDefault="003568CE" w:rsidP="00D9246A">
      <w:pPr>
        <w:spacing w:line="240" w:lineRule="auto"/>
        <w:rPr>
          <w:rFonts w:cs="Arial"/>
        </w:rPr>
      </w:pPr>
      <w:r w:rsidRPr="005E26D9">
        <w:rPr>
          <w:rFonts w:cs="Arial"/>
          <w:b/>
        </w:rPr>
        <w:t>Source:</w:t>
      </w:r>
      <w:r w:rsidRPr="00837651">
        <w:rPr>
          <w:rFonts w:cs="Arial"/>
        </w:rPr>
        <w:t xml:space="preserve"> </w:t>
      </w:r>
      <w:r w:rsidR="00837651" w:rsidRPr="00837651">
        <w:rPr>
          <w:rFonts w:cs="Arial"/>
        </w:rPr>
        <w:t>Pan</w:t>
      </w:r>
      <w:r w:rsidR="00837651">
        <w:rPr>
          <w:rFonts w:cs="Arial"/>
        </w:rPr>
        <w:t xml:space="preserve"> Sussex Children’s Metrics Dashboard, Sussex health and care</w:t>
      </w:r>
      <w:r w:rsidR="00837651" w:rsidRPr="00E7109B">
        <w:rPr>
          <w:rFonts w:cs="Arial"/>
        </w:rPr>
        <w:t>, 2024</w:t>
      </w:r>
    </w:p>
    <w:p w14:paraId="710CD0E7" w14:textId="7F9840C3" w:rsidR="001C26AC" w:rsidRPr="005E26D9" w:rsidRDefault="000513C2" w:rsidP="00D9246A">
      <w:pPr>
        <w:spacing w:line="240" w:lineRule="auto"/>
        <w:rPr>
          <w:b/>
          <w:color w:val="A65588"/>
        </w:rPr>
      </w:pPr>
      <w:r w:rsidRPr="005E26D9">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23</w:t>
      </w:r>
      <w:r w:rsidR="00CA2D43">
        <w:rPr>
          <w:b/>
          <w:color w:val="A65588"/>
        </w:rPr>
        <w:fldChar w:fldCharType="end"/>
      </w:r>
      <w:r w:rsidRPr="005E26D9">
        <w:rPr>
          <w:b/>
          <w:color w:val="A65588"/>
        </w:rPr>
        <w:t xml:space="preserve">: </w:t>
      </w:r>
      <w:r w:rsidR="001C26AC" w:rsidRPr="005E26D9">
        <w:rPr>
          <w:b/>
          <w:color w:val="A65588"/>
        </w:rPr>
        <w:t xml:space="preserve">Percentage of patients aged 0 to 17 years with an open suspected </w:t>
      </w:r>
      <w:r w:rsidR="00E74361" w:rsidRPr="005E26D9">
        <w:rPr>
          <w:b/>
          <w:color w:val="A65588"/>
        </w:rPr>
        <w:t>a</w:t>
      </w:r>
      <w:r w:rsidR="001C26AC" w:rsidRPr="005E26D9">
        <w:rPr>
          <w:b/>
          <w:color w:val="A65588"/>
        </w:rPr>
        <w:t>utism referral that ha</w:t>
      </w:r>
      <w:r w:rsidR="008057C9" w:rsidRPr="005E26D9">
        <w:rPr>
          <w:b/>
          <w:color w:val="A65588"/>
        </w:rPr>
        <w:t>s</w:t>
      </w:r>
      <w:r w:rsidR="001C26AC" w:rsidRPr="005E26D9">
        <w:rPr>
          <w:b/>
          <w:color w:val="A65588"/>
        </w:rPr>
        <w:t xml:space="preserve"> been open for at least 13 weeks</w:t>
      </w:r>
      <w:r w:rsidR="005E26D9">
        <w:rPr>
          <w:b/>
          <w:bCs/>
          <w:color w:val="A65588"/>
        </w:rPr>
        <w:t>,</w:t>
      </w:r>
      <w:r w:rsidR="00E74361">
        <w:rPr>
          <w:b/>
          <w:color w:val="A65588"/>
        </w:rPr>
        <w:t xml:space="preserve"> </w:t>
      </w:r>
      <w:r w:rsidR="001C26AC" w:rsidRPr="005E26D9">
        <w:rPr>
          <w:b/>
          <w:color w:val="A65588"/>
        </w:rPr>
        <w:t>Brighton and Hove</w:t>
      </w:r>
      <w:r w:rsidR="005E26D9">
        <w:rPr>
          <w:b/>
          <w:bCs/>
          <w:color w:val="A65588"/>
        </w:rPr>
        <w:t>,</w:t>
      </w:r>
      <w:r w:rsidR="008057C9" w:rsidRPr="005E26D9">
        <w:rPr>
          <w:b/>
          <w:color w:val="A65588"/>
        </w:rPr>
        <w:t xml:space="preserve"> </w:t>
      </w:r>
      <w:r w:rsidR="00E74361" w:rsidRPr="005E26D9">
        <w:rPr>
          <w:b/>
          <w:color w:val="A65588"/>
        </w:rPr>
        <w:t xml:space="preserve">September 2023 </w:t>
      </w:r>
      <w:r w:rsidR="005E26D9">
        <w:rPr>
          <w:b/>
          <w:bCs/>
          <w:color w:val="A65588"/>
        </w:rPr>
        <w:t>to</w:t>
      </w:r>
      <w:r w:rsidR="00E74361" w:rsidRPr="005E26D9">
        <w:rPr>
          <w:b/>
          <w:color w:val="A65588"/>
        </w:rPr>
        <w:t xml:space="preserve"> September 2024</w:t>
      </w:r>
    </w:p>
    <w:p w14:paraId="74A28020" w14:textId="77777777" w:rsidR="00837651" w:rsidRDefault="00FD789B" w:rsidP="00D9246A">
      <w:pPr>
        <w:spacing w:line="240" w:lineRule="auto"/>
        <w:rPr>
          <w:rFonts w:cs="Arial"/>
        </w:rPr>
      </w:pPr>
      <w:r w:rsidRPr="00FD789B">
        <w:rPr>
          <w:noProof/>
          <w:lang w:eastAsia="en-GB"/>
        </w:rPr>
        <w:drawing>
          <wp:inline distT="0" distB="0" distL="0" distR="0" wp14:anchorId="1A2F15FF" wp14:editId="47A80D12">
            <wp:extent cx="5939790" cy="2708275"/>
            <wp:effectExtent l="0" t="0" r="3810" b="0"/>
            <wp:docPr id="1932512411" name="Picture 1" descr="Line chart showing the percentage of patients aged 0 to 17 years with an open suspected autism referral that have been open at least 13 weeks between September 2023 and September 2024, in Brighton &amp; Hove.&#10;&#10;The percentage of autism assessments open for more than 13 weeks varies month on month and as of September 2024 was 91% of open assess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12411" name="Picture 1" descr="Line chart showing the percentage of patients aged 0 to 17 years with an open suspected autism referral that have been open at least 13 weeks between September 2023 and September 2024, in Brighton &amp; Hove.&#10;&#10;The percentage of autism assessments open for more than 13 weeks varies month on month and as of September 2024 was 91% of open assessments."/>
                    <pic:cNvPicPr/>
                  </pic:nvPicPr>
                  <pic:blipFill>
                    <a:blip r:embed="rId74"/>
                    <a:stretch>
                      <a:fillRect/>
                    </a:stretch>
                  </pic:blipFill>
                  <pic:spPr>
                    <a:xfrm>
                      <a:off x="0" y="0"/>
                      <a:ext cx="5939790" cy="2708275"/>
                    </a:xfrm>
                    <a:prstGeom prst="rect">
                      <a:avLst/>
                    </a:prstGeom>
                  </pic:spPr>
                </pic:pic>
              </a:graphicData>
            </a:graphic>
          </wp:inline>
        </w:drawing>
      </w:r>
      <w:r w:rsidR="003568CE" w:rsidRPr="005E26D9">
        <w:rPr>
          <w:rFonts w:cs="Arial"/>
          <w:b/>
        </w:rPr>
        <w:t>Source:</w:t>
      </w:r>
      <w:r w:rsidR="003568CE" w:rsidRPr="00E7475F">
        <w:rPr>
          <w:rFonts w:cs="Arial"/>
        </w:rPr>
        <w:t xml:space="preserve"> </w:t>
      </w:r>
      <w:r w:rsidR="00837651" w:rsidRPr="00837651">
        <w:rPr>
          <w:rFonts w:cs="Arial"/>
        </w:rPr>
        <w:t>Pan</w:t>
      </w:r>
      <w:r w:rsidR="00837651">
        <w:rPr>
          <w:rFonts w:cs="Arial"/>
        </w:rPr>
        <w:t xml:space="preserve"> Sussex Children’s Metrics Dashboard, Sussex health and care</w:t>
      </w:r>
      <w:r w:rsidR="00837651" w:rsidRPr="00E7109B">
        <w:rPr>
          <w:rFonts w:cs="Arial"/>
        </w:rPr>
        <w:t>, 2024</w:t>
      </w:r>
    </w:p>
    <w:p w14:paraId="58BB1D77" w14:textId="789DA270" w:rsidR="001D73F3" w:rsidRDefault="003B1E88" w:rsidP="00D9246A">
      <w:pPr>
        <w:pStyle w:val="Heading2"/>
        <w:spacing w:before="0" w:after="120"/>
      </w:pPr>
      <w:r>
        <w:t>Projected future demand</w:t>
      </w:r>
      <w:r w:rsidR="001848D3">
        <w:t xml:space="preserve"> for Education and Health Care Plans (</w:t>
      </w:r>
      <w:r w:rsidR="001572D3">
        <w:t>EHC Plan</w:t>
      </w:r>
      <w:r w:rsidR="001848D3">
        <w:t>)</w:t>
      </w:r>
    </w:p>
    <w:p w14:paraId="2C560A59" w14:textId="6271BC6E" w:rsidR="003B1E88" w:rsidRDefault="008B359E" w:rsidP="00D9246A">
      <w:pPr>
        <w:spacing w:line="240" w:lineRule="auto"/>
      </w:pPr>
      <w:r>
        <w:t xml:space="preserve">Brighton &amp; Hove City Council </w:t>
      </w:r>
      <w:r w:rsidR="00664D86">
        <w:t xml:space="preserve">undertook analysis in March 2025 to </w:t>
      </w:r>
      <w:r w:rsidR="00040B00" w:rsidRPr="00040B00">
        <w:t xml:space="preserve">provide projections of </w:t>
      </w:r>
      <w:r w:rsidR="00040B00">
        <w:t xml:space="preserve">children and young people aged 0 to 25 with </w:t>
      </w:r>
      <w:r w:rsidR="001572D3">
        <w:t>EHC Plan</w:t>
      </w:r>
      <w:r w:rsidR="00040B00">
        <w:t>s</w:t>
      </w:r>
      <w:r w:rsidR="00040B00" w:rsidRPr="00040B00">
        <w:t xml:space="preserve"> for each year from 2026 to 2032 by Autistic </w:t>
      </w:r>
      <w:r w:rsidR="00040B00" w:rsidRPr="005E26D9">
        <w:rPr>
          <w:rFonts w:cs="Arial"/>
          <w:szCs w:val="24"/>
        </w:rPr>
        <w:t>Spectrum</w:t>
      </w:r>
      <w:r w:rsidR="00040B00" w:rsidRPr="00040B00">
        <w:t xml:space="preserve"> Disorder and Social, Emotional and Mental Health categories of need</w:t>
      </w:r>
      <w:r w:rsidR="00BE0FAE">
        <w:t xml:space="preserve"> using a linear regression model</w:t>
      </w:r>
      <w:r w:rsidR="00040B00" w:rsidRPr="00040B00">
        <w:t>. This is for the Brighton and Hove resident population of children and young people</w:t>
      </w:r>
      <w:r w:rsidR="007D59B8">
        <w:t>,</w:t>
      </w:r>
      <w:r w:rsidR="00040B00" w:rsidRPr="00040B00">
        <w:t xml:space="preserve"> not </w:t>
      </w:r>
      <w:r w:rsidR="007D59B8">
        <w:t>for</w:t>
      </w:r>
      <w:r w:rsidR="00040B00" w:rsidRPr="00040B00">
        <w:t xml:space="preserve"> those attending education establishments within the </w:t>
      </w:r>
      <w:r w:rsidR="007D59B8">
        <w:t>city</w:t>
      </w:r>
      <w:r w:rsidR="00040B00" w:rsidRPr="00040B00">
        <w:t>.</w:t>
      </w:r>
    </w:p>
    <w:p w14:paraId="7D2D0240" w14:textId="10FE574D" w:rsidR="00CA13D1" w:rsidRDefault="001848D3" w:rsidP="00D9246A">
      <w:pPr>
        <w:spacing w:line="240" w:lineRule="auto"/>
      </w:pPr>
      <w:r>
        <w:t xml:space="preserve">Table </w:t>
      </w:r>
      <w:r w:rsidR="004D0B79">
        <w:t>13</w:t>
      </w:r>
      <w:r>
        <w:t xml:space="preserve"> shows the</w:t>
      </w:r>
      <w:r w:rsidRPr="00F743F6">
        <w:t xml:space="preserve"> </w:t>
      </w:r>
      <w:r w:rsidR="001572D3">
        <w:t>EHC Plan</w:t>
      </w:r>
      <w:r w:rsidRPr="00F743F6">
        <w:t xml:space="preserve"> projections from 2026 to 2032. </w:t>
      </w:r>
      <w:r w:rsidR="00CA13D1">
        <w:t>It should be noted that these estimated were derived before publication of the 2022 based subnational population projections from the Office for National Statistics in June 2025.</w:t>
      </w:r>
    </w:p>
    <w:p w14:paraId="6FF73BB4" w14:textId="0C4A4E05" w:rsidR="00F743F6" w:rsidRDefault="00F743F6" w:rsidP="00D9246A">
      <w:pPr>
        <w:spacing w:line="240" w:lineRule="auto"/>
      </w:pPr>
      <w:r w:rsidRPr="00985866">
        <w:rPr>
          <w:b/>
          <w:color w:val="0079C2"/>
        </w:rPr>
        <w:t xml:space="preserve">The number of children and young people aged 0-25 with an </w:t>
      </w:r>
      <w:r w:rsidR="001572D3" w:rsidRPr="00985866">
        <w:rPr>
          <w:b/>
          <w:color w:val="0079C2"/>
        </w:rPr>
        <w:t>EHC Plan</w:t>
      </w:r>
      <w:r w:rsidRPr="00985866">
        <w:rPr>
          <w:b/>
          <w:color w:val="0079C2"/>
        </w:rPr>
        <w:t xml:space="preserve"> is projected to increase from 2,948 in 2025 to 4,427 in 2032</w:t>
      </w:r>
      <w:r w:rsidR="00003F11" w:rsidRPr="00985866">
        <w:rPr>
          <w:b/>
          <w:color w:val="0079C2"/>
        </w:rPr>
        <w:t>, an increase of 50%</w:t>
      </w:r>
      <w:r w:rsidR="00303FA8" w:rsidRPr="00985866">
        <w:rPr>
          <w:b/>
          <w:color w:val="0079C2"/>
        </w:rPr>
        <w:t xml:space="preserve"> </w:t>
      </w:r>
      <w:r w:rsidR="00003F11" w:rsidRPr="00985866">
        <w:rPr>
          <w:b/>
          <w:color w:val="0079C2"/>
        </w:rPr>
        <w:t xml:space="preserve">in </w:t>
      </w:r>
      <w:r w:rsidR="00003F11" w:rsidRPr="00985866">
        <w:rPr>
          <w:b/>
          <w:color w:val="0079C2"/>
        </w:rPr>
        <w:lastRenderedPageBreak/>
        <w:t xml:space="preserve">terms of the number of children and young people. Or </w:t>
      </w:r>
      <w:r w:rsidR="00303FA8" w:rsidRPr="00985866">
        <w:rPr>
          <w:b/>
          <w:color w:val="0079C2"/>
        </w:rPr>
        <w:t xml:space="preserve">an increase from 4.0% to </w:t>
      </w:r>
      <w:r w:rsidR="00A45685" w:rsidRPr="00985866">
        <w:rPr>
          <w:b/>
          <w:color w:val="0079C2"/>
        </w:rPr>
        <w:t xml:space="preserve">6.1% </w:t>
      </w:r>
      <w:r w:rsidR="001848D3" w:rsidRPr="00985866">
        <w:rPr>
          <w:b/>
          <w:color w:val="0079C2"/>
        </w:rPr>
        <w:t>of 0–25-year-olds</w:t>
      </w:r>
      <w:r w:rsidR="00BE5A12" w:rsidRPr="00985866">
        <w:rPr>
          <w:color w:val="0079C2"/>
        </w:rPr>
        <w:t xml:space="preserve"> </w:t>
      </w:r>
      <w:r w:rsidR="00BE5A12">
        <w:t>(Table 1</w:t>
      </w:r>
      <w:r w:rsidR="0099240A">
        <w:t>3</w:t>
      </w:r>
      <w:r w:rsidR="00BE5A12">
        <w:t>)</w:t>
      </w:r>
      <w:r w:rsidR="001848D3">
        <w:t>.</w:t>
      </w:r>
    </w:p>
    <w:p w14:paraId="406B5C0D" w14:textId="3E77FB57" w:rsidR="000E714C" w:rsidRPr="005E26D9" w:rsidRDefault="00127BF3" w:rsidP="00D9246A">
      <w:pPr>
        <w:spacing w:line="240" w:lineRule="auto"/>
        <w:rPr>
          <w:b/>
          <w:color w:val="A65588"/>
        </w:rPr>
      </w:pPr>
      <w:r w:rsidRPr="005E26D9">
        <w:rPr>
          <w:b/>
          <w:color w:val="A65588"/>
        </w:rPr>
        <w:t xml:space="preserve">Table </w:t>
      </w:r>
      <w:r w:rsidR="001F7135" w:rsidRPr="005E26D9">
        <w:rPr>
          <w:b/>
          <w:color w:val="A65588"/>
        </w:rPr>
        <w:fldChar w:fldCharType="begin"/>
      </w:r>
      <w:r w:rsidR="001F7135" w:rsidRPr="005E26D9">
        <w:rPr>
          <w:b/>
          <w:color w:val="A65588"/>
        </w:rPr>
        <w:instrText xml:space="preserve"> SEQ Table \* ARABIC </w:instrText>
      </w:r>
      <w:r w:rsidR="001F7135" w:rsidRPr="005E26D9">
        <w:rPr>
          <w:b/>
          <w:color w:val="A65588"/>
        </w:rPr>
        <w:fldChar w:fldCharType="separate"/>
      </w:r>
      <w:r w:rsidR="009A41AE">
        <w:rPr>
          <w:b/>
          <w:noProof/>
          <w:color w:val="A65588"/>
        </w:rPr>
        <w:t>13</w:t>
      </w:r>
      <w:r w:rsidR="001F7135" w:rsidRPr="005E26D9">
        <w:rPr>
          <w:b/>
          <w:color w:val="A65588"/>
        </w:rPr>
        <w:fldChar w:fldCharType="end"/>
      </w:r>
      <w:r w:rsidRPr="005E26D9">
        <w:rPr>
          <w:b/>
          <w:color w:val="A65588"/>
        </w:rPr>
        <w:t xml:space="preserve">: </w:t>
      </w:r>
      <w:r w:rsidR="000E714C" w:rsidRPr="005E26D9">
        <w:rPr>
          <w:b/>
          <w:color w:val="A65588"/>
        </w:rPr>
        <w:t>Projected number, and percentage</w:t>
      </w:r>
      <w:r w:rsidR="005E26D9">
        <w:rPr>
          <w:b/>
          <w:bCs/>
          <w:color w:val="A65588"/>
        </w:rPr>
        <w:t>,</w:t>
      </w:r>
      <w:r w:rsidR="000E714C" w:rsidRPr="005E26D9">
        <w:rPr>
          <w:b/>
          <w:color w:val="A65588"/>
        </w:rPr>
        <w:t xml:space="preserve"> of children and young people aged 0-25</w:t>
      </w:r>
      <w:r w:rsidR="000E714C">
        <w:rPr>
          <w:b/>
          <w:color w:val="A65588"/>
        </w:rPr>
        <w:t xml:space="preserve"> </w:t>
      </w:r>
      <w:r w:rsidR="000E714C" w:rsidRPr="005E26D9">
        <w:rPr>
          <w:b/>
          <w:color w:val="A65588"/>
        </w:rPr>
        <w:t xml:space="preserve">with an </w:t>
      </w:r>
      <w:r w:rsidR="001572D3" w:rsidRPr="005E26D9">
        <w:rPr>
          <w:b/>
          <w:color w:val="A65588"/>
        </w:rPr>
        <w:t>EHC Plan</w:t>
      </w:r>
      <w:r w:rsidR="000E714C" w:rsidRPr="005E26D9">
        <w:rPr>
          <w:b/>
          <w:color w:val="A65588"/>
        </w:rPr>
        <w:t>, Brighton &amp; Hove residents, 2025 to 2032</w:t>
      </w:r>
    </w:p>
    <w:tbl>
      <w:tblPr>
        <w:tblStyle w:val="PlainTable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1654"/>
        <w:gridCol w:w="2117"/>
        <w:gridCol w:w="2114"/>
        <w:gridCol w:w="2018"/>
      </w:tblGrid>
      <w:tr w:rsidR="006C1F15" w:rsidRPr="000953B9" w14:paraId="620D93E0" w14:textId="77777777" w:rsidTr="005E26D9">
        <w:trPr>
          <w:cnfStyle w:val="100000000000" w:firstRow="1" w:lastRow="0" w:firstColumn="0" w:lastColumn="0" w:oddVBand="0" w:evenVBand="0" w:oddHBand="0"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771" w:type="pct"/>
            <w:shd w:val="clear" w:color="auto" w:fill="086A76"/>
            <w:noWrap/>
            <w:hideMark/>
          </w:tcPr>
          <w:p w14:paraId="55AA90AC" w14:textId="77777777" w:rsidR="000953B9" w:rsidRPr="000953B9" w:rsidRDefault="000953B9">
            <w:pPr>
              <w:rPr>
                <w:rFonts w:eastAsia="Times New Roman" w:cs="Arial"/>
                <w:color w:val="FFFFFF" w:themeColor="background1"/>
                <w:kern w:val="0"/>
                <w:szCs w:val="24"/>
                <w:lang w:eastAsia="en-GB"/>
                <w14:ligatures w14:val="none"/>
              </w:rPr>
            </w:pPr>
            <w:r w:rsidRPr="000953B9">
              <w:rPr>
                <w:rFonts w:eastAsia="Times New Roman" w:cs="Arial"/>
                <w:color w:val="FFFFFF" w:themeColor="background1"/>
                <w:kern w:val="0"/>
                <w:szCs w:val="24"/>
                <w:lang w:eastAsia="en-GB"/>
                <w14:ligatures w14:val="none"/>
              </w:rPr>
              <w:t>Year</w:t>
            </w:r>
          </w:p>
        </w:tc>
        <w:tc>
          <w:tcPr>
            <w:tcW w:w="885" w:type="pct"/>
            <w:shd w:val="clear" w:color="auto" w:fill="086A76"/>
            <w:hideMark/>
          </w:tcPr>
          <w:p w14:paraId="55B19414" w14:textId="0BC609EC" w:rsidR="000953B9" w:rsidRPr="000953B9" w:rsidRDefault="000953B9" w:rsidP="000953B9">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themeColor="background1"/>
                <w:kern w:val="0"/>
                <w:szCs w:val="24"/>
                <w:lang w:eastAsia="en-GB"/>
                <w14:ligatures w14:val="none"/>
              </w:rPr>
            </w:pPr>
            <w:r w:rsidRPr="000953B9">
              <w:rPr>
                <w:rFonts w:eastAsia="Times New Roman" w:cs="Arial"/>
                <w:color w:val="FFFFFF" w:themeColor="background1"/>
                <w:kern w:val="0"/>
                <w:szCs w:val="24"/>
                <w:lang w:eastAsia="en-GB"/>
                <w14:ligatures w14:val="none"/>
              </w:rPr>
              <w:t xml:space="preserve">Actual numbers of </w:t>
            </w:r>
            <w:r w:rsidR="001572D3">
              <w:rPr>
                <w:rFonts w:eastAsia="Times New Roman" w:cs="Arial"/>
                <w:color w:val="FFFFFF" w:themeColor="background1"/>
                <w:kern w:val="0"/>
                <w:szCs w:val="24"/>
                <w:lang w:eastAsia="en-GB"/>
                <w14:ligatures w14:val="none"/>
              </w:rPr>
              <w:t>EHC Plan</w:t>
            </w:r>
            <w:r w:rsidRPr="000953B9">
              <w:rPr>
                <w:rFonts w:eastAsia="Times New Roman" w:cs="Arial"/>
                <w:color w:val="FFFFFF" w:themeColor="background1"/>
                <w:kern w:val="0"/>
                <w:szCs w:val="24"/>
                <w:lang w:eastAsia="en-GB"/>
                <w14:ligatures w14:val="none"/>
              </w:rPr>
              <w:t xml:space="preserve"> used to fit models</w:t>
            </w:r>
          </w:p>
        </w:tc>
        <w:tc>
          <w:tcPr>
            <w:tcW w:w="1133" w:type="pct"/>
            <w:shd w:val="clear" w:color="auto" w:fill="086A76"/>
            <w:hideMark/>
          </w:tcPr>
          <w:p w14:paraId="21A30379" w14:textId="77777777" w:rsidR="00D668C9" w:rsidRDefault="000953B9" w:rsidP="000953B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themeColor="background1"/>
                <w:kern w:val="0"/>
                <w:szCs w:val="24"/>
                <w:lang w:eastAsia="en-GB"/>
                <w14:ligatures w14:val="none"/>
              </w:rPr>
            </w:pPr>
            <w:r>
              <w:rPr>
                <w:rFonts w:eastAsia="Times New Roman" w:cs="Arial"/>
                <w:color w:val="FFFFFF" w:themeColor="background1"/>
                <w:kern w:val="0"/>
                <w:szCs w:val="24"/>
                <w:lang w:eastAsia="en-GB"/>
                <w14:ligatures w14:val="none"/>
              </w:rPr>
              <w:t xml:space="preserve">Projected number </w:t>
            </w:r>
          </w:p>
          <w:p w14:paraId="188AA7E6" w14:textId="05C906BD" w:rsidR="000953B9" w:rsidRPr="000953B9" w:rsidRDefault="000953B9" w:rsidP="000953B9">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themeColor="background1"/>
                <w:kern w:val="0"/>
                <w:szCs w:val="24"/>
                <w:lang w:eastAsia="en-GB"/>
                <w14:ligatures w14:val="none"/>
              </w:rPr>
            </w:pPr>
          </w:p>
        </w:tc>
        <w:tc>
          <w:tcPr>
            <w:tcW w:w="1131" w:type="pct"/>
            <w:shd w:val="clear" w:color="auto" w:fill="086A76"/>
            <w:hideMark/>
          </w:tcPr>
          <w:p w14:paraId="36676654" w14:textId="77777777" w:rsidR="000953B9" w:rsidRPr="000953B9" w:rsidRDefault="000953B9" w:rsidP="000953B9">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themeColor="background1"/>
                <w:kern w:val="0"/>
                <w:szCs w:val="24"/>
                <w:lang w:eastAsia="en-GB"/>
                <w14:ligatures w14:val="none"/>
              </w:rPr>
            </w:pPr>
            <w:r w:rsidRPr="000953B9">
              <w:rPr>
                <w:rFonts w:eastAsia="Times New Roman" w:cs="Arial"/>
                <w:color w:val="FFFFFF" w:themeColor="background1"/>
                <w:kern w:val="0"/>
                <w:szCs w:val="24"/>
                <w:lang w:eastAsia="en-GB"/>
                <w14:ligatures w14:val="none"/>
              </w:rPr>
              <w:t>Population age 0 to 25</w:t>
            </w:r>
          </w:p>
        </w:tc>
        <w:tc>
          <w:tcPr>
            <w:tcW w:w="1080" w:type="pct"/>
            <w:shd w:val="clear" w:color="auto" w:fill="086A76"/>
            <w:hideMark/>
          </w:tcPr>
          <w:p w14:paraId="37CD8254" w14:textId="0C14229B" w:rsidR="000953B9" w:rsidRPr="000953B9" w:rsidRDefault="000953B9" w:rsidP="000953B9">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themeColor="background1"/>
                <w:kern w:val="0"/>
                <w:szCs w:val="24"/>
                <w:lang w:eastAsia="en-GB"/>
                <w14:ligatures w14:val="none"/>
              </w:rPr>
            </w:pPr>
            <w:r>
              <w:rPr>
                <w:rFonts w:eastAsia="Times New Roman" w:cs="Arial"/>
                <w:color w:val="FFFFFF" w:themeColor="background1"/>
                <w:kern w:val="0"/>
                <w:szCs w:val="24"/>
                <w:lang w:eastAsia="en-GB"/>
                <w14:ligatures w14:val="none"/>
              </w:rPr>
              <w:t xml:space="preserve">Projected </w:t>
            </w:r>
            <w:r w:rsidRPr="000953B9">
              <w:rPr>
                <w:rFonts w:eastAsia="Times New Roman" w:cs="Arial"/>
                <w:color w:val="FFFFFF" w:themeColor="background1"/>
                <w:kern w:val="0"/>
                <w:szCs w:val="24"/>
                <w:lang w:eastAsia="en-GB"/>
                <w14:ligatures w14:val="none"/>
              </w:rPr>
              <w:t xml:space="preserve">percentage of </w:t>
            </w:r>
            <w:r>
              <w:rPr>
                <w:rFonts w:eastAsia="Times New Roman" w:cs="Arial"/>
                <w:color w:val="FFFFFF" w:themeColor="background1"/>
                <w:kern w:val="0"/>
                <w:szCs w:val="24"/>
                <w:lang w:eastAsia="en-GB"/>
                <w14:ligatures w14:val="none"/>
              </w:rPr>
              <w:t xml:space="preserve">0-25 year olds </w:t>
            </w:r>
          </w:p>
        </w:tc>
      </w:tr>
      <w:tr w:rsidR="006C1F15" w:rsidRPr="0069382E" w14:paraId="5778FD7B" w14:textId="77777777" w:rsidTr="005E26D9">
        <w:trPr>
          <w:trHeight w:val="300"/>
        </w:trPr>
        <w:tc>
          <w:tcPr>
            <w:cnfStyle w:val="001000000000" w:firstRow="0" w:lastRow="0" w:firstColumn="1" w:lastColumn="0" w:oddVBand="0" w:evenVBand="0" w:oddHBand="0" w:evenHBand="0" w:firstRowFirstColumn="0" w:firstRowLastColumn="0" w:lastRowFirstColumn="0" w:lastRowLastColumn="0"/>
            <w:tcW w:w="771" w:type="pct"/>
            <w:noWrap/>
            <w:hideMark/>
          </w:tcPr>
          <w:p w14:paraId="2634FC2B" w14:textId="77777777" w:rsidR="000953B9" w:rsidRPr="000953B9" w:rsidRDefault="000953B9" w:rsidP="000953B9">
            <w:pPr>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2025</w:t>
            </w:r>
          </w:p>
        </w:tc>
        <w:tc>
          <w:tcPr>
            <w:tcW w:w="885" w:type="pct"/>
            <w:noWrap/>
            <w:hideMark/>
          </w:tcPr>
          <w:p w14:paraId="6C08E827" w14:textId="0CD988FA" w:rsidR="000953B9" w:rsidRPr="000953B9" w:rsidRDefault="00D668C9" w:rsidP="000953B9">
            <w:pPr>
              <w:jc w:val="right"/>
              <w:cnfStyle w:val="000000000000" w:firstRow="0" w:lastRow="0" w:firstColumn="0" w:lastColumn="0" w:oddVBand="0" w:evenVBand="0" w:oddHBand="0" w:evenHBand="0" w:firstRowFirstColumn="0" w:firstRowLastColumn="0" w:lastRowFirstColumn="0" w:lastRowLastColumn="0"/>
              <w:rPr>
                <w:rFonts w:eastAsia="Times New Roman" w:cs="Arial"/>
                <w:kern w:val="0"/>
                <w:szCs w:val="24"/>
                <w:lang w:eastAsia="en-GB"/>
                <w14:ligatures w14:val="none"/>
              </w:rPr>
            </w:pPr>
            <w:r w:rsidRPr="000953B9">
              <w:rPr>
                <w:rFonts w:eastAsia="Times New Roman" w:cs="Arial"/>
                <w:color w:val="000000"/>
                <w:kern w:val="0"/>
                <w:szCs w:val="24"/>
                <w:lang w:eastAsia="en-GB"/>
                <w14:ligatures w14:val="none"/>
              </w:rPr>
              <w:t>2</w:t>
            </w:r>
            <w:r>
              <w:rPr>
                <w:rFonts w:eastAsia="Times New Roman" w:cs="Arial"/>
                <w:color w:val="000000"/>
                <w:kern w:val="0"/>
                <w:szCs w:val="24"/>
                <w:lang w:eastAsia="en-GB"/>
                <w14:ligatures w14:val="none"/>
              </w:rPr>
              <w:t>,</w:t>
            </w:r>
            <w:r w:rsidRPr="000953B9">
              <w:rPr>
                <w:rFonts w:eastAsia="Times New Roman" w:cs="Arial"/>
                <w:color w:val="000000"/>
                <w:kern w:val="0"/>
                <w:szCs w:val="24"/>
                <w:lang w:eastAsia="en-GB"/>
                <w14:ligatures w14:val="none"/>
              </w:rPr>
              <w:t>948</w:t>
            </w:r>
          </w:p>
        </w:tc>
        <w:tc>
          <w:tcPr>
            <w:tcW w:w="1133" w:type="pct"/>
            <w:noWrap/>
            <w:hideMark/>
          </w:tcPr>
          <w:p w14:paraId="2CBF223F" w14:textId="10688EA1"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 xml:space="preserve">                </w:t>
            </w:r>
            <w:r w:rsidR="00D668C9" w:rsidRPr="000953B9">
              <w:rPr>
                <w:rFonts w:eastAsia="Times New Roman" w:cs="Arial"/>
                <w:color w:val="000000"/>
                <w:kern w:val="0"/>
                <w:szCs w:val="24"/>
                <w:lang w:eastAsia="en-GB"/>
                <w14:ligatures w14:val="none"/>
              </w:rPr>
              <w:t>2</w:t>
            </w:r>
            <w:r w:rsidR="00D668C9">
              <w:rPr>
                <w:rFonts w:eastAsia="Times New Roman" w:cs="Arial"/>
                <w:color w:val="000000"/>
                <w:kern w:val="0"/>
                <w:szCs w:val="24"/>
                <w:lang w:eastAsia="en-GB"/>
                <w14:ligatures w14:val="none"/>
              </w:rPr>
              <w:t>,</w:t>
            </w:r>
            <w:r w:rsidR="00D668C9" w:rsidRPr="000953B9">
              <w:rPr>
                <w:rFonts w:eastAsia="Times New Roman" w:cs="Arial"/>
                <w:color w:val="000000"/>
                <w:kern w:val="0"/>
                <w:szCs w:val="24"/>
                <w:lang w:eastAsia="en-GB"/>
                <w14:ligatures w14:val="none"/>
              </w:rPr>
              <w:t>886</w:t>
            </w:r>
            <w:r w:rsidRPr="000953B9">
              <w:rPr>
                <w:rFonts w:eastAsia="Times New Roman" w:cs="Arial"/>
                <w:color w:val="000000"/>
                <w:kern w:val="0"/>
                <w:szCs w:val="24"/>
                <w:lang w:eastAsia="en-GB"/>
                <w14:ligatures w14:val="none"/>
              </w:rPr>
              <w:t xml:space="preserve"> </w:t>
            </w:r>
          </w:p>
        </w:tc>
        <w:tc>
          <w:tcPr>
            <w:tcW w:w="1131" w:type="pct"/>
            <w:noWrap/>
            <w:hideMark/>
          </w:tcPr>
          <w:p w14:paraId="598C71BB" w14:textId="752E3142"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 xml:space="preserve">           72</w:t>
            </w:r>
            <w:r>
              <w:rPr>
                <w:rFonts w:eastAsia="Times New Roman" w:cs="Arial"/>
                <w:color w:val="000000"/>
                <w:kern w:val="0"/>
                <w:szCs w:val="24"/>
                <w:lang w:eastAsia="en-GB"/>
                <w14:ligatures w14:val="none"/>
              </w:rPr>
              <w:t>,</w:t>
            </w:r>
            <w:r w:rsidRPr="000953B9">
              <w:rPr>
                <w:rFonts w:eastAsia="Times New Roman" w:cs="Arial"/>
                <w:color w:val="000000"/>
                <w:kern w:val="0"/>
                <w:szCs w:val="24"/>
                <w:lang w:eastAsia="en-GB"/>
                <w14:ligatures w14:val="none"/>
              </w:rPr>
              <w:t xml:space="preserve">112 </w:t>
            </w:r>
          </w:p>
        </w:tc>
        <w:tc>
          <w:tcPr>
            <w:tcW w:w="1080" w:type="pct"/>
            <w:noWrap/>
            <w:hideMark/>
          </w:tcPr>
          <w:p w14:paraId="7BF3EA85" w14:textId="77777777" w:rsidR="000953B9" w:rsidRPr="000953B9" w:rsidRDefault="000953B9" w:rsidP="000953B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cs="Arial"/>
                <w:szCs w:val="24"/>
              </w:rPr>
              <w:t>4.0%</w:t>
            </w:r>
          </w:p>
        </w:tc>
      </w:tr>
      <w:tr w:rsidR="006C1F15" w:rsidRPr="0069382E" w14:paraId="1A54F4FD" w14:textId="77777777" w:rsidTr="005E26D9">
        <w:trPr>
          <w:trHeight w:val="300"/>
        </w:trPr>
        <w:tc>
          <w:tcPr>
            <w:cnfStyle w:val="001000000000" w:firstRow="0" w:lastRow="0" w:firstColumn="1" w:lastColumn="0" w:oddVBand="0" w:evenVBand="0" w:oddHBand="0" w:evenHBand="0" w:firstRowFirstColumn="0" w:firstRowLastColumn="0" w:lastRowFirstColumn="0" w:lastRowLastColumn="0"/>
            <w:tcW w:w="771" w:type="pct"/>
            <w:noWrap/>
            <w:hideMark/>
          </w:tcPr>
          <w:p w14:paraId="57A1399D" w14:textId="77777777" w:rsidR="000953B9" w:rsidRPr="000953B9" w:rsidRDefault="000953B9" w:rsidP="000953B9">
            <w:pPr>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2026</w:t>
            </w:r>
          </w:p>
        </w:tc>
        <w:tc>
          <w:tcPr>
            <w:tcW w:w="885" w:type="pct"/>
            <w:noWrap/>
            <w:hideMark/>
          </w:tcPr>
          <w:p w14:paraId="3BA30947" w14:textId="77777777"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kern w:val="0"/>
                <w:szCs w:val="24"/>
                <w:lang w:eastAsia="en-GB"/>
                <w14:ligatures w14:val="none"/>
              </w:rPr>
            </w:pPr>
          </w:p>
        </w:tc>
        <w:tc>
          <w:tcPr>
            <w:tcW w:w="1133" w:type="pct"/>
            <w:noWrap/>
            <w:hideMark/>
          </w:tcPr>
          <w:p w14:paraId="78A7B91D" w14:textId="1634659F"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 xml:space="preserve">                </w:t>
            </w:r>
            <w:r w:rsidR="00D668C9" w:rsidRPr="000953B9">
              <w:rPr>
                <w:rFonts w:eastAsia="Times New Roman" w:cs="Arial"/>
                <w:color w:val="000000"/>
                <w:kern w:val="0"/>
                <w:szCs w:val="24"/>
                <w:lang w:eastAsia="en-GB"/>
                <w14:ligatures w14:val="none"/>
              </w:rPr>
              <w:t>3</w:t>
            </w:r>
            <w:r w:rsidR="00D668C9">
              <w:rPr>
                <w:rFonts w:eastAsia="Times New Roman" w:cs="Arial"/>
                <w:color w:val="000000"/>
                <w:kern w:val="0"/>
                <w:szCs w:val="24"/>
                <w:lang w:eastAsia="en-GB"/>
                <w14:ligatures w14:val="none"/>
              </w:rPr>
              <w:t>,</w:t>
            </w:r>
            <w:r w:rsidR="00D668C9" w:rsidRPr="000953B9">
              <w:rPr>
                <w:rFonts w:eastAsia="Times New Roman" w:cs="Arial"/>
                <w:color w:val="000000"/>
                <w:kern w:val="0"/>
                <w:szCs w:val="24"/>
                <w:lang w:eastAsia="en-GB"/>
                <w14:ligatures w14:val="none"/>
              </w:rPr>
              <w:t>108</w:t>
            </w:r>
            <w:r w:rsidRPr="000953B9">
              <w:rPr>
                <w:rFonts w:eastAsia="Times New Roman" w:cs="Arial"/>
                <w:color w:val="000000"/>
                <w:kern w:val="0"/>
                <w:szCs w:val="24"/>
                <w:lang w:eastAsia="en-GB"/>
                <w14:ligatures w14:val="none"/>
              </w:rPr>
              <w:t xml:space="preserve"> </w:t>
            </w:r>
          </w:p>
        </w:tc>
        <w:tc>
          <w:tcPr>
            <w:tcW w:w="1131" w:type="pct"/>
            <w:noWrap/>
            <w:hideMark/>
          </w:tcPr>
          <w:p w14:paraId="182D7008" w14:textId="082497C8"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 xml:space="preserve">           72</w:t>
            </w:r>
            <w:r>
              <w:rPr>
                <w:rFonts w:eastAsia="Times New Roman" w:cs="Arial"/>
                <w:color w:val="000000"/>
                <w:kern w:val="0"/>
                <w:szCs w:val="24"/>
                <w:lang w:eastAsia="en-GB"/>
                <w14:ligatures w14:val="none"/>
              </w:rPr>
              <w:t>,</w:t>
            </w:r>
            <w:r w:rsidRPr="000953B9">
              <w:rPr>
                <w:rFonts w:eastAsia="Times New Roman" w:cs="Arial"/>
                <w:color w:val="000000"/>
                <w:kern w:val="0"/>
                <w:szCs w:val="24"/>
                <w:lang w:eastAsia="en-GB"/>
                <w14:ligatures w14:val="none"/>
              </w:rPr>
              <w:t xml:space="preserve">238 </w:t>
            </w:r>
          </w:p>
        </w:tc>
        <w:tc>
          <w:tcPr>
            <w:tcW w:w="1080" w:type="pct"/>
            <w:noWrap/>
            <w:hideMark/>
          </w:tcPr>
          <w:p w14:paraId="222FAEE3" w14:textId="77777777" w:rsidR="000953B9" w:rsidRPr="000953B9" w:rsidRDefault="000953B9" w:rsidP="000953B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cs="Arial"/>
                <w:szCs w:val="24"/>
              </w:rPr>
              <w:t>4.3%</w:t>
            </w:r>
          </w:p>
        </w:tc>
      </w:tr>
      <w:tr w:rsidR="006C1F15" w:rsidRPr="0069382E" w14:paraId="0D5ED0BA" w14:textId="77777777" w:rsidTr="005E26D9">
        <w:trPr>
          <w:trHeight w:val="300"/>
        </w:trPr>
        <w:tc>
          <w:tcPr>
            <w:cnfStyle w:val="001000000000" w:firstRow="0" w:lastRow="0" w:firstColumn="1" w:lastColumn="0" w:oddVBand="0" w:evenVBand="0" w:oddHBand="0" w:evenHBand="0" w:firstRowFirstColumn="0" w:firstRowLastColumn="0" w:lastRowFirstColumn="0" w:lastRowLastColumn="0"/>
            <w:tcW w:w="771" w:type="pct"/>
            <w:noWrap/>
            <w:hideMark/>
          </w:tcPr>
          <w:p w14:paraId="48473C11" w14:textId="77777777" w:rsidR="000953B9" w:rsidRPr="000953B9" w:rsidRDefault="000953B9" w:rsidP="000953B9">
            <w:pPr>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2027</w:t>
            </w:r>
          </w:p>
        </w:tc>
        <w:tc>
          <w:tcPr>
            <w:tcW w:w="885" w:type="pct"/>
            <w:noWrap/>
            <w:hideMark/>
          </w:tcPr>
          <w:p w14:paraId="53629C5E" w14:textId="77777777"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kern w:val="0"/>
                <w:szCs w:val="24"/>
                <w:lang w:eastAsia="en-GB"/>
                <w14:ligatures w14:val="none"/>
              </w:rPr>
            </w:pPr>
          </w:p>
        </w:tc>
        <w:tc>
          <w:tcPr>
            <w:tcW w:w="1133" w:type="pct"/>
            <w:noWrap/>
            <w:hideMark/>
          </w:tcPr>
          <w:p w14:paraId="09159C4A" w14:textId="732B41E7"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 xml:space="preserve">                </w:t>
            </w:r>
            <w:r w:rsidR="00D668C9" w:rsidRPr="000953B9">
              <w:rPr>
                <w:rFonts w:eastAsia="Times New Roman" w:cs="Arial"/>
                <w:color w:val="000000"/>
                <w:kern w:val="0"/>
                <w:szCs w:val="24"/>
                <w:lang w:eastAsia="en-GB"/>
                <w14:ligatures w14:val="none"/>
              </w:rPr>
              <w:t>3</w:t>
            </w:r>
            <w:r w:rsidR="00D668C9">
              <w:rPr>
                <w:rFonts w:eastAsia="Times New Roman" w:cs="Arial"/>
                <w:color w:val="000000"/>
                <w:kern w:val="0"/>
                <w:szCs w:val="24"/>
                <w:lang w:eastAsia="en-GB"/>
                <w14:ligatures w14:val="none"/>
              </w:rPr>
              <w:t>,</w:t>
            </w:r>
            <w:r w:rsidR="00D668C9" w:rsidRPr="000953B9">
              <w:rPr>
                <w:rFonts w:eastAsia="Times New Roman" w:cs="Arial"/>
                <w:color w:val="000000"/>
                <w:kern w:val="0"/>
                <w:szCs w:val="24"/>
                <w:lang w:eastAsia="en-GB"/>
                <w14:ligatures w14:val="none"/>
              </w:rPr>
              <w:t>332</w:t>
            </w:r>
            <w:r w:rsidRPr="000953B9">
              <w:rPr>
                <w:rFonts w:eastAsia="Times New Roman" w:cs="Arial"/>
                <w:color w:val="000000"/>
                <w:kern w:val="0"/>
                <w:szCs w:val="24"/>
                <w:lang w:eastAsia="en-GB"/>
                <w14:ligatures w14:val="none"/>
              </w:rPr>
              <w:t xml:space="preserve"> </w:t>
            </w:r>
          </w:p>
        </w:tc>
        <w:tc>
          <w:tcPr>
            <w:tcW w:w="1131" w:type="pct"/>
            <w:noWrap/>
            <w:hideMark/>
          </w:tcPr>
          <w:p w14:paraId="77D27714" w14:textId="7EDF8F39"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 xml:space="preserve">           72</w:t>
            </w:r>
            <w:r>
              <w:rPr>
                <w:rFonts w:eastAsia="Times New Roman" w:cs="Arial"/>
                <w:color w:val="000000"/>
                <w:kern w:val="0"/>
                <w:szCs w:val="24"/>
                <w:lang w:eastAsia="en-GB"/>
                <w14:ligatures w14:val="none"/>
              </w:rPr>
              <w:t>,</w:t>
            </w:r>
            <w:r w:rsidRPr="000953B9">
              <w:rPr>
                <w:rFonts w:eastAsia="Times New Roman" w:cs="Arial"/>
                <w:color w:val="000000"/>
                <w:kern w:val="0"/>
                <w:szCs w:val="24"/>
                <w:lang w:eastAsia="en-GB"/>
                <w14:ligatures w14:val="none"/>
              </w:rPr>
              <w:t xml:space="preserve">195 </w:t>
            </w:r>
          </w:p>
        </w:tc>
        <w:tc>
          <w:tcPr>
            <w:tcW w:w="1080" w:type="pct"/>
            <w:noWrap/>
            <w:hideMark/>
          </w:tcPr>
          <w:p w14:paraId="602F305A" w14:textId="77777777" w:rsidR="000953B9" w:rsidRPr="000953B9" w:rsidRDefault="000953B9" w:rsidP="000953B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cs="Arial"/>
                <w:szCs w:val="24"/>
              </w:rPr>
              <w:t>4.6%</w:t>
            </w:r>
          </w:p>
        </w:tc>
      </w:tr>
      <w:tr w:rsidR="006C1F15" w:rsidRPr="0069382E" w14:paraId="5F709D4A" w14:textId="77777777" w:rsidTr="005E26D9">
        <w:trPr>
          <w:trHeight w:val="300"/>
        </w:trPr>
        <w:tc>
          <w:tcPr>
            <w:cnfStyle w:val="001000000000" w:firstRow="0" w:lastRow="0" w:firstColumn="1" w:lastColumn="0" w:oddVBand="0" w:evenVBand="0" w:oddHBand="0" w:evenHBand="0" w:firstRowFirstColumn="0" w:firstRowLastColumn="0" w:lastRowFirstColumn="0" w:lastRowLastColumn="0"/>
            <w:tcW w:w="771" w:type="pct"/>
            <w:noWrap/>
            <w:hideMark/>
          </w:tcPr>
          <w:p w14:paraId="097A35DB" w14:textId="77777777" w:rsidR="000953B9" w:rsidRPr="000953B9" w:rsidRDefault="000953B9" w:rsidP="000953B9">
            <w:pPr>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2028</w:t>
            </w:r>
          </w:p>
        </w:tc>
        <w:tc>
          <w:tcPr>
            <w:tcW w:w="885" w:type="pct"/>
            <w:noWrap/>
            <w:hideMark/>
          </w:tcPr>
          <w:p w14:paraId="7397BFD9" w14:textId="77777777"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kern w:val="0"/>
                <w:szCs w:val="24"/>
                <w:lang w:eastAsia="en-GB"/>
                <w14:ligatures w14:val="none"/>
              </w:rPr>
            </w:pPr>
          </w:p>
        </w:tc>
        <w:tc>
          <w:tcPr>
            <w:tcW w:w="1133" w:type="pct"/>
            <w:noWrap/>
            <w:hideMark/>
          </w:tcPr>
          <w:p w14:paraId="1FA7EDBB" w14:textId="5D8C1D26"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 xml:space="preserve">                </w:t>
            </w:r>
            <w:r w:rsidR="00D668C9" w:rsidRPr="000953B9">
              <w:rPr>
                <w:rFonts w:eastAsia="Times New Roman" w:cs="Arial"/>
                <w:color w:val="000000"/>
                <w:kern w:val="0"/>
                <w:szCs w:val="24"/>
                <w:lang w:eastAsia="en-GB"/>
                <w14:ligatures w14:val="none"/>
              </w:rPr>
              <w:t>3</w:t>
            </w:r>
            <w:r w:rsidR="00D668C9">
              <w:rPr>
                <w:rFonts w:eastAsia="Times New Roman" w:cs="Arial"/>
                <w:color w:val="000000"/>
                <w:kern w:val="0"/>
                <w:szCs w:val="24"/>
                <w:lang w:eastAsia="en-GB"/>
                <w14:ligatures w14:val="none"/>
              </w:rPr>
              <w:t>,</w:t>
            </w:r>
            <w:r w:rsidR="00D668C9" w:rsidRPr="000953B9">
              <w:rPr>
                <w:rFonts w:eastAsia="Times New Roman" w:cs="Arial"/>
                <w:color w:val="000000"/>
                <w:kern w:val="0"/>
                <w:szCs w:val="24"/>
                <w:lang w:eastAsia="en-GB"/>
                <w14:ligatures w14:val="none"/>
              </w:rPr>
              <w:t>554</w:t>
            </w:r>
            <w:r w:rsidRPr="000953B9">
              <w:rPr>
                <w:rFonts w:eastAsia="Times New Roman" w:cs="Arial"/>
                <w:color w:val="000000"/>
                <w:kern w:val="0"/>
                <w:szCs w:val="24"/>
                <w:lang w:eastAsia="en-GB"/>
                <w14:ligatures w14:val="none"/>
              </w:rPr>
              <w:t xml:space="preserve"> </w:t>
            </w:r>
          </w:p>
        </w:tc>
        <w:tc>
          <w:tcPr>
            <w:tcW w:w="1131" w:type="pct"/>
            <w:noWrap/>
            <w:hideMark/>
          </w:tcPr>
          <w:p w14:paraId="2F99B081" w14:textId="6186670E"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 xml:space="preserve">           72</w:t>
            </w:r>
            <w:r>
              <w:rPr>
                <w:rFonts w:eastAsia="Times New Roman" w:cs="Arial"/>
                <w:color w:val="000000"/>
                <w:kern w:val="0"/>
                <w:szCs w:val="24"/>
                <w:lang w:eastAsia="en-GB"/>
                <w14:ligatures w14:val="none"/>
              </w:rPr>
              <w:t>,</w:t>
            </w:r>
            <w:r w:rsidRPr="000953B9">
              <w:rPr>
                <w:rFonts w:eastAsia="Times New Roman" w:cs="Arial"/>
                <w:color w:val="000000"/>
                <w:kern w:val="0"/>
                <w:szCs w:val="24"/>
                <w:lang w:eastAsia="en-GB"/>
                <w14:ligatures w14:val="none"/>
              </w:rPr>
              <w:t xml:space="preserve">242 </w:t>
            </w:r>
          </w:p>
        </w:tc>
        <w:tc>
          <w:tcPr>
            <w:tcW w:w="1080" w:type="pct"/>
            <w:noWrap/>
            <w:hideMark/>
          </w:tcPr>
          <w:p w14:paraId="36150514" w14:textId="77777777" w:rsidR="000953B9" w:rsidRPr="000953B9" w:rsidRDefault="000953B9" w:rsidP="000953B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cs="Arial"/>
                <w:szCs w:val="24"/>
              </w:rPr>
              <w:t>4.9%</w:t>
            </w:r>
          </w:p>
        </w:tc>
      </w:tr>
      <w:tr w:rsidR="006C1F15" w:rsidRPr="0069382E" w14:paraId="3D2CEDF0" w14:textId="77777777" w:rsidTr="005E26D9">
        <w:trPr>
          <w:trHeight w:val="300"/>
        </w:trPr>
        <w:tc>
          <w:tcPr>
            <w:cnfStyle w:val="001000000000" w:firstRow="0" w:lastRow="0" w:firstColumn="1" w:lastColumn="0" w:oddVBand="0" w:evenVBand="0" w:oddHBand="0" w:evenHBand="0" w:firstRowFirstColumn="0" w:firstRowLastColumn="0" w:lastRowFirstColumn="0" w:lastRowLastColumn="0"/>
            <w:tcW w:w="771" w:type="pct"/>
            <w:noWrap/>
            <w:hideMark/>
          </w:tcPr>
          <w:p w14:paraId="7E4F1597" w14:textId="77777777" w:rsidR="000953B9" w:rsidRPr="000953B9" w:rsidRDefault="000953B9" w:rsidP="000953B9">
            <w:pPr>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2029</w:t>
            </w:r>
          </w:p>
        </w:tc>
        <w:tc>
          <w:tcPr>
            <w:tcW w:w="885" w:type="pct"/>
            <w:noWrap/>
            <w:hideMark/>
          </w:tcPr>
          <w:p w14:paraId="7C8D139A" w14:textId="77777777"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kern w:val="0"/>
                <w:szCs w:val="24"/>
                <w:lang w:eastAsia="en-GB"/>
                <w14:ligatures w14:val="none"/>
              </w:rPr>
            </w:pPr>
          </w:p>
        </w:tc>
        <w:tc>
          <w:tcPr>
            <w:tcW w:w="1133" w:type="pct"/>
            <w:noWrap/>
            <w:hideMark/>
          </w:tcPr>
          <w:p w14:paraId="4B35EF62" w14:textId="634719BD"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 xml:space="preserve">                </w:t>
            </w:r>
            <w:r w:rsidR="00D668C9" w:rsidRPr="000953B9">
              <w:rPr>
                <w:rFonts w:eastAsia="Times New Roman" w:cs="Arial"/>
                <w:color w:val="000000"/>
                <w:kern w:val="0"/>
                <w:szCs w:val="24"/>
                <w:lang w:eastAsia="en-GB"/>
                <w14:ligatures w14:val="none"/>
              </w:rPr>
              <w:t>3</w:t>
            </w:r>
            <w:r w:rsidR="00D668C9">
              <w:rPr>
                <w:rFonts w:eastAsia="Times New Roman" w:cs="Arial"/>
                <w:color w:val="000000"/>
                <w:kern w:val="0"/>
                <w:szCs w:val="24"/>
                <w:lang w:eastAsia="en-GB"/>
                <w14:ligatures w14:val="none"/>
              </w:rPr>
              <w:t>,</w:t>
            </w:r>
            <w:r w:rsidR="00D668C9" w:rsidRPr="000953B9">
              <w:rPr>
                <w:rFonts w:eastAsia="Times New Roman" w:cs="Arial"/>
                <w:color w:val="000000"/>
                <w:kern w:val="0"/>
                <w:szCs w:val="24"/>
                <w:lang w:eastAsia="en-GB"/>
                <w14:ligatures w14:val="none"/>
              </w:rPr>
              <w:t>769</w:t>
            </w:r>
            <w:r w:rsidRPr="000953B9">
              <w:rPr>
                <w:rFonts w:eastAsia="Times New Roman" w:cs="Arial"/>
                <w:color w:val="000000"/>
                <w:kern w:val="0"/>
                <w:szCs w:val="24"/>
                <w:lang w:eastAsia="en-GB"/>
                <w14:ligatures w14:val="none"/>
              </w:rPr>
              <w:t xml:space="preserve"> </w:t>
            </w:r>
          </w:p>
        </w:tc>
        <w:tc>
          <w:tcPr>
            <w:tcW w:w="1131" w:type="pct"/>
            <w:noWrap/>
            <w:hideMark/>
          </w:tcPr>
          <w:p w14:paraId="3BD29A9E" w14:textId="7C2C6CE8"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 xml:space="preserve">           72</w:t>
            </w:r>
            <w:r>
              <w:rPr>
                <w:rFonts w:eastAsia="Times New Roman" w:cs="Arial"/>
                <w:color w:val="000000"/>
                <w:kern w:val="0"/>
                <w:szCs w:val="24"/>
                <w:lang w:eastAsia="en-GB"/>
                <w14:ligatures w14:val="none"/>
              </w:rPr>
              <w:t>,</w:t>
            </w:r>
            <w:r w:rsidRPr="000953B9">
              <w:rPr>
                <w:rFonts w:eastAsia="Times New Roman" w:cs="Arial"/>
                <w:color w:val="000000"/>
                <w:kern w:val="0"/>
                <w:szCs w:val="24"/>
                <w:lang w:eastAsia="en-GB"/>
                <w14:ligatures w14:val="none"/>
              </w:rPr>
              <w:t xml:space="preserve">230 </w:t>
            </w:r>
          </w:p>
        </w:tc>
        <w:tc>
          <w:tcPr>
            <w:tcW w:w="1080" w:type="pct"/>
            <w:noWrap/>
            <w:hideMark/>
          </w:tcPr>
          <w:p w14:paraId="19827771" w14:textId="77777777" w:rsidR="000953B9" w:rsidRPr="000953B9" w:rsidRDefault="000953B9" w:rsidP="000953B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cs="Arial"/>
                <w:szCs w:val="24"/>
              </w:rPr>
              <w:t>5.2%</w:t>
            </w:r>
          </w:p>
        </w:tc>
      </w:tr>
      <w:tr w:rsidR="006C1F15" w:rsidRPr="0069382E" w14:paraId="7693940C" w14:textId="77777777" w:rsidTr="005E26D9">
        <w:trPr>
          <w:trHeight w:val="300"/>
        </w:trPr>
        <w:tc>
          <w:tcPr>
            <w:cnfStyle w:val="001000000000" w:firstRow="0" w:lastRow="0" w:firstColumn="1" w:lastColumn="0" w:oddVBand="0" w:evenVBand="0" w:oddHBand="0" w:evenHBand="0" w:firstRowFirstColumn="0" w:firstRowLastColumn="0" w:lastRowFirstColumn="0" w:lastRowLastColumn="0"/>
            <w:tcW w:w="771" w:type="pct"/>
            <w:noWrap/>
            <w:hideMark/>
          </w:tcPr>
          <w:p w14:paraId="7FB0D964" w14:textId="77777777" w:rsidR="000953B9" w:rsidRPr="000953B9" w:rsidRDefault="000953B9" w:rsidP="000953B9">
            <w:pPr>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2030</w:t>
            </w:r>
          </w:p>
        </w:tc>
        <w:tc>
          <w:tcPr>
            <w:tcW w:w="885" w:type="pct"/>
            <w:noWrap/>
            <w:hideMark/>
          </w:tcPr>
          <w:p w14:paraId="51ACA3A4" w14:textId="77777777"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kern w:val="0"/>
                <w:szCs w:val="24"/>
                <w:lang w:eastAsia="en-GB"/>
                <w14:ligatures w14:val="none"/>
              </w:rPr>
            </w:pPr>
          </w:p>
        </w:tc>
        <w:tc>
          <w:tcPr>
            <w:tcW w:w="1133" w:type="pct"/>
            <w:noWrap/>
            <w:hideMark/>
          </w:tcPr>
          <w:p w14:paraId="670EB8B8" w14:textId="39B346D2"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 xml:space="preserve">                </w:t>
            </w:r>
            <w:r w:rsidR="00D668C9" w:rsidRPr="000953B9">
              <w:rPr>
                <w:rFonts w:eastAsia="Times New Roman" w:cs="Arial"/>
                <w:color w:val="000000"/>
                <w:kern w:val="0"/>
                <w:szCs w:val="24"/>
                <w:lang w:eastAsia="en-GB"/>
                <w14:ligatures w14:val="none"/>
              </w:rPr>
              <w:t>3</w:t>
            </w:r>
            <w:r w:rsidR="00D668C9">
              <w:rPr>
                <w:rFonts w:eastAsia="Times New Roman" w:cs="Arial"/>
                <w:color w:val="000000"/>
                <w:kern w:val="0"/>
                <w:szCs w:val="24"/>
                <w:lang w:eastAsia="en-GB"/>
                <w14:ligatures w14:val="none"/>
              </w:rPr>
              <w:t>,</w:t>
            </w:r>
            <w:r w:rsidR="00D668C9" w:rsidRPr="000953B9">
              <w:rPr>
                <w:rFonts w:eastAsia="Times New Roman" w:cs="Arial"/>
                <w:color w:val="000000"/>
                <w:kern w:val="0"/>
                <w:szCs w:val="24"/>
                <w:lang w:eastAsia="en-GB"/>
                <w14:ligatures w14:val="none"/>
              </w:rPr>
              <w:t>990</w:t>
            </w:r>
            <w:r w:rsidRPr="000953B9">
              <w:rPr>
                <w:rFonts w:eastAsia="Times New Roman" w:cs="Arial"/>
                <w:color w:val="000000"/>
                <w:kern w:val="0"/>
                <w:szCs w:val="24"/>
                <w:lang w:eastAsia="en-GB"/>
                <w14:ligatures w14:val="none"/>
              </w:rPr>
              <w:t xml:space="preserve"> </w:t>
            </w:r>
          </w:p>
        </w:tc>
        <w:tc>
          <w:tcPr>
            <w:tcW w:w="1131" w:type="pct"/>
            <w:noWrap/>
            <w:hideMark/>
          </w:tcPr>
          <w:p w14:paraId="0F15BC42" w14:textId="4F5B04E7"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 xml:space="preserve">           72</w:t>
            </w:r>
            <w:r>
              <w:rPr>
                <w:rFonts w:eastAsia="Times New Roman" w:cs="Arial"/>
                <w:color w:val="000000"/>
                <w:kern w:val="0"/>
                <w:szCs w:val="24"/>
                <w:lang w:eastAsia="en-GB"/>
                <w14:ligatures w14:val="none"/>
              </w:rPr>
              <w:t>,</w:t>
            </w:r>
            <w:r w:rsidRPr="000953B9">
              <w:rPr>
                <w:rFonts w:eastAsia="Times New Roman" w:cs="Arial"/>
                <w:color w:val="000000"/>
                <w:kern w:val="0"/>
                <w:szCs w:val="24"/>
                <w:lang w:eastAsia="en-GB"/>
                <w14:ligatures w14:val="none"/>
              </w:rPr>
              <w:t xml:space="preserve">171 </w:t>
            </w:r>
          </w:p>
        </w:tc>
        <w:tc>
          <w:tcPr>
            <w:tcW w:w="1080" w:type="pct"/>
            <w:noWrap/>
            <w:hideMark/>
          </w:tcPr>
          <w:p w14:paraId="4FE3F0A4" w14:textId="77777777" w:rsidR="000953B9" w:rsidRPr="000953B9" w:rsidRDefault="000953B9" w:rsidP="000953B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cs="Arial"/>
                <w:szCs w:val="24"/>
              </w:rPr>
              <w:t>5.5%</w:t>
            </w:r>
          </w:p>
        </w:tc>
      </w:tr>
      <w:tr w:rsidR="006C1F15" w:rsidRPr="0069382E" w14:paraId="2F2B6BED" w14:textId="77777777" w:rsidTr="005E26D9">
        <w:trPr>
          <w:trHeight w:val="300"/>
        </w:trPr>
        <w:tc>
          <w:tcPr>
            <w:cnfStyle w:val="001000000000" w:firstRow="0" w:lastRow="0" w:firstColumn="1" w:lastColumn="0" w:oddVBand="0" w:evenVBand="0" w:oddHBand="0" w:evenHBand="0" w:firstRowFirstColumn="0" w:firstRowLastColumn="0" w:lastRowFirstColumn="0" w:lastRowLastColumn="0"/>
            <w:tcW w:w="771" w:type="pct"/>
            <w:noWrap/>
            <w:hideMark/>
          </w:tcPr>
          <w:p w14:paraId="16A393B6" w14:textId="77777777" w:rsidR="000953B9" w:rsidRPr="000953B9" w:rsidRDefault="000953B9" w:rsidP="000953B9">
            <w:pPr>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2031</w:t>
            </w:r>
          </w:p>
        </w:tc>
        <w:tc>
          <w:tcPr>
            <w:tcW w:w="885" w:type="pct"/>
            <w:noWrap/>
            <w:hideMark/>
          </w:tcPr>
          <w:p w14:paraId="20FB9D38" w14:textId="77777777"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kern w:val="0"/>
                <w:szCs w:val="24"/>
                <w:lang w:eastAsia="en-GB"/>
                <w14:ligatures w14:val="none"/>
              </w:rPr>
            </w:pPr>
          </w:p>
        </w:tc>
        <w:tc>
          <w:tcPr>
            <w:tcW w:w="1133" w:type="pct"/>
            <w:noWrap/>
            <w:hideMark/>
          </w:tcPr>
          <w:p w14:paraId="6FCB20D1" w14:textId="2DB0B3FE"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 xml:space="preserve">                </w:t>
            </w:r>
            <w:r w:rsidR="00D668C9" w:rsidRPr="000953B9">
              <w:rPr>
                <w:rFonts w:eastAsia="Times New Roman" w:cs="Arial"/>
                <w:color w:val="000000"/>
                <w:kern w:val="0"/>
                <w:szCs w:val="24"/>
                <w:lang w:eastAsia="en-GB"/>
                <w14:ligatures w14:val="none"/>
              </w:rPr>
              <w:t>4</w:t>
            </w:r>
            <w:r w:rsidR="00D668C9">
              <w:rPr>
                <w:rFonts w:eastAsia="Times New Roman" w:cs="Arial"/>
                <w:color w:val="000000"/>
                <w:kern w:val="0"/>
                <w:szCs w:val="24"/>
                <w:lang w:eastAsia="en-GB"/>
                <w14:ligatures w14:val="none"/>
              </w:rPr>
              <w:t>,</w:t>
            </w:r>
            <w:r w:rsidR="00D668C9" w:rsidRPr="000953B9">
              <w:rPr>
                <w:rFonts w:eastAsia="Times New Roman" w:cs="Arial"/>
                <w:color w:val="000000"/>
                <w:kern w:val="0"/>
                <w:szCs w:val="24"/>
                <w:lang w:eastAsia="en-GB"/>
                <w14:ligatures w14:val="none"/>
              </w:rPr>
              <w:t>214</w:t>
            </w:r>
            <w:r w:rsidRPr="000953B9">
              <w:rPr>
                <w:rFonts w:eastAsia="Times New Roman" w:cs="Arial"/>
                <w:color w:val="000000"/>
                <w:kern w:val="0"/>
                <w:szCs w:val="24"/>
                <w:lang w:eastAsia="en-GB"/>
                <w14:ligatures w14:val="none"/>
              </w:rPr>
              <w:t xml:space="preserve"> </w:t>
            </w:r>
          </w:p>
        </w:tc>
        <w:tc>
          <w:tcPr>
            <w:tcW w:w="1131" w:type="pct"/>
            <w:noWrap/>
            <w:hideMark/>
          </w:tcPr>
          <w:p w14:paraId="2A3A5BE8" w14:textId="71D7FF3C"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 xml:space="preserve">           72</w:t>
            </w:r>
            <w:r>
              <w:rPr>
                <w:rFonts w:eastAsia="Times New Roman" w:cs="Arial"/>
                <w:color w:val="000000"/>
                <w:kern w:val="0"/>
                <w:szCs w:val="24"/>
                <w:lang w:eastAsia="en-GB"/>
                <w14:ligatures w14:val="none"/>
              </w:rPr>
              <w:t>,</w:t>
            </w:r>
            <w:r w:rsidRPr="000953B9">
              <w:rPr>
                <w:rFonts w:eastAsia="Times New Roman" w:cs="Arial"/>
                <w:color w:val="000000"/>
                <w:kern w:val="0"/>
                <w:szCs w:val="24"/>
                <w:lang w:eastAsia="en-GB"/>
                <w14:ligatures w14:val="none"/>
              </w:rPr>
              <w:t xml:space="preserve">210 </w:t>
            </w:r>
          </w:p>
        </w:tc>
        <w:tc>
          <w:tcPr>
            <w:tcW w:w="1080" w:type="pct"/>
            <w:noWrap/>
            <w:hideMark/>
          </w:tcPr>
          <w:p w14:paraId="1BE4AF72" w14:textId="77777777" w:rsidR="000953B9" w:rsidRPr="000953B9" w:rsidRDefault="000953B9" w:rsidP="000953B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cs="Arial"/>
                <w:szCs w:val="24"/>
              </w:rPr>
              <w:t>5.8%</w:t>
            </w:r>
          </w:p>
        </w:tc>
      </w:tr>
      <w:tr w:rsidR="006C1F15" w:rsidRPr="0069382E" w14:paraId="19C4078E" w14:textId="77777777" w:rsidTr="005E26D9">
        <w:trPr>
          <w:trHeight w:val="300"/>
        </w:trPr>
        <w:tc>
          <w:tcPr>
            <w:cnfStyle w:val="001000000000" w:firstRow="0" w:lastRow="0" w:firstColumn="1" w:lastColumn="0" w:oddVBand="0" w:evenVBand="0" w:oddHBand="0" w:evenHBand="0" w:firstRowFirstColumn="0" w:firstRowLastColumn="0" w:lastRowFirstColumn="0" w:lastRowLastColumn="0"/>
            <w:tcW w:w="771" w:type="pct"/>
            <w:noWrap/>
            <w:hideMark/>
          </w:tcPr>
          <w:p w14:paraId="2FD82FD3" w14:textId="77777777" w:rsidR="000953B9" w:rsidRPr="000953B9" w:rsidRDefault="000953B9" w:rsidP="000953B9">
            <w:pPr>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2032</w:t>
            </w:r>
          </w:p>
        </w:tc>
        <w:tc>
          <w:tcPr>
            <w:tcW w:w="885" w:type="pct"/>
            <w:noWrap/>
            <w:hideMark/>
          </w:tcPr>
          <w:p w14:paraId="50873272" w14:textId="77777777"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kern w:val="0"/>
                <w:szCs w:val="24"/>
                <w:lang w:eastAsia="en-GB"/>
                <w14:ligatures w14:val="none"/>
              </w:rPr>
            </w:pPr>
          </w:p>
        </w:tc>
        <w:tc>
          <w:tcPr>
            <w:tcW w:w="1133" w:type="pct"/>
            <w:noWrap/>
            <w:hideMark/>
          </w:tcPr>
          <w:p w14:paraId="6DA718CD" w14:textId="6EF5D89C"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 xml:space="preserve">                </w:t>
            </w:r>
            <w:r w:rsidR="00D668C9" w:rsidRPr="000953B9">
              <w:rPr>
                <w:rFonts w:eastAsia="Times New Roman" w:cs="Arial"/>
                <w:color w:val="000000"/>
                <w:kern w:val="0"/>
                <w:szCs w:val="24"/>
                <w:lang w:eastAsia="en-GB"/>
                <w14:ligatures w14:val="none"/>
              </w:rPr>
              <w:t>4</w:t>
            </w:r>
            <w:r w:rsidR="00D668C9">
              <w:rPr>
                <w:rFonts w:eastAsia="Times New Roman" w:cs="Arial"/>
                <w:color w:val="000000"/>
                <w:kern w:val="0"/>
                <w:szCs w:val="24"/>
                <w:lang w:eastAsia="en-GB"/>
                <w14:ligatures w14:val="none"/>
              </w:rPr>
              <w:t>,</w:t>
            </w:r>
            <w:r w:rsidR="00D668C9" w:rsidRPr="000953B9">
              <w:rPr>
                <w:rFonts w:eastAsia="Times New Roman" w:cs="Arial"/>
                <w:color w:val="000000"/>
                <w:kern w:val="0"/>
                <w:szCs w:val="24"/>
                <w:lang w:eastAsia="en-GB"/>
                <w14:ligatures w14:val="none"/>
              </w:rPr>
              <w:t>427</w:t>
            </w:r>
            <w:r w:rsidRPr="000953B9">
              <w:rPr>
                <w:rFonts w:eastAsia="Times New Roman" w:cs="Arial"/>
                <w:color w:val="000000"/>
                <w:kern w:val="0"/>
                <w:szCs w:val="24"/>
                <w:lang w:eastAsia="en-GB"/>
                <w14:ligatures w14:val="none"/>
              </w:rPr>
              <w:t xml:space="preserve"> </w:t>
            </w:r>
          </w:p>
        </w:tc>
        <w:tc>
          <w:tcPr>
            <w:tcW w:w="1131" w:type="pct"/>
            <w:noWrap/>
            <w:hideMark/>
          </w:tcPr>
          <w:p w14:paraId="5284E290" w14:textId="0667A187" w:rsidR="000953B9" w:rsidRPr="000953B9" w:rsidRDefault="000953B9" w:rsidP="005E26D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eastAsia="Times New Roman" w:cs="Arial"/>
                <w:color w:val="000000"/>
                <w:kern w:val="0"/>
                <w:szCs w:val="24"/>
                <w:lang w:eastAsia="en-GB"/>
                <w14:ligatures w14:val="none"/>
              </w:rPr>
              <w:t xml:space="preserve">           72</w:t>
            </w:r>
            <w:r>
              <w:rPr>
                <w:rFonts w:eastAsia="Times New Roman" w:cs="Arial"/>
                <w:color w:val="000000"/>
                <w:kern w:val="0"/>
                <w:szCs w:val="24"/>
                <w:lang w:eastAsia="en-GB"/>
                <w14:ligatures w14:val="none"/>
              </w:rPr>
              <w:t>,</w:t>
            </w:r>
            <w:r w:rsidRPr="000953B9">
              <w:rPr>
                <w:rFonts w:eastAsia="Times New Roman" w:cs="Arial"/>
                <w:color w:val="000000"/>
                <w:kern w:val="0"/>
                <w:szCs w:val="24"/>
                <w:lang w:eastAsia="en-GB"/>
                <w14:ligatures w14:val="none"/>
              </w:rPr>
              <w:t xml:space="preserve">134 </w:t>
            </w:r>
          </w:p>
        </w:tc>
        <w:tc>
          <w:tcPr>
            <w:tcW w:w="1080" w:type="pct"/>
            <w:noWrap/>
            <w:hideMark/>
          </w:tcPr>
          <w:p w14:paraId="4EF4A0A7" w14:textId="77777777" w:rsidR="000953B9" w:rsidRPr="000953B9" w:rsidRDefault="000953B9" w:rsidP="000953B9">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Cs w:val="24"/>
                <w:lang w:eastAsia="en-GB"/>
                <w14:ligatures w14:val="none"/>
              </w:rPr>
            </w:pPr>
            <w:r w:rsidRPr="000953B9">
              <w:rPr>
                <w:rFonts w:cs="Arial"/>
                <w:szCs w:val="24"/>
              </w:rPr>
              <w:t>6.1%</w:t>
            </w:r>
          </w:p>
        </w:tc>
      </w:tr>
    </w:tbl>
    <w:p w14:paraId="2EE6500A" w14:textId="2EF8B434" w:rsidR="000953B9" w:rsidRPr="003B1E88" w:rsidRDefault="000953B9" w:rsidP="00D9246A">
      <w:pPr>
        <w:spacing w:line="240" w:lineRule="auto"/>
      </w:pPr>
      <w:r w:rsidRPr="005E26D9">
        <w:rPr>
          <w:b/>
        </w:rPr>
        <w:t>Source:</w:t>
      </w:r>
      <w:r>
        <w:t xml:space="preserve"> Brighton &amp; Hove City Council education team</w:t>
      </w:r>
    </w:p>
    <w:p w14:paraId="05FD74DE" w14:textId="77777777" w:rsidR="001C7E7B" w:rsidRPr="005B5B18" w:rsidRDefault="001C7E7B" w:rsidP="00D9246A">
      <w:pPr>
        <w:spacing w:line="240" w:lineRule="auto"/>
        <w:rPr>
          <w:rFonts w:cs="Arial"/>
          <w:b/>
          <w:color w:val="0079C2"/>
          <w:szCs w:val="24"/>
        </w:rPr>
      </w:pPr>
      <w:r w:rsidRPr="005B5B18">
        <w:rPr>
          <w:rFonts w:cs="Arial"/>
          <w:b/>
          <w:color w:val="0079C2"/>
          <w:szCs w:val="24"/>
        </w:rPr>
        <w:t>By primary need, it</w:t>
      </w:r>
      <w:r w:rsidR="00D41C5D" w:rsidRPr="005B5B18">
        <w:rPr>
          <w:rFonts w:cs="Arial"/>
          <w:b/>
          <w:color w:val="0079C2"/>
          <w:szCs w:val="24"/>
        </w:rPr>
        <w:t xml:space="preserve"> is projected that</w:t>
      </w:r>
      <w:r w:rsidRPr="005B5B18">
        <w:rPr>
          <w:rFonts w:cs="Arial"/>
          <w:b/>
          <w:color w:val="0079C2"/>
          <w:szCs w:val="24"/>
        </w:rPr>
        <w:t>:</w:t>
      </w:r>
    </w:p>
    <w:p w14:paraId="6675DB33" w14:textId="125D9B19" w:rsidR="00597AB9" w:rsidRDefault="001C7E7B" w:rsidP="009858E3">
      <w:pPr>
        <w:pStyle w:val="ListParagraph"/>
        <w:numPr>
          <w:ilvl w:val="0"/>
          <w:numId w:val="35"/>
        </w:numPr>
        <w:spacing w:line="240" w:lineRule="auto"/>
        <w:rPr>
          <w:rFonts w:cs="Arial"/>
          <w:szCs w:val="24"/>
        </w:rPr>
      </w:pPr>
      <w:r w:rsidRPr="005B5B18">
        <w:rPr>
          <w:rFonts w:cs="Arial"/>
          <w:b/>
          <w:color w:val="0079C2"/>
          <w:szCs w:val="24"/>
        </w:rPr>
        <w:t>T</w:t>
      </w:r>
      <w:r w:rsidR="00D41C5D" w:rsidRPr="005B5B18">
        <w:rPr>
          <w:rFonts w:cs="Arial"/>
          <w:b/>
          <w:color w:val="0079C2"/>
          <w:szCs w:val="24"/>
        </w:rPr>
        <w:t xml:space="preserve">he number of </w:t>
      </w:r>
      <w:r w:rsidR="005B0C05" w:rsidRPr="005B5B18">
        <w:rPr>
          <w:rFonts w:cs="Arial"/>
          <w:b/>
          <w:color w:val="0079C2"/>
          <w:szCs w:val="24"/>
        </w:rPr>
        <w:t xml:space="preserve">autistic </w:t>
      </w:r>
      <w:r w:rsidRPr="005B5B18">
        <w:rPr>
          <w:rFonts w:cs="Arial"/>
          <w:b/>
          <w:color w:val="0079C2"/>
          <w:szCs w:val="24"/>
        </w:rPr>
        <w:t>children</w:t>
      </w:r>
      <w:r w:rsidR="00D41C5D" w:rsidRPr="005B5B18">
        <w:rPr>
          <w:rFonts w:cs="Arial"/>
          <w:b/>
          <w:color w:val="0079C2"/>
          <w:szCs w:val="24"/>
        </w:rPr>
        <w:t xml:space="preserve"> </w:t>
      </w:r>
      <w:r w:rsidRPr="005B5B18">
        <w:rPr>
          <w:rFonts w:cs="Arial"/>
          <w:b/>
          <w:color w:val="0079C2"/>
          <w:szCs w:val="24"/>
        </w:rPr>
        <w:t>and</w:t>
      </w:r>
      <w:r w:rsidR="00D41C5D" w:rsidRPr="005B5B18">
        <w:rPr>
          <w:rFonts w:cs="Arial"/>
          <w:b/>
          <w:color w:val="0079C2"/>
          <w:szCs w:val="24"/>
        </w:rPr>
        <w:t xml:space="preserve"> young people </w:t>
      </w:r>
      <w:r w:rsidRPr="005B5B18">
        <w:rPr>
          <w:rFonts w:cs="Arial"/>
          <w:b/>
          <w:color w:val="0079C2"/>
          <w:szCs w:val="24"/>
        </w:rPr>
        <w:t xml:space="preserve">aged 0-25 years </w:t>
      </w:r>
      <w:r w:rsidR="005B0C05" w:rsidRPr="005B5B18">
        <w:rPr>
          <w:rFonts w:cs="Arial"/>
          <w:b/>
          <w:color w:val="0079C2"/>
          <w:szCs w:val="24"/>
        </w:rPr>
        <w:t>(</w:t>
      </w:r>
      <w:r w:rsidR="00D41C5D" w:rsidRPr="005B5B18">
        <w:rPr>
          <w:rFonts w:cs="Arial"/>
          <w:b/>
          <w:color w:val="0079C2"/>
          <w:szCs w:val="24"/>
        </w:rPr>
        <w:t>ASD</w:t>
      </w:r>
      <w:r w:rsidR="005B0C05" w:rsidRPr="005B5B18">
        <w:rPr>
          <w:rFonts w:cs="Arial"/>
          <w:b/>
          <w:color w:val="0079C2"/>
          <w:szCs w:val="24"/>
        </w:rPr>
        <w:t>)</w:t>
      </w:r>
      <w:r w:rsidR="00D41C5D" w:rsidRPr="005B5B18">
        <w:rPr>
          <w:rFonts w:cs="Arial"/>
          <w:b/>
          <w:color w:val="0079C2"/>
          <w:szCs w:val="24"/>
        </w:rPr>
        <w:t xml:space="preserve"> as their primary need will increase from </w:t>
      </w:r>
      <w:r w:rsidR="00E53BAD" w:rsidRPr="005B5B18">
        <w:rPr>
          <w:rFonts w:cs="Arial"/>
          <w:b/>
          <w:color w:val="0079C2"/>
          <w:szCs w:val="24"/>
        </w:rPr>
        <w:t xml:space="preserve">1,058 in 2025 to 1,912 in 2032 </w:t>
      </w:r>
      <w:r w:rsidRPr="001C7E7B">
        <w:rPr>
          <w:rFonts w:cs="Arial"/>
          <w:szCs w:val="24"/>
        </w:rPr>
        <w:t>–</w:t>
      </w:r>
      <w:r w:rsidR="00E53BAD" w:rsidRPr="001C7E7B">
        <w:rPr>
          <w:rFonts w:cs="Arial"/>
          <w:szCs w:val="24"/>
        </w:rPr>
        <w:t xml:space="preserve"> </w:t>
      </w:r>
      <w:r w:rsidRPr="001C7E7B">
        <w:rPr>
          <w:rFonts w:cs="Arial"/>
          <w:szCs w:val="24"/>
        </w:rPr>
        <w:t>an 81% increase. Or an increase from 1.5% to 2.7% of all 0-25 year olds</w:t>
      </w:r>
    </w:p>
    <w:p w14:paraId="3A8CC671" w14:textId="4D744600" w:rsidR="001C7E7B" w:rsidRDefault="001C7E7B" w:rsidP="009858E3">
      <w:pPr>
        <w:pStyle w:val="ListParagraph"/>
        <w:numPr>
          <w:ilvl w:val="0"/>
          <w:numId w:val="35"/>
        </w:numPr>
        <w:spacing w:line="240" w:lineRule="auto"/>
        <w:rPr>
          <w:rFonts w:cs="Arial"/>
          <w:szCs w:val="24"/>
        </w:rPr>
      </w:pPr>
      <w:r w:rsidRPr="005B5B18">
        <w:rPr>
          <w:rFonts w:cs="Arial"/>
          <w:b/>
          <w:color w:val="0079C2"/>
          <w:szCs w:val="24"/>
        </w:rPr>
        <w:t>The number of children and young people aged 0-25 years with social, emotional or mental health</w:t>
      </w:r>
      <w:r w:rsidR="005B0C05" w:rsidRPr="005B5B18">
        <w:rPr>
          <w:rFonts w:cs="Arial"/>
          <w:b/>
          <w:color w:val="0079C2"/>
          <w:szCs w:val="24"/>
        </w:rPr>
        <w:t xml:space="preserve"> (SEMH)</w:t>
      </w:r>
      <w:r w:rsidR="001D0D18" w:rsidRPr="005B5B18">
        <w:rPr>
          <w:rFonts w:cs="Arial"/>
          <w:b/>
          <w:color w:val="0079C2"/>
          <w:szCs w:val="24"/>
        </w:rPr>
        <w:t xml:space="preserve"> needs</w:t>
      </w:r>
      <w:r w:rsidRPr="005B5B18">
        <w:rPr>
          <w:rFonts w:cs="Arial"/>
          <w:b/>
          <w:color w:val="0079C2"/>
          <w:szCs w:val="24"/>
        </w:rPr>
        <w:t xml:space="preserve"> as their primary need will increase from </w:t>
      </w:r>
      <w:r w:rsidR="001D0D18" w:rsidRPr="005B5B18">
        <w:rPr>
          <w:rFonts w:cs="Arial"/>
          <w:b/>
          <w:color w:val="0079C2"/>
          <w:szCs w:val="24"/>
        </w:rPr>
        <w:t>598</w:t>
      </w:r>
      <w:r w:rsidRPr="005B5B18">
        <w:rPr>
          <w:rFonts w:cs="Arial"/>
          <w:b/>
          <w:color w:val="0079C2"/>
          <w:szCs w:val="24"/>
        </w:rPr>
        <w:t xml:space="preserve"> in 2025 to </w:t>
      </w:r>
      <w:r w:rsidR="001D0D18" w:rsidRPr="005B5B18">
        <w:rPr>
          <w:rFonts w:cs="Arial"/>
          <w:b/>
          <w:color w:val="0079C2"/>
          <w:szCs w:val="24"/>
        </w:rPr>
        <w:t>973</w:t>
      </w:r>
      <w:r w:rsidRPr="005B5B18">
        <w:rPr>
          <w:rFonts w:cs="Arial"/>
          <w:b/>
          <w:color w:val="0079C2"/>
          <w:szCs w:val="24"/>
        </w:rPr>
        <w:t xml:space="preserve"> in 2032 – a </w:t>
      </w:r>
      <w:r w:rsidR="00F151F4" w:rsidRPr="005B5B18">
        <w:rPr>
          <w:rFonts w:cs="Arial"/>
          <w:b/>
          <w:color w:val="0079C2"/>
          <w:szCs w:val="24"/>
        </w:rPr>
        <w:t>63</w:t>
      </w:r>
      <w:r w:rsidRPr="005B5B18">
        <w:rPr>
          <w:rFonts w:cs="Arial"/>
          <w:b/>
          <w:color w:val="0079C2"/>
          <w:szCs w:val="24"/>
        </w:rPr>
        <w:t>% increase.</w:t>
      </w:r>
      <w:r w:rsidRPr="005B5B18">
        <w:rPr>
          <w:rFonts w:cs="Arial"/>
          <w:color w:val="0079C2"/>
          <w:szCs w:val="24"/>
        </w:rPr>
        <w:t xml:space="preserve"> </w:t>
      </w:r>
      <w:r w:rsidRPr="001C7E7B">
        <w:rPr>
          <w:rFonts w:cs="Arial"/>
          <w:szCs w:val="24"/>
        </w:rPr>
        <w:t xml:space="preserve">Or an increase from </w:t>
      </w:r>
      <w:r w:rsidR="00F151F4">
        <w:rPr>
          <w:rFonts w:cs="Arial"/>
          <w:szCs w:val="24"/>
        </w:rPr>
        <w:t>0.8</w:t>
      </w:r>
      <w:r w:rsidRPr="001C7E7B">
        <w:rPr>
          <w:rFonts w:cs="Arial"/>
          <w:szCs w:val="24"/>
        </w:rPr>
        <w:t xml:space="preserve">% to </w:t>
      </w:r>
      <w:r w:rsidR="00F151F4">
        <w:rPr>
          <w:rFonts w:cs="Arial"/>
          <w:szCs w:val="24"/>
        </w:rPr>
        <w:t>1.3</w:t>
      </w:r>
      <w:r w:rsidRPr="001C7E7B">
        <w:rPr>
          <w:rFonts w:cs="Arial"/>
          <w:szCs w:val="24"/>
        </w:rPr>
        <w:t>% of 0-25 year olds</w:t>
      </w:r>
    </w:p>
    <w:p w14:paraId="68A0066F" w14:textId="72D0DA79" w:rsidR="001C7E7B" w:rsidRPr="00BA05EE" w:rsidRDefault="00F151F4" w:rsidP="009858E3">
      <w:pPr>
        <w:pStyle w:val="ListParagraph"/>
        <w:numPr>
          <w:ilvl w:val="0"/>
          <w:numId w:val="35"/>
        </w:numPr>
        <w:spacing w:line="240" w:lineRule="auto"/>
        <w:rPr>
          <w:rFonts w:cs="Arial"/>
          <w:szCs w:val="24"/>
        </w:rPr>
      </w:pPr>
      <w:r w:rsidRPr="00BA05EE">
        <w:rPr>
          <w:rFonts w:cs="Arial"/>
          <w:szCs w:val="24"/>
        </w:rPr>
        <w:t xml:space="preserve">The number of children and young people aged 0-25 years with other primary needs will increase </w:t>
      </w:r>
      <w:r w:rsidR="00BA05EE">
        <w:rPr>
          <w:rFonts w:cs="Arial"/>
          <w:szCs w:val="24"/>
        </w:rPr>
        <w:t xml:space="preserve">least, </w:t>
      </w:r>
      <w:r w:rsidRPr="00BA05EE">
        <w:rPr>
          <w:rFonts w:cs="Arial"/>
          <w:szCs w:val="24"/>
        </w:rPr>
        <w:t xml:space="preserve">from 1,230 in 2025 to 1,432 in 2032 – a </w:t>
      </w:r>
      <w:r w:rsidR="00BA05EE" w:rsidRPr="00BA05EE">
        <w:rPr>
          <w:rFonts w:cs="Arial"/>
          <w:szCs w:val="24"/>
        </w:rPr>
        <w:t>16</w:t>
      </w:r>
      <w:r w:rsidRPr="00BA05EE">
        <w:rPr>
          <w:rFonts w:cs="Arial"/>
          <w:szCs w:val="24"/>
        </w:rPr>
        <w:t xml:space="preserve">% increase. Or an increase from </w:t>
      </w:r>
      <w:r w:rsidR="00BA05EE" w:rsidRPr="00BA05EE">
        <w:rPr>
          <w:rFonts w:cs="Arial"/>
          <w:szCs w:val="24"/>
        </w:rPr>
        <w:t>1.7</w:t>
      </w:r>
      <w:r w:rsidRPr="00BA05EE">
        <w:rPr>
          <w:rFonts w:cs="Arial"/>
          <w:szCs w:val="24"/>
        </w:rPr>
        <w:t xml:space="preserve">% to </w:t>
      </w:r>
      <w:r w:rsidR="00BA05EE" w:rsidRPr="00BA05EE">
        <w:rPr>
          <w:rFonts w:cs="Arial"/>
          <w:szCs w:val="24"/>
        </w:rPr>
        <w:t>2.0</w:t>
      </w:r>
      <w:r w:rsidRPr="00BA05EE">
        <w:rPr>
          <w:rFonts w:cs="Arial"/>
          <w:szCs w:val="24"/>
        </w:rPr>
        <w:t>% of all 0-25 year olds.</w:t>
      </w:r>
    </w:p>
    <w:p w14:paraId="45B80F65" w14:textId="2882027B" w:rsidR="00072A79" w:rsidRPr="00595FE6" w:rsidRDefault="00072A79" w:rsidP="00D9246A">
      <w:pPr>
        <w:pStyle w:val="Heading2"/>
        <w:spacing w:before="0" w:after="120"/>
      </w:pPr>
      <w:r w:rsidRPr="00595FE6">
        <w:t xml:space="preserve">Educational </w:t>
      </w:r>
      <w:r w:rsidR="003B5470" w:rsidRPr="00595FE6">
        <w:t>outcomes</w:t>
      </w:r>
    </w:p>
    <w:p w14:paraId="3D029236" w14:textId="28AB8D39" w:rsidR="00E64972" w:rsidRDefault="004131C8" w:rsidP="00D9246A">
      <w:pPr>
        <w:spacing w:line="240" w:lineRule="auto"/>
      </w:pPr>
      <w:r>
        <w:t xml:space="preserve">This section shows a range </w:t>
      </w:r>
      <w:r w:rsidR="007557A1">
        <w:t xml:space="preserve">of </w:t>
      </w:r>
      <w:r w:rsidR="0026040F">
        <w:t>education</w:t>
      </w:r>
      <w:r w:rsidR="007557A1">
        <w:t>al</w:t>
      </w:r>
      <w:r w:rsidR="0026040F">
        <w:t xml:space="preserve"> outcomes</w:t>
      </w:r>
      <w:r w:rsidR="007557A1">
        <w:t xml:space="preserve"> for all pupils, those with SEN support and those with EHC </w:t>
      </w:r>
      <w:r w:rsidR="00A129DF">
        <w:t>P</w:t>
      </w:r>
      <w:r w:rsidR="00DE33AF">
        <w:t xml:space="preserve">lans at </w:t>
      </w:r>
      <w:r w:rsidR="007C3F2A">
        <w:t>city</w:t>
      </w:r>
      <w:r w:rsidR="00DE33AF">
        <w:t xml:space="preserve"> and national level</w:t>
      </w:r>
      <w:r w:rsidR="0026040F">
        <w:t>.</w:t>
      </w:r>
    </w:p>
    <w:p w14:paraId="21606AE7" w14:textId="3B0E2D77" w:rsidR="00E004F5" w:rsidRPr="00595FE6" w:rsidRDefault="00E004F5" w:rsidP="0096012C">
      <w:pPr>
        <w:pStyle w:val="Heading3"/>
      </w:pPr>
      <w:r w:rsidRPr="00595FE6">
        <w:t xml:space="preserve">Key stage 1 </w:t>
      </w:r>
      <w:r w:rsidRPr="00335519">
        <w:t>phonics</w:t>
      </w:r>
      <w:r w:rsidRPr="00595FE6">
        <w:t xml:space="preserve"> attainment</w:t>
      </w:r>
    </w:p>
    <w:p w14:paraId="0AF1EDC6" w14:textId="0437DEFD" w:rsidR="00E004F5" w:rsidRPr="00595FE6" w:rsidRDefault="00E004F5" w:rsidP="00D9246A">
      <w:pPr>
        <w:spacing w:line="240" w:lineRule="auto"/>
        <w:rPr>
          <w:rFonts w:cs="Arial"/>
          <w:szCs w:val="24"/>
        </w:rPr>
      </w:pPr>
      <w:r w:rsidRPr="00595FE6">
        <w:rPr>
          <w:rFonts w:cs="Arial"/>
          <w:szCs w:val="24"/>
        </w:rPr>
        <w:t xml:space="preserve">For 2023/24 academic year, 80% of all year 1 pupils in England met </w:t>
      </w:r>
      <w:r w:rsidR="00FC66A9" w:rsidRPr="00595FE6">
        <w:rPr>
          <w:rFonts w:cs="Arial"/>
          <w:szCs w:val="24"/>
        </w:rPr>
        <w:t>the expected standard in the phonics screening</w:t>
      </w:r>
      <w:r w:rsidRPr="00595FE6">
        <w:rPr>
          <w:rFonts w:cs="Arial"/>
          <w:szCs w:val="24"/>
        </w:rPr>
        <w:t xml:space="preserve">. This was much lower for pupils with SEN at </w:t>
      </w:r>
      <w:r w:rsidR="00207A18" w:rsidRPr="00595FE6">
        <w:rPr>
          <w:rFonts w:cs="Arial"/>
          <w:szCs w:val="24"/>
        </w:rPr>
        <w:t>44</w:t>
      </w:r>
      <w:r w:rsidRPr="00595FE6">
        <w:rPr>
          <w:rFonts w:cs="Arial"/>
          <w:szCs w:val="24"/>
        </w:rPr>
        <w:t>% (</w:t>
      </w:r>
      <w:r w:rsidR="00207A18" w:rsidRPr="00595FE6">
        <w:rPr>
          <w:rFonts w:cs="Arial"/>
          <w:szCs w:val="24"/>
        </w:rPr>
        <w:t>52</w:t>
      </w:r>
      <w:r w:rsidRPr="00595FE6">
        <w:rPr>
          <w:rFonts w:cs="Arial"/>
          <w:szCs w:val="24"/>
        </w:rPr>
        <w:t xml:space="preserve">% for those with SEN Support and </w:t>
      </w:r>
      <w:r w:rsidR="00207A18" w:rsidRPr="00595FE6">
        <w:rPr>
          <w:rFonts w:cs="Arial"/>
          <w:szCs w:val="24"/>
        </w:rPr>
        <w:t>20</w:t>
      </w:r>
      <w:r w:rsidRPr="00595FE6">
        <w:rPr>
          <w:rFonts w:cs="Arial"/>
          <w:szCs w:val="24"/>
        </w:rPr>
        <w:t>% for pupils with an Education, Health and Care plan</w:t>
      </w:r>
      <w:r w:rsidR="00850F17">
        <w:rPr>
          <w:rFonts w:cs="Arial"/>
          <w:szCs w:val="24"/>
        </w:rPr>
        <w:t>)</w:t>
      </w:r>
      <w:r w:rsidR="0040728D">
        <w:rPr>
          <w:rFonts w:cs="Arial"/>
          <w:szCs w:val="24"/>
        </w:rPr>
        <w:t>.</w:t>
      </w:r>
      <w:r w:rsidR="00AF3042">
        <w:rPr>
          <w:rStyle w:val="EndnoteReference"/>
          <w:szCs w:val="24"/>
        </w:rPr>
        <w:endnoteReference w:id="60"/>
      </w:r>
    </w:p>
    <w:p w14:paraId="70FABE98" w14:textId="0EF96929" w:rsidR="00537147" w:rsidRPr="00595FE6" w:rsidRDefault="00E004F5" w:rsidP="00D9246A">
      <w:pPr>
        <w:spacing w:line="240" w:lineRule="auto"/>
        <w:rPr>
          <w:rFonts w:cs="Arial"/>
          <w:szCs w:val="24"/>
        </w:rPr>
      </w:pPr>
      <w:r w:rsidRPr="00595FE6">
        <w:rPr>
          <w:rFonts w:cs="Arial"/>
          <w:szCs w:val="24"/>
        </w:rPr>
        <w:t>For Brighton &amp; Hove</w:t>
      </w:r>
      <w:r w:rsidR="00C929BF">
        <w:rPr>
          <w:rFonts w:cs="Arial"/>
          <w:szCs w:val="24"/>
        </w:rPr>
        <w:t xml:space="preserve"> </w:t>
      </w:r>
      <w:r w:rsidR="00C929BF" w:rsidRPr="00562B5B">
        <w:rPr>
          <w:rFonts w:cs="Arial"/>
          <w:bCs/>
          <w:szCs w:val="24"/>
        </w:rPr>
        <w:t>(</w:t>
      </w:r>
      <w:r w:rsidR="00C929BF" w:rsidRPr="00BA25FE">
        <w:rPr>
          <w:rFonts w:cs="Arial"/>
          <w:bCs/>
          <w:szCs w:val="24"/>
        </w:rPr>
        <w:t>Figure 2</w:t>
      </w:r>
      <w:r w:rsidR="00575C97" w:rsidRPr="0092412A">
        <w:rPr>
          <w:rFonts w:cs="Arial"/>
          <w:bCs/>
          <w:szCs w:val="24"/>
        </w:rPr>
        <w:t>4</w:t>
      </w:r>
      <w:r w:rsidR="00C929BF" w:rsidRPr="00562B5B">
        <w:rPr>
          <w:rFonts w:cs="Arial"/>
          <w:bCs/>
          <w:szCs w:val="24"/>
        </w:rPr>
        <w:t>)</w:t>
      </w:r>
      <w:r w:rsidR="00537147" w:rsidRPr="00595FE6">
        <w:rPr>
          <w:rFonts w:cs="Arial"/>
          <w:szCs w:val="24"/>
        </w:rPr>
        <w:t>:</w:t>
      </w:r>
    </w:p>
    <w:p w14:paraId="2F4BCEA5" w14:textId="32E3C245" w:rsidR="00D43564" w:rsidRPr="00595FE6" w:rsidRDefault="00537147" w:rsidP="009858E3">
      <w:pPr>
        <w:pStyle w:val="ListParagraph"/>
        <w:numPr>
          <w:ilvl w:val="0"/>
          <w:numId w:val="35"/>
        </w:numPr>
        <w:spacing w:line="240" w:lineRule="auto"/>
        <w:rPr>
          <w:rFonts w:cs="Arial"/>
          <w:szCs w:val="24"/>
        </w:rPr>
      </w:pPr>
      <w:r w:rsidRPr="00595FE6">
        <w:rPr>
          <w:rFonts w:cs="Arial"/>
          <w:szCs w:val="24"/>
        </w:rPr>
        <w:t>O</w:t>
      </w:r>
      <w:r w:rsidR="00E004F5" w:rsidRPr="00595FE6">
        <w:rPr>
          <w:rFonts w:cs="Arial"/>
          <w:szCs w:val="24"/>
        </w:rPr>
        <w:t xml:space="preserve">verall </w:t>
      </w:r>
      <w:r w:rsidR="00E004F5" w:rsidRPr="006E43A6">
        <w:rPr>
          <w:rFonts w:cs="Arial"/>
          <w:bCs/>
          <w:szCs w:val="24"/>
        </w:rPr>
        <w:t>attainment</w:t>
      </w:r>
      <w:r w:rsidR="00E004F5" w:rsidRPr="00595FE6">
        <w:rPr>
          <w:rFonts w:cs="Arial"/>
          <w:szCs w:val="24"/>
        </w:rPr>
        <w:t xml:space="preserve"> was </w:t>
      </w:r>
      <w:r w:rsidR="000C3BC0" w:rsidRPr="00595FE6">
        <w:rPr>
          <w:rFonts w:cs="Arial"/>
          <w:szCs w:val="24"/>
        </w:rPr>
        <w:t>the same as for England</w:t>
      </w:r>
      <w:r w:rsidR="00E004F5" w:rsidRPr="00595FE6">
        <w:rPr>
          <w:rFonts w:cs="Arial"/>
          <w:szCs w:val="24"/>
        </w:rPr>
        <w:t xml:space="preserve"> (</w:t>
      </w:r>
      <w:r w:rsidR="000C3BC0" w:rsidRPr="00595FE6">
        <w:rPr>
          <w:rFonts w:cs="Arial"/>
          <w:szCs w:val="24"/>
        </w:rPr>
        <w:t>80</w:t>
      </w:r>
      <w:r w:rsidR="00E004F5" w:rsidRPr="00595FE6">
        <w:rPr>
          <w:rFonts w:cs="Arial"/>
          <w:szCs w:val="24"/>
        </w:rPr>
        <w:t>%</w:t>
      </w:r>
      <w:r w:rsidR="000C3BC0" w:rsidRPr="00595FE6">
        <w:rPr>
          <w:rFonts w:cs="Arial"/>
          <w:szCs w:val="24"/>
        </w:rPr>
        <w:t>)</w:t>
      </w:r>
      <w:r w:rsidR="00E004F5" w:rsidRPr="00595FE6">
        <w:rPr>
          <w:rFonts w:cs="Arial"/>
          <w:szCs w:val="24"/>
        </w:rPr>
        <w:t xml:space="preserve"> for all pupils in the city</w:t>
      </w:r>
      <w:r w:rsidRPr="00595FE6">
        <w:rPr>
          <w:rFonts w:cs="Arial"/>
          <w:szCs w:val="24"/>
        </w:rPr>
        <w:t xml:space="preserve"> </w:t>
      </w:r>
    </w:p>
    <w:p w14:paraId="7E3B6DD6" w14:textId="28AEECC4" w:rsidR="00E004F5" w:rsidRPr="006E43A6" w:rsidRDefault="000C3BC0" w:rsidP="009858E3">
      <w:pPr>
        <w:pStyle w:val="ListParagraph"/>
        <w:numPr>
          <w:ilvl w:val="0"/>
          <w:numId w:val="35"/>
        </w:numPr>
        <w:spacing w:line="240" w:lineRule="auto"/>
        <w:rPr>
          <w:rFonts w:cs="Arial"/>
          <w:bCs/>
          <w:szCs w:val="24"/>
        </w:rPr>
      </w:pPr>
      <w:r w:rsidRPr="00595FE6">
        <w:rPr>
          <w:rFonts w:cs="Arial"/>
          <w:szCs w:val="24"/>
        </w:rPr>
        <w:t>A</w:t>
      </w:r>
      <w:r w:rsidR="00E004F5" w:rsidRPr="00595FE6">
        <w:rPr>
          <w:rFonts w:cs="Arial"/>
          <w:szCs w:val="24"/>
        </w:rPr>
        <w:t xml:space="preserve">ttainment </w:t>
      </w:r>
      <w:r w:rsidR="00E004F5" w:rsidRPr="006E43A6">
        <w:rPr>
          <w:rFonts w:cs="Arial"/>
          <w:bCs/>
          <w:szCs w:val="24"/>
        </w:rPr>
        <w:t xml:space="preserve">for pupils with any SEN at </w:t>
      </w:r>
      <w:r w:rsidR="00342D11" w:rsidRPr="006E43A6">
        <w:rPr>
          <w:rFonts w:cs="Arial"/>
          <w:bCs/>
          <w:szCs w:val="24"/>
        </w:rPr>
        <w:t>45</w:t>
      </w:r>
      <w:r w:rsidR="00E004F5" w:rsidRPr="006E43A6">
        <w:rPr>
          <w:rFonts w:cs="Arial"/>
          <w:bCs/>
          <w:szCs w:val="24"/>
        </w:rPr>
        <w:t xml:space="preserve">% was </w:t>
      </w:r>
      <w:r w:rsidR="00D43564" w:rsidRPr="006E43A6">
        <w:rPr>
          <w:rFonts w:cs="Arial"/>
          <w:bCs/>
          <w:szCs w:val="24"/>
        </w:rPr>
        <w:t>similar</w:t>
      </w:r>
      <w:r w:rsidR="00E004F5" w:rsidRPr="006E43A6">
        <w:rPr>
          <w:rFonts w:cs="Arial"/>
          <w:bCs/>
          <w:szCs w:val="24"/>
        </w:rPr>
        <w:t xml:space="preserve"> to </w:t>
      </w:r>
      <w:r w:rsidRPr="006E43A6">
        <w:rPr>
          <w:rFonts w:cs="Arial"/>
          <w:bCs/>
          <w:szCs w:val="24"/>
        </w:rPr>
        <w:t>44</w:t>
      </w:r>
      <w:r w:rsidR="00E004F5" w:rsidRPr="006E43A6">
        <w:rPr>
          <w:rFonts w:cs="Arial"/>
          <w:bCs/>
          <w:szCs w:val="24"/>
        </w:rPr>
        <w:t>% for England</w:t>
      </w:r>
    </w:p>
    <w:p w14:paraId="32BFD1A3" w14:textId="7D5BE178" w:rsidR="003F16E4" w:rsidRPr="006E43A6" w:rsidRDefault="008F6C7B" w:rsidP="009858E3">
      <w:pPr>
        <w:pStyle w:val="ListParagraph"/>
        <w:numPr>
          <w:ilvl w:val="0"/>
          <w:numId w:val="35"/>
        </w:numPr>
        <w:spacing w:line="240" w:lineRule="auto"/>
        <w:rPr>
          <w:rFonts w:cs="Arial"/>
          <w:bCs/>
          <w:szCs w:val="24"/>
        </w:rPr>
      </w:pPr>
      <w:r>
        <w:rPr>
          <w:rFonts w:cs="Arial"/>
          <w:bCs/>
          <w:szCs w:val="24"/>
        </w:rPr>
        <w:t>A higher percentage of</w:t>
      </w:r>
      <w:r w:rsidR="00E004F5" w:rsidRPr="006E43A6">
        <w:rPr>
          <w:rFonts w:cs="Arial"/>
          <w:bCs/>
          <w:szCs w:val="24"/>
        </w:rPr>
        <w:t xml:space="preserve"> pupils with SEN support met the expected standards </w:t>
      </w:r>
      <w:r w:rsidR="00E50A23" w:rsidRPr="006E43A6">
        <w:rPr>
          <w:rFonts w:cs="Arial"/>
          <w:bCs/>
          <w:szCs w:val="24"/>
        </w:rPr>
        <w:t xml:space="preserve">compared to </w:t>
      </w:r>
      <w:r w:rsidR="00E004F5" w:rsidRPr="006E43A6">
        <w:rPr>
          <w:rFonts w:cs="Arial"/>
          <w:bCs/>
          <w:szCs w:val="24"/>
        </w:rPr>
        <w:t xml:space="preserve">England (Brighton &amp; Hove </w:t>
      </w:r>
      <w:r w:rsidR="000C3BC0" w:rsidRPr="006E43A6">
        <w:rPr>
          <w:rFonts w:cs="Arial"/>
          <w:bCs/>
          <w:szCs w:val="24"/>
        </w:rPr>
        <w:t>55</w:t>
      </w:r>
      <w:r w:rsidR="00E004F5" w:rsidRPr="006E43A6">
        <w:rPr>
          <w:rFonts w:cs="Arial"/>
          <w:bCs/>
          <w:szCs w:val="24"/>
        </w:rPr>
        <w:t xml:space="preserve">%, England </w:t>
      </w:r>
      <w:r w:rsidR="000C3BC0" w:rsidRPr="006E43A6">
        <w:rPr>
          <w:rFonts w:cs="Arial"/>
          <w:bCs/>
          <w:szCs w:val="24"/>
        </w:rPr>
        <w:t>5</w:t>
      </w:r>
      <w:r w:rsidR="00E004F5" w:rsidRPr="006E43A6">
        <w:rPr>
          <w:rFonts w:cs="Arial"/>
          <w:bCs/>
          <w:szCs w:val="24"/>
        </w:rPr>
        <w:t>2%)</w:t>
      </w:r>
    </w:p>
    <w:p w14:paraId="7B3A8C05" w14:textId="01301C47" w:rsidR="00E004F5" w:rsidRPr="003F3D4C" w:rsidRDefault="00E004F5" w:rsidP="009858E3">
      <w:pPr>
        <w:pStyle w:val="ListParagraph"/>
        <w:numPr>
          <w:ilvl w:val="0"/>
          <w:numId w:val="35"/>
        </w:numPr>
        <w:spacing w:line="240" w:lineRule="auto"/>
        <w:rPr>
          <w:rFonts w:cs="Arial"/>
          <w:szCs w:val="24"/>
        </w:rPr>
      </w:pPr>
      <w:r w:rsidRPr="006E43A6">
        <w:rPr>
          <w:rFonts w:cs="Arial"/>
          <w:bCs/>
          <w:szCs w:val="24"/>
        </w:rPr>
        <w:t xml:space="preserve">For pupils with an EHC plan, </w:t>
      </w:r>
      <w:r w:rsidR="000C3BC0" w:rsidRPr="006E43A6">
        <w:rPr>
          <w:rFonts w:cs="Arial"/>
          <w:bCs/>
          <w:szCs w:val="24"/>
        </w:rPr>
        <w:t>14</w:t>
      </w:r>
      <w:r w:rsidRPr="006E43A6">
        <w:rPr>
          <w:rFonts w:cs="Arial"/>
          <w:bCs/>
          <w:szCs w:val="24"/>
        </w:rPr>
        <w:t>% met the expected standards in Brighton &amp; Hove, lower th</w:t>
      </w:r>
      <w:r w:rsidRPr="00595FE6">
        <w:rPr>
          <w:rFonts w:cs="Arial"/>
          <w:szCs w:val="24"/>
        </w:rPr>
        <w:t xml:space="preserve">an </w:t>
      </w:r>
      <w:r w:rsidR="005E5E28">
        <w:rPr>
          <w:rFonts w:cs="Arial"/>
          <w:szCs w:val="24"/>
        </w:rPr>
        <w:t xml:space="preserve">the </w:t>
      </w:r>
      <w:r w:rsidR="000C3BC0" w:rsidRPr="00595FE6">
        <w:rPr>
          <w:rFonts w:cs="Arial"/>
          <w:szCs w:val="24"/>
        </w:rPr>
        <w:t>20</w:t>
      </w:r>
      <w:r w:rsidR="005E5E28">
        <w:rPr>
          <w:rFonts w:cs="Arial"/>
          <w:szCs w:val="24"/>
        </w:rPr>
        <w:t>% for</w:t>
      </w:r>
      <w:r w:rsidRPr="00595FE6">
        <w:rPr>
          <w:rFonts w:cs="Arial"/>
          <w:szCs w:val="24"/>
        </w:rPr>
        <w:t xml:space="preserve"> </w:t>
      </w:r>
      <w:r w:rsidR="00970199" w:rsidRPr="00595FE6">
        <w:rPr>
          <w:rFonts w:cs="Arial"/>
          <w:szCs w:val="24"/>
        </w:rPr>
        <w:t>England</w:t>
      </w:r>
      <w:r w:rsidR="006E43A6">
        <w:rPr>
          <w:rFonts w:cs="Arial"/>
          <w:szCs w:val="24"/>
        </w:rPr>
        <w:t>.</w:t>
      </w:r>
    </w:p>
    <w:p w14:paraId="30343086" w14:textId="1144082A" w:rsidR="001105F9" w:rsidRPr="0040728D" w:rsidRDefault="00C0060E" w:rsidP="00D9246A">
      <w:pPr>
        <w:spacing w:line="240" w:lineRule="auto"/>
        <w:rPr>
          <w:b/>
          <w:color w:val="A65588"/>
        </w:rPr>
      </w:pPr>
      <w:r w:rsidRPr="0040728D">
        <w:rPr>
          <w:b/>
          <w:color w:val="A65588"/>
        </w:rPr>
        <w:lastRenderedPageBreak/>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24</w:t>
      </w:r>
      <w:r w:rsidR="00CA2D43">
        <w:rPr>
          <w:b/>
          <w:color w:val="A65588"/>
        </w:rPr>
        <w:fldChar w:fldCharType="end"/>
      </w:r>
      <w:r w:rsidRPr="0040728D">
        <w:rPr>
          <w:b/>
          <w:color w:val="A65588"/>
        </w:rPr>
        <w:t xml:space="preserve">: </w:t>
      </w:r>
      <w:r w:rsidR="001105F9" w:rsidRPr="0040728D">
        <w:rPr>
          <w:b/>
          <w:color w:val="A65588"/>
        </w:rPr>
        <w:t>Percentage of pupils in year 1 meeting the expected standard in the phonics screening check</w:t>
      </w:r>
      <w:r w:rsidR="00F445F5" w:rsidRPr="0040728D">
        <w:rPr>
          <w:b/>
          <w:color w:val="A65588"/>
        </w:rPr>
        <w:t xml:space="preserve">, </w:t>
      </w:r>
      <w:r w:rsidR="001105F9" w:rsidRPr="0040728D">
        <w:rPr>
          <w:b/>
          <w:color w:val="A65588"/>
        </w:rPr>
        <w:t>by SEN status</w:t>
      </w:r>
      <w:r w:rsidR="0096070F">
        <w:rPr>
          <w:b/>
          <w:bCs/>
          <w:color w:val="A65588"/>
        </w:rPr>
        <w:t>,</w:t>
      </w:r>
      <w:r w:rsidR="0082205D" w:rsidRPr="0040728D">
        <w:rPr>
          <w:b/>
          <w:color w:val="A65588"/>
        </w:rPr>
        <w:t xml:space="preserve"> </w:t>
      </w:r>
      <w:r w:rsidR="001105F9" w:rsidRPr="0040728D">
        <w:rPr>
          <w:b/>
          <w:color w:val="A65588"/>
        </w:rPr>
        <w:t>Brighton &amp; Hove and England, 2023/</w:t>
      </w:r>
      <w:r w:rsidR="00DC7881" w:rsidRPr="0040728D">
        <w:rPr>
          <w:b/>
          <w:color w:val="A65588"/>
        </w:rPr>
        <w:t>2</w:t>
      </w:r>
      <w:r w:rsidR="001105F9" w:rsidRPr="0040728D">
        <w:rPr>
          <w:b/>
          <w:color w:val="A65588"/>
        </w:rPr>
        <w:t>4</w:t>
      </w:r>
    </w:p>
    <w:p w14:paraId="3CEFB4B7" w14:textId="77777777" w:rsidR="00C4299E" w:rsidRDefault="00E004F5" w:rsidP="00D9246A">
      <w:pPr>
        <w:keepNext/>
        <w:spacing w:line="240" w:lineRule="auto"/>
      </w:pPr>
      <w:r w:rsidRPr="00595FE6">
        <w:rPr>
          <w:rFonts w:cs="Arial"/>
          <w:noProof/>
          <w:szCs w:val="24"/>
        </w:rPr>
        <w:drawing>
          <wp:inline distT="0" distB="0" distL="0" distR="0" wp14:anchorId="6CA4EACA" wp14:editId="6FE51B6A">
            <wp:extent cx="5486400" cy="3933825"/>
            <wp:effectExtent l="0" t="0" r="0" b="47625"/>
            <wp:docPr id="2045192589" name="Diagram 1" descr="Image showing the percentage of pupils in year 1 meeting the expected standard in the phonics screening check, by SEN status in Brighton &amp; Hove and England, 2023/24.&#10;&#10;80% of all pupils in England met the expected standard in reading, writing and maths (combined), which was the same for Brighton &amp; Hove at 80% also. &#10;This was much lower for pupils with SEN at 44% in England, and 45% in Brighton &amp; Hov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5EDE3AA5" w14:textId="6F3E38A3" w:rsidR="009C7285" w:rsidRDefault="00E004F5" w:rsidP="00D9246A">
      <w:pPr>
        <w:pStyle w:val="Caption"/>
      </w:pPr>
      <w:r w:rsidRPr="0096070F">
        <w:rPr>
          <w:rFonts w:cs="Arial"/>
        </w:rPr>
        <w:t>Source:</w:t>
      </w:r>
      <w:r w:rsidRPr="001105F9">
        <w:rPr>
          <w:rFonts w:cs="Arial"/>
          <w:b w:val="0"/>
          <w:bCs w:val="0"/>
        </w:rPr>
        <w:t xml:space="preserve"> Department for Education</w:t>
      </w:r>
      <w:r w:rsidR="009C7285">
        <w:rPr>
          <w:rFonts w:cs="Arial"/>
          <w:b w:val="0"/>
          <w:bCs w:val="0"/>
        </w:rPr>
        <w:t xml:space="preserve">, </w:t>
      </w:r>
      <w:r w:rsidR="00C167D8" w:rsidRPr="001105F9">
        <w:rPr>
          <w:rFonts w:cs="Arial"/>
          <w:b w:val="0"/>
          <w:bCs w:val="0"/>
        </w:rPr>
        <w:t xml:space="preserve">Phonics screening check attainment Year 1, </w:t>
      </w:r>
      <w:r w:rsidRPr="001105F9">
        <w:rPr>
          <w:rFonts w:cs="Arial"/>
          <w:b w:val="0"/>
          <w:bCs w:val="0"/>
        </w:rPr>
        <w:t xml:space="preserve">2023/24 </w:t>
      </w:r>
    </w:p>
    <w:p w14:paraId="5B756622" w14:textId="0E7CBE49" w:rsidR="008B279E" w:rsidRPr="00595FE6" w:rsidRDefault="008B279E" w:rsidP="0096012C">
      <w:pPr>
        <w:pStyle w:val="Heading3"/>
      </w:pPr>
      <w:r w:rsidRPr="00595FE6">
        <w:t>Key stage 2 attainment</w:t>
      </w:r>
    </w:p>
    <w:p w14:paraId="25B801BA" w14:textId="4B3CC1C6" w:rsidR="008B279E" w:rsidRPr="00595FE6" w:rsidRDefault="002179C9" w:rsidP="00D9246A">
      <w:pPr>
        <w:spacing w:line="240" w:lineRule="auto"/>
        <w:rPr>
          <w:rFonts w:cs="Arial"/>
          <w:szCs w:val="24"/>
        </w:rPr>
      </w:pPr>
      <w:r w:rsidRPr="00595FE6">
        <w:rPr>
          <w:rFonts w:cs="Arial"/>
          <w:szCs w:val="24"/>
        </w:rPr>
        <w:t xml:space="preserve">For 2023/24 academic year, </w:t>
      </w:r>
      <w:r w:rsidR="00CE4D4B" w:rsidRPr="00595FE6">
        <w:rPr>
          <w:rFonts w:cs="Arial"/>
          <w:szCs w:val="24"/>
        </w:rPr>
        <w:t>61% of all year 6 pupils in England met the expected standards in reading, writing and maths (combined)</w:t>
      </w:r>
      <w:r w:rsidR="001B0BAC" w:rsidRPr="00595FE6">
        <w:rPr>
          <w:rFonts w:cs="Arial"/>
          <w:szCs w:val="24"/>
        </w:rPr>
        <w:t>.</w:t>
      </w:r>
      <w:r w:rsidR="002C6658" w:rsidRPr="00595FE6">
        <w:rPr>
          <w:rFonts w:cs="Arial"/>
          <w:szCs w:val="24"/>
        </w:rPr>
        <w:t xml:space="preserve"> </w:t>
      </w:r>
      <w:r w:rsidR="001B0BAC" w:rsidRPr="00595FE6">
        <w:rPr>
          <w:rFonts w:cs="Arial"/>
          <w:szCs w:val="24"/>
        </w:rPr>
        <w:t>This was much lower for pupils with SEN at 22%</w:t>
      </w:r>
      <w:r w:rsidR="009C6C3B" w:rsidRPr="00595FE6">
        <w:rPr>
          <w:rFonts w:cs="Arial"/>
          <w:szCs w:val="24"/>
        </w:rPr>
        <w:t xml:space="preserve"> (26% for those with SEN Support and 9% for pupils with an Education, Health and Care plan</w:t>
      </w:r>
      <w:r w:rsidR="00D72475">
        <w:rPr>
          <w:rFonts w:cs="Arial"/>
          <w:szCs w:val="24"/>
        </w:rPr>
        <w:t>)</w:t>
      </w:r>
      <w:r w:rsidR="008F6C7B">
        <w:rPr>
          <w:rFonts w:cs="Arial"/>
          <w:szCs w:val="24"/>
        </w:rPr>
        <w:t>.</w:t>
      </w:r>
      <w:r w:rsidR="002B4C0F">
        <w:rPr>
          <w:rStyle w:val="EndnoteReference"/>
          <w:szCs w:val="24"/>
        </w:rPr>
        <w:endnoteReference w:id="61"/>
      </w:r>
    </w:p>
    <w:p w14:paraId="26DDE2D6" w14:textId="79F9E48F" w:rsidR="009A37B7" w:rsidRDefault="002C6658" w:rsidP="00D9246A">
      <w:pPr>
        <w:spacing w:line="240" w:lineRule="auto"/>
        <w:rPr>
          <w:rFonts w:cs="Arial"/>
          <w:szCs w:val="24"/>
        </w:rPr>
      </w:pPr>
      <w:r w:rsidRPr="00595FE6">
        <w:rPr>
          <w:rFonts w:cs="Arial"/>
          <w:szCs w:val="24"/>
        </w:rPr>
        <w:t>For Brighton &amp; Hove</w:t>
      </w:r>
      <w:r w:rsidR="009A37B7">
        <w:rPr>
          <w:rFonts w:cs="Arial"/>
          <w:szCs w:val="24"/>
        </w:rPr>
        <w:t xml:space="preserve"> </w:t>
      </w:r>
      <w:r w:rsidR="009A37B7" w:rsidRPr="009A37B7">
        <w:rPr>
          <w:rFonts w:cs="Arial"/>
        </w:rPr>
        <w:t>(Figure 2</w:t>
      </w:r>
      <w:r w:rsidR="00BA25FE">
        <w:rPr>
          <w:rFonts w:cs="Arial"/>
        </w:rPr>
        <w:t>5</w:t>
      </w:r>
      <w:r w:rsidR="009A37B7" w:rsidRPr="009A37B7">
        <w:rPr>
          <w:rFonts w:cs="Arial"/>
        </w:rPr>
        <w:t>)</w:t>
      </w:r>
      <w:r w:rsidR="009A37B7">
        <w:rPr>
          <w:rFonts w:cs="Arial"/>
          <w:szCs w:val="24"/>
        </w:rPr>
        <w:t>:</w:t>
      </w:r>
    </w:p>
    <w:p w14:paraId="49D9813B" w14:textId="39161480" w:rsidR="002C6658" w:rsidRPr="009A37B7" w:rsidRDefault="009A37B7" w:rsidP="009858E3">
      <w:pPr>
        <w:pStyle w:val="ListParagraph"/>
        <w:numPr>
          <w:ilvl w:val="0"/>
          <w:numId w:val="35"/>
        </w:numPr>
        <w:spacing w:line="240" w:lineRule="auto"/>
        <w:rPr>
          <w:rFonts w:cs="Arial"/>
        </w:rPr>
      </w:pPr>
      <w:r w:rsidRPr="009A37B7">
        <w:rPr>
          <w:rFonts w:cs="Arial"/>
          <w:szCs w:val="24"/>
        </w:rPr>
        <w:t>O</w:t>
      </w:r>
      <w:r w:rsidR="002C6658" w:rsidRPr="009A37B7">
        <w:rPr>
          <w:rFonts w:cs="Arial"/>
          <w:szCs w:val="24"/>
        </w:rPr>
        <w:t>verall</w:t>
      </w:r>
      <w:r w:rsidR="002C6658" w:rsidRPr="00595FE6">
        <w:rPr>
          <w:rFonts w:cs="Arial"/>
          <w:szCs w:val="24"/>
        </w:rPr>
        <w:t xml:space="preserve"> attainment was </w:t>
      </w:r>
      <w:r w:rsidR="00CF2F8E">
        <w:rPr>
          <w:rFonts w:cs="Arial"/>
          <w:szCs w:val="24"/>
        </w:rPr>
        <w:t>similar to</w:t>
      </w:r>
      <w:r w:rsidR="002C6658" w:rsidRPr="00595FE6">
        <w:rPr>
          <w:rFonts w:cs="Arial"/>
          <w:szCs w:val="24"/>
        </w:rPr>
        <w:t xml:space="preserve"> England (</w:t>
      </w:r>
      <w:r w:rsidR="00CF2F8E">
        <w:rPr>
          <w:rFonts w:cs="Arial"/>
          <w:szCs w:val="24"/>
        </w:rPr>
        <w:t>60</w:t>
      </w:r>
      <w:r w:rsidR="002C6658" w:rsidRPr="00595FE6">
        <w:rPr>
          <w:rFonts w:cs="Arial"/>
          <w:szCs w:val="24"/>
        </w:rPr>
        <w:t xml:space="preserve">% for all pupils in the city compared to 61% for </w:t>
      </w:r>
      <w:r w:rsidR="002C6658" w:rsidRPr="009A37B7">
        <w:rPr>
          <w:rFonts w:cs="Arial"/>
        </w:rPr>
        <w:t>all pupils in England)</w:t>
      </w:r>
      <w:r w:rsidR="00834157" w:rsidRPr="009A37B7">
        <w:rPr>
          <w:rFonts w:cs="Arial"/>
        </w:rPr>
        <w:t xml:space="preserve">, attainment for pupils with any SEN was slightly higher in the city at 25% </w:t>
      </w:r>
      <w:r w:rsidR="00936DF0" w:rsidRPr="009A37B7">
        <w:rPr>
          <w:rFonts w:cs="Arial"/>
        </w:rPr>
        <w:t xml:space="preserve">compared to </w:t>
      </w:r>
      <w:r w:rsidR="00834157" w:rsidRPr="009A37B7">
        <w:rPr>
          <w:rFonts w:cs="Arial"/>
        </w:rPr>
        <w:t>22%</w:t>
      </w:r>
      <w:r w:rsidR="00936DF0" w:rsidRPr="009A37B7">
        <w:rPr>
          <w:rFonts w:cs="Arial"/>
        </w:rPr>
        <w:t xml:space="preserve"> for England</w:t>
      </w:r>
      <w:r w:rsidR="00120A71" w:rsidRPr="009A37B7">
        <w:rPr>
          <w:rFonts w:cs="Arial"/>
        </w:rPr>
        <w:t xml:space="preserve"> </w:t>
      </w:r>
    </w:p>
    <w:p w14:paraId="70701ACB" w14:textId="6FFB6EAA" w:rsidR="009A37B7" w:rsidRPr="009A37B7" w:rsidRDefault="00CF2F8E" w:rsidP="009858E3">
      <w:pPr>
        <w:pStyle w:val="ListParagraph"/>
        <w:numPr>
          <w:ilvl w:val="0"/>
          <w:numId w:val="35"/>
        </w:numPr>
        <w:spacing w:line="240" w:lineRule="auto"/>
        <w:rPr>
          <w:rFonts w:cs="Arial"/>
        </w:rPr>
      </w:pPr>
      <w:r w:rsidRPr="009A37B7">
        <w:rPr>
          <w:rFonts w:cs="Arial"/>
        </w:rPr>
        <w:t>More</w:t>
      </w:r>
      <w:r w:rsidR="00120A71" w:rsidRPr="009A37B7">
        <w:rPr>
          <w:rFonts w:cs="Arial"/>
        </w:rPr>
        <w:t xml:space="preserve"> pupils with SEN support met the expected standards than England (Brighton &amp; Hove 25%, England 22%)</w:t>
      </w:r>
    </w:p>
    <w:p w14:paraId="0A3EC4FD" w14:textId="28CA356B" w:rsidR="00834157" w:rsidRPr="00595FE6" w:rsidRDefault="00120A71" w:rsidP="009858E3">
      <w:pPr>
        <w:pStyle w:val="ListParagraph"/>
        <w:numPr>
          <w:ilvl w:val="0"/>
          <w:numId w:val="35"/>
        </w:numPr>
        <w:spacing w:line="240" w:lineRule="auto"/>
        <w:rPr>
          <w:rFonts w:cs="Arial"/>
          <w:szCs w:val="24"/>
        </w:rPr>
      </w:pPr>
      <w:r w:rsidRPr="009A37B7">
        <w:rPr>
          <w:rFonts w:cs="Arial"/>
        </w:rPr>
        <w:t>For pupils with</w:t>
      </w:r>
      <w:r w:rsidRPr="00595FE6">
        <w:rPr>
          <w:rFonts w:cs="Arial"/>
          <w:szCs w:val="24"/>
        </w:rPr>
        <w:t xml:space="preserve"> an EHC plan, 7% met the expected standards in Brighton &amp; Hove, slightly lower than </w:t>
      </w:r>
      <w:r w:rsidR="00A609A9">
        <w:rPr>
          <w:rFonts w:cs="Arial"/>
          <w:szCs w:val="24"/>
        </w:rPr>
        <w:t xml:space="preserve">the </w:t>
      </w:r>
      <w:r w:rsidRPr="00595FE6">
        <w:rPr>
          <w:rFonts w:cs="Arial"/>
          <w:szCs w:val="24"/>
        </w:rPr>
        <w:t>9% for England.</w:t>
      </w:r>
    </w:p>
    <w:p w14:paraId="5E5FE7E4" w14:textId="02C22FB9" w:rsidR="008E1F53" w:rsidRPr="0096070F" w:rsidRDefault="00DC7881" w:rsidP="00D9246A">
      <w:pPr>
        <w:spacing w:line="240" w:lineRule="auto"/>
        <w:rPr>
          <w:b/>
          <w:color w:val="A65588"/>
        </w:rPr>
      </w:pPr>
      <w:r w:rsidRPr="0096070F">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25</w:t>
      </w:r>
      <w:r w:rsidR="00CA2D43">
        <w:rPr>
          <w:b/>
          <w:color w:val="A65588"/>
        </w:rPr>
        <w:fldChar w:fldCharType="end"/>
      </w:r>
      <w:r w:rsidRPr="0096070F">
        <w:rPr>
          <w:b/>
          <w:color w:val="A65588"/>
        </w:rPr>
        <w:t xml:space="preserve">: </w:t>
      </w:r>
      <w:r w:rsidR="008E1F53" w:rsidRPr="0096070F">
        <w:rPr>
          <w:b/>
          <w:color w:val="A65588"/>
        </w:rPr>
        <w:t>Percentage of pupils in year 6 meeting the expected standards in reading, writing and math (combined)</w:t>
      </w:r>
      <w:r w:rsidR="00F445F5" w:rsidRPr="0096070F">
        <w:rPr>
          <w:b/>
          <w:color w:val="A65588"/>
        </w:rPr>
        <w:t>,</w:t>
      </w:r>
      <w:r w:rsidR="0082205D" w:rsidRPr="0096070F">
        <w:rPr>
          <w:b/>
          <w:color w:val="A65588"/>
        </w:rPr>
        <w:t xml:space="preserve"> </w:t>
      </w:r>
      <w:r w:rsidR="008E1F53" w:rsidRPr="0096070F">
        <w:rPr>
          <w:b/>
          <w:color w:val="A65588"/>
        </w:rPr>
        <w:t>by SEN status</w:t>
      </w:r>
      <w:r w:rsidR="006608BB">
        <w:rPr>
          <w:b/>
          <w:bCs/>
          <w:color w:val="A65588"/>
        </w:rPr>
        <w:t>,</w:t>
      </w:r>
      <w:r w:rsidR="0082205D">
        <w:rPr>
          <w:b/>
          <w:color w:val="A65588"/>
        </w:rPr>
        <w:t xml:space="preserve"> </w:t>
      </w:r>
      <w:r w:rsidR="008E1F53" w:rsidRPr="0096070F">
        <w:rPr>
          <w:b/>
          <w:color w:val="A65588"/>
        </w:rPr>
        <w:t>Brighton &amp; Hove and England, 2023/24</w:t>
      </w:r>
    </w:p>
    <w:p w14:paraId="6D05658A" w14:textId="77777777" w:rsidR="006B51FC" w:rsidRDefault="00427E7D" w:rsidP="00D9246A">
      <w:pPr>
        <w:keepNext/>
        <w:spacing w:line="240" w:lineRule="auto"/>
      </w:pPr>
      <w:r w:rsidRPr="00595FE6">
        <w:rPr>
          <w:rFonts w:cs="Arial"/>
          <w:noProof/>
          <w:szCs w:val="24"/>
        </w:rPr>
        <w:lastRenderedPageBreak/>
        <w:drawing>
          <wp:inline distT="0" distB="0" distL="0" distR="0" wp14:anchorId="561E0433" wp14:editId="34C9782C">
            <wp:extent cx="5486400" cy="3990975"/>
            <wp:effectExtent l="0" t="0" r="0" b="47625"/>
            <wp:docPr id="1984784423" name="Diagram 1" descr="Image showing the percentage of pupils in year 6 meeting the expected standards in reading, writing and math (combined), by SEN status in Brighton &amp; Hove and England, 2023/24.&#10;&#10;61% of year 6 pupils in England met the expected standards in reading, writing and maths (combined) compared to 53% in Brighton &amp; Hove. This was much lower for pupils with SEN at 22% in England and 25% in Brighton &amp; Hove.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14:paraId="1DA92206" w14:textId="41DF489A" w:rsidR="0067643A" w:rsidRPr="006B51FC" w:rsidRDefault="00936DF0" w:rsidP="00D9246A">
      <w:pPr>
        <w:pStyle w:val="Caption"/>
        <w:rPr>
          <w:rFonts w:cs="Arial"/>
          <w:b w:val="0"/>
          <w:bCs w:val="0"/>
        </w:rPr>
      </w:pPr>
      <w:r w:rsidRPr="006608BB">
        <w:rPr>
          <w:rFonts w:cs="Arial"/>
        </w:rPr>
        <w:t>Source:</w:t>
      </w:r>
      <w:r w:rsidRPr="008E1F53">
        <w:rPr>
          <w:rFonts w:cs="Arial"/>
          <w:b w:val="0"/>
          <w:bCs w:val="0"/>
        </w:rPr>
        <w:t xml:space="preserve"> </w:t>
      </w:r>
      <w:r w:rsidR="00021DDF" w:rsidRPr="008E1F53">
        <w:rPr>
          <w:rFonts w:cs="Arial"/>
          <w:b w:val="0"/>
          <w:bCs w:val="0"/>
        </w:rPr>
        <w:t>Department for Education</w:t>
      </w:r>
      <w:r w:rsidR="008605F0">
        <w:rPr>
          <w:rFonts w:cs="Arial"/>
          <w:b w:val="0"/>
          <w:bCs w:val="0"/>
        </w:rPr>
        <w:t xml:space="preserve">, </w:t>
      </w:r>
      <w:r w:rsidR="00021DDF" w:rsidRPr="008E1F53">
        <w:rPr>
          <w:rFonts w:cs="Arial"/>
          <w:b w:val="0"/>
          <w:bCs w:val="0"/>
        </w:rPr>
        <w:t>Key Stage 2 attainment figure</w:t>
      </w:r>
      <w:r w:rsidR="008605F0">
        <w:rPr>
          <w:rFonts w:cs="Arial"/>
          <w:b w:val="0"/>
          <w:bCs w:val="0"/>
        </w:rPr>
        <w:t xml:space="preserve">, </w:t>
      </w:r>
      <w:r w:rsidR="00021DDF" w:rsidRPr="008E1F53">
        <w:rPr>
          <w:rFonts w:cs="Arial"/>
          <w:b w:val="0"/>
          <w:bCs w:val="0"/>
        </w:rPr>
        <w:t>2023/24</w:t>
      </w:r>
      <w:r w:rsidR="00021DDF" w:rsidRPr="006B51FC">
        <w:rPr>
          <w:rFonts w:cs="Arial"/>
          <w:b w:val="0"/>
          <w:bCs w:val="0"/>
        </w:rPr>
        <w:t xml:space="preserve"> </w:t>
      </w:r>
    </w:p>
    <w:p w14:paraId="7B511FC1" w14:textId="7B87D6CA" w:rsidR="00636B8C" w:rsidRPr="00706E9B" w:rsidRDefault="00EA22DC" w:rsidP="0096012C">
      <w:pPr>
        <w:pStyle w:val="Heading3"/>
      </w:pPr>
      <w:r w:rsidRPr="00706E9B">
        <w:t xml:space="preserve">Key Stage 4 Average Attainment 8 </w:t>
      </w:r>
      <w:r w:rsidR="00925396" w:rsidRPr="00706E9B">
        <w:t>s</w:t>
      </w:r>
      <w:r w:rsidRPr="00706E9B">
        <w:t>core</w:t>
      </w:r>
    </w:p>
    <w:p w14:paraId="3432D47A" w14:textId="6EAD83BA" w:rsidR="00722980" w:rsidRPr="00595FE6" w:rsidRDefault="00FB08B6" w:rsidP="00D9246A">
      <w:pPr>
        <w:spacing w:line="240" w:lineRule="auto"/>
        <w:rPr>
          <w:rFonts w:cs="Arial"/>
          <w:szCs w:val="24"/>
        </w:rPr>
      </w:pPr>
      <w:r w:rsidRPr="00595FE6">
        <w:rPr>
          <w:rFonts w:cs="Arial"/>
          <w:szCs w:val="24"/>
        </w:rPr>
        <w:t>Average attainment 8 score measure</w:t>
      </w:r>
      <w:r w:rsidR="00735865" w:rsidRPr="00595FE6">
        <w:rPr>
          <w:rFonts w:cs="Arial"/>
          <w:szCs w:val="24"/>
        </w:rPr>
        <w:t>s</w:t>
      </w:r>
      <w:r w:rsidRPr="00595FE6">
        <w:rPr>
          <w:rFonts w:cs="Arial"/>
          <w:szCs w:val="24"/>
        </w:rPr>
        <w:t xml:space="preserve"> the average </w:t>
      </w:r>
      <w:r w:rsidR="000E1D44" w:rsidRPr="00595FE6">
        <w:rPr>
          <w:rFonts w:cs="Arial"/>
          <w:szCs w:val="24"/>
        </w:rPr>
        <w:t>achievement of pupils in up to 8 qualifications.</w:t>
      </w:r>
      <w:r w:rsidR="00CF2F8E">
        <w:rPr>
          <w:rStyle w:val="FootnoteReference"/>
          <w:szCs w:val="24"/>
        </w:rPr>
        <w:footnoteReference w:id="5"/>
      </w:r>
      <w:r w:rsidR="00F91A6A" w:rsidRPr="00F91A6A">
        <w:rPr>
          <w:rFonts w:cs="Arial"/>
          <w:szCs w:val="24"/>
          <w:vertAlign w:val="superscript"/>
        </w:rPr>
        <w:t>,</w:t>
      </w:r>
      <w:r w:rsidR="00BA4548">
        <w:rPr>
          <w:rStyle w:val="EndnoteReference"/>
          <w:szCs w:val="24"/>
        </w:rPr>
        <w:endnoteReference w:id="62"/>
      </w:r>
      <w:r w:rsidR="00F91A6A">
        <w:rPr>
          <w:rFonts w:cs="Arial"/>
          <w:szCs w:val="24"/>
        </w:rPr>
        <w:t xml:space="preserve"> </w:t>
      </w:r>
      <w:r w:rsidR="008A5944" w:rsidRPr="00595FE6">
        <w:rPr>
          <w:rFonts w:cs="Arial"/>
          <w:szCs w:val="24"/>
        </w:rPr>
        <w:t xml:space="preserve">For </w:t>
      </w:r>
      <w:r w:rsidR="00F91A6A">
        <w:rPr>
          <w:rFonts w:cs="Arial"/>
          <w:szCs w:val="24"/>
        </w:rPr>
        <w:t xml:space="preserve">the </w:t>
      </w:r>
      <w:r w:rsidR="008A5944" w:rsidRPr="00595FE6">
        <w:rPr>
          <w:rFonts w:cs="Arial"/>
          <w:szCs w:val="24"/>
        </w:rPr>
        <w:t>2023/24 academic year</w:t>
      </w:r>
      <w:r w:rsidR="009A37B7">
        <w:rPr>
          <w:rFonts w:cs="Arial"/>
          <w:szCs w:val="24"/>
        </w:rPr>
        <w:t xml:space="preserve"> </w:t>
      </w:r>
      <w:r w:rsidR="009A37B7" w:rsidRPr="46D9EEFA">
        <w:rPr>
          <w:rFonts w:cs="Arial"/>
        </w:rPr>
        <w:t>(Figure 2</w:t>
      </w:r>
      <w:r w:rsidR="00B72EA4">
        <w:rPr>
          <w:rFonts w:cs="Arial"/>
        </w:rPr>
        <w:t>6</w:t>
      </w:r>
      <w:r w:rsidR="009A37B7" w:rsidRPr="46D9EEFA">
        <w:rPr>
          <w:rFonts w:cs="Arial"/>
        </w:rPr>
        <w:t>)</w:t>
      </w:r>
      <w:r w:rsidR="00722980" w:rsidRPr="00595FE6">
        <w:rPr>
          <w:rFonts w:cs="Arial"/>
          <w:szCs w:val="24"/>
        </w:rPr>
        <w:t>:</w:t>
      </w:r>
    </w:p>
    <w:p w14:paraId="15C8D2C8" w14:textId="55D47F27" w:rsidR="008A5944" w:rsidRPr="00595FE6" w:rsidRDefault="1180DAEC" w:rsidP="009858E3">
      <w:pPr>
        <w:pStyle w:val="ListParagraph"/>
        <w:numPr>
          <w:ilvl w:val="0"/>
          <w:numId w:val="35"/>
        </w:numPr>
        <w:spacing w:line="240" w:lineRule="auto"/>
        <w:rPr>
          <w:rFonts w:cs="Arial"/>
        </w:rPr>
      </w:pPr>
      <w:bookmarkStart w:id="197" w:name="_Int_boI5dwMW"/>
      <w:r w:rsidRPr="46D9EEFA">
        <w:rPr>
          <w:rFonts w:cs="Arial"/>
        </w:rPr>
        <w:t>The</w:t>
      </w:r>
      <w:bookmarkEnd w:id="197"/>
      <w:r w:rsidRPr="46D9EEFA">
        <w:rPr>
          <w:rFonts w:cs="Arial"/>
        </w:rPr>
        <w:t xml:space="preserve"> </w:t>
      </w:r>
      <w:r w:rsidR="00B85CC0" w:rsidRPr="3ACC3C3A">
        <w:rPr>
          <w:rFonts w:cs="Arial"/>
        </w:rPr>
        <w:t xml:space="preserve">average attainment </w:t>
      </w:r>
      <w:r w:rsidR="00FB08B6" w:rsidRPr="3ACC3C3A">
        <w:rPr>
          <w:rFonts w:cs="Arial"/>
        </w:rPr>
        <w:t>8 score</w:t>
      </w:r>
      <w:r w:rsidR="7A654AE0" w:rsidRPr="46D9EEFA">
        <w:rPr>
          <w:rFonts w:cs="Arial"/>
        </w:rPr>
        <w:t xml:space="preserve"> for all KS4 pupils in England was 46</w:t>
      </w:r>
      <w:r w:rsidR="00784D6E" w:rsidRPr="46D9EEFA">
        <w:rPr>
          <w:rFonts w:cs="Arial"/>
        </w:rPr>
        <w:t>.</w:t>
      </w:r>
      <w:r w:rsidR="00784D6E" w:rsidRPr="3ACC3C3A">
        <w:rPr>
          <w:rFonts w:cs="Arial"/>
        </w:rPr>
        <w:t xml:space="preserve"> This was much </w:t>
      </w:r>
      <w:r w:rsidR="00784D6E" w:rsidRPr="00562B5B">
        <w:rPr>
          <w:rFonts w:cs="Arial"/>
          <w:szCs w:val="24"/>
        </w:rPr>
        <w:t>lower for pupils with SEN at 28</w:t>
      </w:r>
      <w:r w:rsidR="003C1A57" w:rsidRPr="00562B5B">
        <w:rPr>
          <w:rFonts w:cs="Arial"/>
          <w:szCs w:val="24"/>
        </w:rPr>
        <w:t xml:space="preserve"> (33 for those w</w:t>
      </w:r>
      <w:r w:rsidR="008C11A1" w:rsidRPr="00562B5B">
        <w:rPr>
          <w:rFonts w:cs="Arial"/>
          <w:szCs w:val="24"/>
        </w:rPr>
        <w:t xml:space="preserve">ith SEN support and 14 for pupils with </w:t>
      </w:r>
      <w:r w:rsidR="00986CDF" w:rsidRPr="00562B5B">
        <w:rPr>
          <w:rFonts w:cs="Arial"/>
          <w:szCs w:val="24"/>
        </w:rPr>
        <w:t>an</w:t>
      </w:r>
      <w:r w:rsidR="00986CDF" w:rsidRPr="3ACC3C3A">
        <w:rPr>
          <w:rFonts w:cs="Arial"/>
        </w:rPr>
        <w:t xml:space="preserve"> </w:t>
      </w:r>
      <w:r w:rsidR="00CE697F">
        <w:rPr>
          <w:rFonts w:cs="Arial"/>
        </w:rPr>
        <w:t>EHC</w:t>
      </w:r>
      <w:r w:rsidR="00986CDF" w:rsidRPr="3ACC3C3A">
        <w:rPr>
          <w:rFonts w:cs="Arial"/>
        </w:rPr>
        <w:t xml:space="preserve"> Plan</w:t>
      </w:r>
      <w:r w:rsidR="00722980" w:rsidRPr="3ACC3C3A">
        <w:rPr>
          <w:rFonts w:cs="Arial"/>
        </w:rPr>
        <w:t>)</w:t>
      </w:r>
    </w:p>
    <w:p w14:paraId="7B13DD2F" w14:textId="09D27461" w:rsidR="00EB20CF" w:rsidRPr="00595FE6" w:rsidRDefault="00EB20CF" w:rsidP="009858E3">
      <w:pPr>
        <w:pStyle w:val="ListParagraph"/>
        <w:numPr>
          <w:ilvl w:val="0"/>
          <w:numId w:val="35"/>
        </w:numPr>
        <w:spacing w:line="240" w:lineRule="auto"/>
        <w:rPr>
          <w:rFonts w:cs="Arial"/>
        </w:rPr>
      </w:pPr>
      <w:r w:rsidRPr="46D9EEFA">
        <w:rPr>
          <w:rFonts w:cs="Arial"/>
        </w:rPr>
        <w:t>A</w:t>
      </w:r>
      <w:r w:rsidR="00C51AB5" w:rsidRPr="46D9EEFA">
        <w:rPr>
          <w:rFonts w:cs="Arial"/>
        </w:rPr>
        <w:t>verage a</w:t>
      </w:r>
      <w:r w:rsidR="008A5944" w:rsidRPr="46D9EEFA">
        <w:rPr>
          <w:rFonts w:cs="Arial"/>
        </w:rPr>
        <w:t>ttainment</w:t>
      </w:r>
      <w:r w:rsidR="00C51AB5" w:rsidRPr="46D9EEFA">
        <w:rPr>
          <w:rFonts w:cs="Arial"/>
        </w:rPr>
        <w:t xml:space="preserve"> 8 score</w:t>
      </w:r>
      <w:r w:rsidR="008A5944" w:rsidRPr="46D9EEFA">
        <w:rPr>
          <w:rFonts w:cs="Arial"/>
        </w:rPr>
        <w:t xml:space="preserve"> for </w:t>
      </w:r>
      <w:r w:rsidR="00432FA9" w:rsidRPr="46D9EEFA">
        <w:rPr>
          <w:rFonts w:cs="Arial"/>
        </w:rPr>
        <w:t xml:space="preserve">all </w:t>
      </w:r>
      <w:r w:rsidR="003B49B6" w:rsidRPr="46D9EEFA">
        <w:rPr>
          <w:rFonts w:cs="Arial"/>
        </w:rPr>
        <w:t>KS4 pupils in Brighton and Hove (4</w:t>
      </w:r>
      <w:r w:rsidR="028BF6FF" w:rsidRPr="46D9EEFA">
        <w:rPr>
          <w:rFonts w:cs="Arial"/>
        </w:rPr>
        <w:t>8</w:t>
      </w:r>
      <w:r w:rsidR="003B49B6" w:rsidRPr="46D9EEFA">
        <w:rPr>
          <w:rFonts w:cs="Arial"/>
        </w:rPr>
        <w:t>) is similar</w:t>
      </w:r>
      <w:r w:rsidRPr="46D9EEFA">
        <w:rPr>
          <w:rFonts w:cs="Arial"/>
        </w:rPr>
        <w:t xml:space="preserve"> to</w:t>
      </w:r>
      <w:r w:rsidR="003B49B6" w:rsidRPr="46D9EEFA">
        <w:rPr>
          <w:rFonts w:cs="Arial"/>
        </w:rPr>
        <w:t xml:space="preserve"> England</w:t>
      </w:r>
      <w:r w:rsidR="009C434C" w:rsidRPr="46D9EEFA">
        <w:rPr>
          <w:rFonts w:cs="Arial"/>
        </w:rPr>
        <w:t xml:space="preserve"> (46) </w:t>
      </w:r>
    </w:p>
    <w:p w14:paraId="0C9F0788" w14:textId="4A84E15B" w:rsidR="003740E0" w:rsidRPr="00595FE6" w:rsidRDefault="2EDF7B4A" w:rsidP="009858E3">
      <w:pPr>
        <w:pStyle w:val="ListParagraph"/>
        <w:numPr>
          <w:ilvl w:val="0"/>
          <w:numId w:val="35"/>
        </w:numPr>
        <w:spacing w:line="240" w:lineRule="auto"/>
        <w:rPr>
          <w:rFonts w:cs="Arial"/>
        </w:rPr>
      </w:pPr>
      <w:r w:rsidRPr="46D9EEFA">
        <w:rPr>
          <w:rFonts w:cs="Arial"/>
        </w:rPr>
        <w:t xml:space="preserve">Average attainment 8 score </w:t>
      </w:r>
      <w:r w:rsidR="003740E0" w:rsidRPr="46D9EEFA">
        <w:rPr>
          <w:rFonts w:cs="Arial"/>
        </w:rPr>
        <w:t xml:space="preserve">for pupils with any SEN was </w:t>
      </w:r>
      <w:r w:rsidR="18454A53" w:rsidRPr="46D9EEFA">
        <w:rPr>
          <w:rFonts w:cs="Arial"/>
        </w:rPr>
        <w:t>higher</w:t>
      </w:r>
      <w:r w:rsidR="003740E0" w:rsidRPr="46D9EEFA">
        <w:rPr>
          <w:rFonts w:cs="Arial"/>
        </w:rPr>
        <w:t xml:space="preserve"> in the city at </w:t>
      </w:r>
      <w:r w:rsidR="003D7FEE" w:rsidRPr="46D9EEFA">
        <w:rPr>
          <w:rFonts w:cs="Arial"/>
        </w:rPr>
        <w:t>30</w:t>
      </w:r>
      <w:r w:rsidR="003740E0" w:rsidRPr="46D9EEFA">
        <w:rPr>
          <w:rFonts w:cs="Arial"/>
        </w:rPr>
        <w:t xml:space="preserve"> compared to </w:t>
      </w:r>
      <w:r w:rsidR="003D7FEE" w:rsidRPr="00562B5B">
        <w:rPr>
          <w:rFonts w:cs="Arial"/>
          <w:szCs w:val="24"/>
        </w:rPr>
        <w:t>28</w:t>
      </w:r>
      <w:r w:rsidR="003740E0" w:rsidRPr="46D9EEFA">
        <w:rPr>
          <w:rFonts w:cs="Arial"/>
        </w:rPr>
        <w:t xml:space="preserve"> for England</w:t>
      </w:r>
    </w:p>
    <w:p w14:paraId="5BA03EB6" w14:textId="7F11A6F8" w:rsidR="008A5944" w:rsidRPr="00595FE6" w:rsidRDefault="570A1418" w:rsidP="009858E3">
      <w:pPr>
        <w:pStyle w:val="ListParagraph"/>
        <w:numPr>
          <w:ilvl w:val="0"/>
          <w:numId w:val="35"/>
        </w:numPr>
        <w:spacing w:line="240" w:lineRule="auto"/>
        <w:rPr>
          <w:rFonts w:cs="Arial"/>
        </w:rPr>
      </w:pPr>
      <w:r w:rsidRPr="46D9EEFA">
        <w:rPr>
          <w:rFonts w:cs="Arial"/>
        </w:rPr>
        <w:t xml:space="preserve">The average attainment 8 score for pupils receiving </w:t>
      </w:r>
      <w:r w:rsidR="00F07BA4" w:rsidRPr="46D9EEFA">
        <w:rPr>
          <w:rFonts w:cs="Arial"/>
        </w:rPr>
        <w:t>SEN support</w:t>
      </w:r>
      <w:r w:rsidR="0013744F" w:rsidRPr="46D9EEFA">
        <w:rPr>
          <w:rFonts w:cs="Arial"/>
        </w:rPr>
        <w:t xml:space="preserve"> </w:t>
      </w:r>
      <w:r w:rsidR="50B5201B" w:rsidRPr="46D9EEFA">
        <w:rPr>
          <w:rFonts w:cs="Arial"/>
        </w:rPr>
        <w:t xml:space="preserve">was </w:t>
      </w:r>
      <w:r w:rsidR="00F07BA4" w:rsidRPr="46D9EEFA">
        <w:rPr>
          <w:rFonts w:cs="Arial"/>
        </w:rPr>
        <w:t>37</w:t>
      </w:r>
      <w:r w:rsidR="008A5944" w:rsidRPr="46D9EEFA">
        <w:rPr>
          <w:rFonts w:cs="Arial"/>
        </w:rPr>
        <w:t xml:space="preserve"> compared to </w:t>
      </w:r>
      <w:r w:rsidR="00F07BA4" w:rsidRPr="46D9EEFA">
        <w:rPr>
          <w:rFonts w:cs="Arial"/>
        </w:rPr>
        <w:t>33</w:t>
      </w:r>
      <w:r w:rsidR="008A5944" w:rsidRPr="46D9EEFA">
        <w:rPr>
          <w:rFonts w:cs="Arial"/>
        </w:rPr>
        <w:t xml:space="preserve"> for England</w:t>
      </w:r>
    </w:p>
    <w:p w14:paraId="43695C3D" w14:textId="3519B1D3" w:rsidR="00243CCB" w:rsidRPr="00D73B9F" w:rsidRDefault="06BACEF6" w:rsidP="009858E3">
      <w:pPr>
        <w:pStyle w:val="ListParagraph"/>
        <w:numPr>
          <w:ilvl w:val="0"/>
          <w:numId w:val="35"/>
        </w:numPr>
        <w:spacing w:line="240" w:lineRule="auto"/>
        <w:rPr>
          <w:rFonts w:cs="Arial"/>
        </w:rPr>
      </w:pPr>
      <w:r w:rsidRPr="46D9EEFA">
        <w:rPr>
          <w:rFonts w:cs="Arial"/>
        </w:rPr>
        <w:t>P</w:t>
      </w:r>
      <w:r w:rsidR="008A5944" w:rsidRPr="46D9EEFA">
        <w:rPr>
          <w:rFonts w:cs="Arial"/>
        </w:rPr>
        <w:t>upils with an EHC plan</w:t>
      </w:r>
      <w:r w:rsidR="003C1EE7" w:rsidRPr="46D9EEFA">
        <w:rPr>
          <w:rFonts w:cs="Arial"/>
        </w:rPr>
        <w:t xml:space="preserve"> had an average attainment 8 score</w:t>
      </w:r>
      <w:r w:rsidR="008A5944" w:rsidRPr="46D9EEFA">
        <w:rPr>
          <w:rFonts w:cs="Arial"/>
        </w:rPr>
        <w:t xml:space="preserve"> </w:t>
      </w:r>
      <w:r w:rsidR="1FD08547" w:rsidRPr="46D9EEFA">
        <w:rPr>
          <w:rFonts w:cs="Arial"/>
        </w:rPr>
        <w:t>of 13</w:t>
      </w:r>
      <w:r w:rsidR="008A5944" w:rsidRPr="46D9EEFA">
        <w:rPr>
          <w:rFonts w:cs="Arial"/>
        </w:rPr>
        <w:t xml:space="preserve"> in Brighton </w:t>
      </w:r>
      <w:r w:rsidR="00722980" w:rsidRPr="46D9EEFA">
        <w:rPr>
          <w:rFonts w:cs="Arial"/>
        </w:rPr>
        <w:t>and</w:t>
      </w:r>
      <w:r w:rsidR="008A5944" w:rsidRPr="46D9EEFA">
        <w:rPr>
          <w:rFonts w:cs="Arial"/>
        </w:rPr>
        <w:t xml:space="preserve"> Hove, </w:t>
      </w:r>
      <w:r w:rsidR="003C1EE7" w:rsidRPr="46D9EEFA">
        <w:rPr>
          <w:rFonts w:cs="Arial"/>
        </w:rPr>
        <w:t>similar to</w:t>
      </w:r>
      <w:r w:rsidR="008A5944" w:rsidRPr="46D9EEFA">
        <w:rPr>
          <w:rFonts w:cs="Arial"/>
        </w:rPr>
        <w:t xml:space="preserve"> England</w:t>
      </w:r>
      <w:r w:rsidR="00722980" w:rsidRPr="46D9EEFA">
        <w:rPr>
          <w:rFonts w:cs="Arial"/>
        </w:rPr>
        <w:t xml:space="preserve"> (</w:t>
      </w:r>
      <w:r w:rsidR="003C1EE7" w:rsidRPr="46D9EEFA">
        <w:rPr>
          <w:rFonts w:cs="Arial"/>
        </w:rPr>
        <w:t>14</w:t>
      </w:r>
      <w:r w:rsidR="00722980" w:rsidRPr="46D9EEFA">
        <w:rPr>
          <w:rFonts w:cs="Arial"/>
        </w:rPr>
        <w:t>)</w:t>
      </w:r>
      <w:r w:rsidR="003C1EE7" w:rsidRPr="46D9EEFA">
        <w:rPr>
          <w:rFonts w:cs="Arial"/>
        </w:rPr>
        <w:t>.</w:t>
      </w:r>
    </w:p>
    <w:p w14:paraId="2C6E2B39" w14:textId="11A36745" w:rsidR="00F94EAE" w:rsidRPr="006608BB" w:rsidRDefault="00F94EAE" w:rsidP="00D9246A">
      <w:pPr>
        <w:spacing w:line="240" w:lineRule="auto"/>
        <w:rPr>
          <w:b/>
          <w:color w:val="A65588"/>
        </w:rPr>
      </w:pPr>
      <w:r w:rsidRPr="006608BB">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26</w:t>
      </w:r>
      <w:r w:rsidR="00CA2D43">
        <w:rPr>
          <w:b/>
          <w:color w:val="A65588"/>
        </w:rPr>
        <w:fldChar w:fldCharType="end"/>
      </w:r>
      <w:r w:rsidRPr="006608BB">
        <w:rPr>
          <w:b/>
          <w:color w:val="A65588"/>
        </w:rPr>
        <w:t xml:space="preserve">: </w:t>
      </w:r>
      <w:r w:rsidR="130C41DF" w:rsidRPr="006608BB">
        <w:rPr>
          <w:b/>
          <w:color w:val="A65588"/>
        </w:rPr>
        <w:t>A</w:t>
      </w:r>
      <w:r w:rsidRPr="006608BB">
        <w:rPr>
          <w:b/>
          <w:color w:val="A65588"/>
        </w:rPr>
        <w:t>verage attainment 8 score</w:t>
      </w:r>
      <w:r w:rsidR="00B11075" w:rsidRPr="006608BB">
        <w:rPr>
          <w:b/>
          <w:color w:val="A65588"/>
        </w:rPr>
        <w:t xml:space="preserve"> </w:t>
      </w:r>
      <w:r w:rsidR="3BBDF3CE" w:rsidRPr="006608BB">
        <w:rPr>
          <w:b/>
          <w:color w:val="A65588"/>
        </w:rPr>
        <w:t xml:space="preserve">of </w:t>
      </w:r>
      <w:r w:rsidR="006608BB">
        <w:rPr>
          <w:b/>
          <w:bCs/>
          <w:color w:val="A65588"/>
        </w:rPr>
        <w:t>Key Stage 4 (</w:t>
      </w:r>
      <w:r w:rsidR="3BBDF3CE" w:rsidRPr="006608BB">
        <w:rPr>
          <w:b/>
          <w:color w:val="A65588"/>
        </w:rPr>
        <w:t>KS4</w:t>
      </w:r>
      <w:r w:rsidR="006608BB">
        <w:rPr>
          <w:b/>
          <w:bCs/>
          <w:color w:val="A65588"/>
        </w:rPr>
        <w:t>)</w:t>
      </w:r>
      <w:r w:rsidR="3BBDF3CE" w:rsidRPr="006608BB">
        <w:rPr>
          <w:b/>
          <w:color w:val="A65588"/>
        </w:rPr>
        <w:t xml:space="preserve"> pupils</w:t>
      </w:r>
      <w:r w:rsidR="00B11075" w:rsidRPr="006608BB">
        <w:rPr>
          <w:b/>
          <w:color w:val="A65588"/>
        </w:rPr>
        <w:t xml:space="preserve"> </w:t>
      </w:r>
      <w:r w:rsidRPr="006608BB">
        <w:rPr>
          <w:b/>
          <w:color w:val="A65588"/>
        </w:rPr>
        <w:t>by SEN status</w:t>
      </w:r>
      <w:r w:rsidR="006608BB">
        <w:rPr>
          <w:b/>
          <w:bCs/>
          <w:color w:val="A65588"/>
        </w:rPr>
        <w:t>,</w:t>
      </w:r>
      <w:r w:rsidR="0082205D" w:rsidRPr="006608BB">
        <w:rPr>
          <w:b/>
          <w:color w:val="A65588"/>
        </w:rPr>
        <w:t xml:space="preserve"> </w:t>
      </w:r>
      <w:r w:rsidRPr="006608BB">
        <w:rPr>
          <w:b/>
          <w:color w:val="A65588"/>
        </w:rPr>
        <w:t>Brighton &amp; Hove and England, 2023/24</w:t>
      </w:r>
    </w:p>
    <w:p w14:paraId="7A26A08E" w14:textId="77777777" w:rsidR="002D53C6" w:rsidRDefault="00D82C3E" w:rsidP="00D9246A">
      <w:pPr>
        <w:keepNext/>
        <w:spacing w:line="240" w:lineRule="auto"/>
      </w:pPr>
      <w:r w:rsidRPr="00595FE6">
        <w:rPr>
          <w:rFonts w:cs="Arial"/>
          <w:noProof/>
          <w:szCs w:val="24"/>
        </w:rPr>
        <w:lastRenderedPageBreak/>
        <w:drawing>
          <wp:inline distT="0" distB="0" distL="0" distR="0" wp14:anchorId="404C9052" wp14:editId="192CF9EC">
            <wp:extent cx="5486400" cy="4048125"/>
            <wp:effectExtent l="0" t="0" r="0" b="47625"/>
            <wp:docPr id="2035468293" name="Diagram 1" descr="Image showing percentage of KS4 pupils with an average attainment 8 score, by SEN status in Brighton &amp; Hove and England, 2023/24.&#10;&#10;46% of all KS4 pupils in England had an average attainment 8 score, similar to Brighton &amp; Hove at 48%. This was much lower for pupils with SEN at 28% in England and 30% in Brighton &amp; Hove. For pupils with no SEN, 59% had an average attainment 8 score in the city compared to 50% in England."/>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14:paraId="549CE6D5" w14:textId="1046F976" w:rsidR="003007FB" w:rsidRPr="002D53C6" w:rsidRDefault="00392D19" w:rsidP="00D9246A">
      <w:pPr>
        <w:pStyle w:val="Caption"/>
        <w:rPr>
          <w:rFonts w:cs="Arial"/>
          <w:b w:val="0"/>
          <w:bCs w:val="0"/>
        </w:rPr>
      </w:pPr>
      <w:r w:rsidRPr="006608BB">
        <w:rPr>
          <w:rFonts w:cs="Arial"/>
        </w:rPr>
        <w:t>Source:</w:t>
      </w:r>
      <w:r w:rsidRPr="00936CD4">
        <w:rPr>
          <w:rFonts w:cs="Arial"/>
          <w:b w:val="0"/>
          <w:bCs w:val="0"/>
        </w:rPr>
        <w:t xml:space="preserve"> Department for Education</w:t>
      </w:r>
      <w:r w:rsidR="009D0FAD">
        <w:rPr>
          <w:rFonts w:cs="Arial"/>
          <w:b w:val="0"/>
          <w:bCs w:val="0"/>
        </w:rPr>
        <w:t xml:space="preserve">, </w:t>
      </w:r>
      <w:r w:rsidRPr="00936CD4">
        <w:rPr>
          <w:rFonts w:cs="Arial"/>
          <w:b w:val="0"/>
          <w:bCs w:val="0"/>
        </w:rPr>
        <w:t>Key Stage 4 Pe</w:t>
      </w:r>
      <w:r w:rsidR="00E259A8" w:rsidRPr="00936CD4">
        <w:rPr>
          <w:rFonts w:cs="Arial"/>
          <w:b w:val="0"/>
          <w:bCs w:val="0"/>
        </w:rPr>
        <w:t xml:space="preserve">rformance </w:t>
      </w:r>
      <w:r w:rsidR="00F15A03" w:rsidRPr="00936CD4">
        <w:rPr>
          <w:rFonts w:cs="Arial"/>
          <w:b w:val="0"/>
          <w:bCs w:val="0"/>
        </w:rPr>
        <w:t>figure</w:t>
      </w:r>
      <w:r w:rsidR="009D0FAD">
        <w:rPr>
          <w:rFonts w:cs="Arial"/>
          <w:b w:val="0"/>
          <w:bCs w:val="0"/>
        </w:rPr>
        <w:t xml:space="preserve">, </w:t>
      </w:r>
      <w:r w:rsidR="00F15A03" w:rsidRPr="00936CD4">
        <w:rPr>
          <w:rFonts w:cs="Arial"/>
          <w:b w:val="0"/>
          <w:bCs w:val="0"/>
        </w:rPr>
        <w:t>2023/24</w:t>
      </w:r>
    </w:p>
    <w:p w14:paraId="60207888" w14:textId="61E26B92" w:rsidR="00E87421" w:rsidRPr="00595FE6" w:rsidRDefault="00E87421" w:rsidP="0096012C">
      <w:pPr>
        <w:pStyle w:val="Heading3"/>
      </w:pPr>
      <w:r w:rsidRPr="00595FE6">
        <w:t xml:space="preserve">Attendance </w:t>
      </w:r>
    </w:p>
    <w:p w14:paraId="0699B201" w14:textId="77777777" w:rsidR="006202FC" w:rsidRPr="009A37B7" w:rsidRDefault="003F17B1" w:rsidP="00D9246A">
      <w:pPr>
        <w:spacing w:line="240" w:lineRule="auto"/>
        <w:rPr>
          <w:rFonts w:cs="Arial"/>
          <w:b/>
          <w:color w:val="0079C2"/>
          <w:szCs w:val="24"/>
        </w:rPr>
      </w:pPr>
      <w:r w:rsidRPr="009A37B7">
        <w:rPr>
          <w:rFonts w:cs="Arial"/>
          <w:b/>
          <w:color w:val="0079C2"/>
          <w:szCs w:val="24"/>
        </w:rPr>
        <w:t>Overall absence</w:t>
      </w:r>
    </w:p>
    <w:p w14:paraId="12E5F145" w14:textId="44BD6D73" w:rsidR="001F724C" w:rsidRPr="00595FE6" w:rsidRDefault="006202FC" w:rsidP="00D9246A">
      <w:pPr>
        <w:spacing w:line="240" w:lineRule="auto"/>
        <w:rPr>
          <w:rFonts w:cs="Arial"/>
          <w:szCs w:val="24"/>
        </w:rPr>
      </w:pPr>
      <w:r w:rsidRPr="00595FE6">
        <w:rPr>
          <w:rFonts w:cs="Arial"/>
          <w:szCs w:val="24"/>
        </w:rPr>
        <w:t>I</w:t>
      </w:r>
      <w:r w:rsidR="003F17B1" w:rsidRPr="00595FE6">
        <w:rPr>
          <w:rFonts w:cs="Arial"/>
          <w:szCs w:val="24"/>
        </w:rPr>
        <w:t>n Brighton &amp; Hove</w:t>
      </w:r>
      <w:r w:rsidRPr="00595FE6">
        <w:rPr>
          <w:rFonts w:cs="Arial"/>
          <w:szCs w:val="24"/>
        </w:rPr>
        <w:t>, the overall pupil absence rate</w:t>
      </w:r>
      <w:r w:rsidR="003F17B1" w:rsidRPr="00595FE6">
        <w:rPr>
          <w:rFonts w:cs="Arial"/>
          <w:szCs w:val="24"/>
        </w:rPr>
        <w:t xml:space="preserve"> is 8%, similar to England</w:t>
      </w:r>
      <w:r w:rsidR="00B645E6" w:rsidRPr="00595FE6">
        <w:rPr>
          <w:rFonts w:cs="Arial"/>
          <w:szCs w:val="24"/>
        </w:rPr>
        <w:t xml:space="preserve"> (7%)</w:t>
      </w:r>
      <w:r w:rsidR="00E07BD0" w:rsidRPr="00595FE6">
        <w:rPr>
          <w:rFonts w:cs="Arial"/>
          <w:szCs w:val="24"/>
        </w:rPr>
        <w:t xml:space="preserve"> in 2023/24</w:t>
      </w:r>
      <w:r w:rsidR="003F17B1" w:rsidRPr="00595FE6">
        <w:rPr>
          <w:rFonts w:cs="Arial"/>
          <w:szCs w:val="24"/>
        </w:rPr>
        <w:t xml:space="preserve">. </w:t>
      </w:r>
      <w:r w:rsidR="00B645E6" w:rsidRPr="00595FE6">
        <w:rPr>
          <w:rFonts w:cs="Arial"/>
          <w:szCs w:val="24"/>
        </w:rPr>
        <w:t>For pupils without SEN the city figure is also similar to England (7% and 6%</w:t>
      </w:r>
      <w:r w:rsidR="00BE38B1">
        <w:rPr>
          <w:rFonts w:cs="Arial"/>
          <w:szCs w:val="24"/>
        </w:rPr>
        <w:t>,</w:t>
      </w:r>
      <w:r w:rsidR="00B645E6" w:rsidRPr="00595FE6">
        <w:rPr>
          <w:rFonts w:cs="Arial"/>
          <w:szCs w:val="24"/>
        </w:rPr>
        <w:t xml:space="preserve"> respectively)</w:t>
      </w:r>
      <w:r w:rsidR="00EE6DB1" w:rsidRPr="00595FE6">
        <w:rPr>
          <w:rFonts w:cs="Arial"/>
          <w:szCs w:val="24"/>
        </w:rPr>
        <w:t xml:space="preserve"> (Figure </w:t>
      </w:r>
      <w:r w:rsidR="00FB77A0">
        <w:rPr>
          <w:rFonts w:cs="Arial"/>
          <w:szCs w:val="24"/>
        </w:rPr>
        <w:t>2</w:t>
      </w:r>
      <w:r w:rsidR="00795047">
        <w:rPr>
          <w:rFonts w:cs="Arial"/>
          <w:szCs w:val="24"/>
        </w:rPr>
        <w:t>7</w:t>
      </w:r>
      <w:r w:rsidR="00EE6DB1" w:rsidRPr="00595FE6">
        <w:rPr>
          <w:rFonts w:cs="Arial"/>
          <w:szCs w:val="24"/>
        </w:rPr>
        <w:t>)</w:t>
      </w:r>
      <w:r w:rsidR="00B645E6" w:rsidRPr="00595FE6">
        <w:rPr>
          <w:rFonts w:cs="Arial"/>
          <w:szCs w:val="24"/>
        </w:rPr>
        <w:t>.</w:t>
      </w:r>
      <w:r w:rsidR="002B2341">
        <w:rPr>
          <w:rStyle w:val="EndnoteReference"/>
          <w:szCs w:val="24"/>
        </w:rPr>
        <w:endnoteReference w:id="63"/>
      </w:r>
    </w:p>
    <w:p w14:paraId="03B034A7" w14:textId="77777777" w:rsidR="00834B41" w:rsidRDefault="00B645E6" w:rsidP="00D9246A">
      <w:pPr>
        <w:spacing w:line="240" w:lineRule="auto"/>
        <w:rPr>
          <w:rFonts w:cs="Arial"/>
          <w:szCs w:val="24"/>
        </w:rPr>
      </w:pPr>
      <w:r w:rsidRPr="00CE697F">
        <w:rPr>
          <w:rFonts w:cs="Arial"/>
          <w:szCs w:val="24"/>
        </w:rPr>
        <w:t>However,</w:t>
      </w:r>
      <w:r w:rsidRPr="00595FE6">
        <w:rPr>
          <w:rFonts w:cs="Arial"/>
          <w:b/>
          <w:bCs/>
          <w:szCs w:val="24"/>
        </w:rPr>
        <w:t xml:space="preserve"> </w:t>
      </w:r>
      <w:r w:rsidRPr="00CE697F">
        <w:rPr>
          <w:rFonts w:cs="Arial"/>
          <w:b/>
          <w:color w:val="0079C2"/>
          <w:szCs w:val="24"/>
        </w:rPr>
        <w:t xml:space="preserve">there are higher rates </w:t>
      </w:r>
      <w:r w:rsidR="00A77540" w:rsidRPr="00CE697F">
        <w:rPr>
          <w:rFonts w:cs="Arial"/>
          <w:b/>
          <w:color w:val="0079C2"/>
          <w:szCs w:val="24"/>
        </w:rPr>
        <w:t xml:space="preserve">of overall </w:t>
      </w:r>
      <w:r w:rsidR="00DB476C" w:rsidRPr="00CE697F">
        <w:rPr>
          <w:rFonts w:cs="Arial"/>
          <w:b/>
          <w:color w:val="0079C2"/>
          <w:szCs w:val="24"/>
        </w:rPr>
        <w:t>absence</w:t>
      </w:r>
      <w:r w:rsidR="00A77540" w:rsidRPr="00CE697F">
        <w:rPr>
          <w:rFonts w:cs="Arial"/>
          <w:b/>
          <w:color w:val="0079C2"/>
          <w:szCs w:val="24"/>
        </w:rPr>
        <w:t xml:space="preserve"> </w:t>
      </w:r>
      <w:r w:rsidRPr="00CE697F">
        <w:rPr>
          <w:rFonts w:cs="Arial"/>
          <w:b/>
          <w:color w:val="0079C2"/>
          <w:szCs w:val="24"/>
        </w:rPr>
        <w:t xml:space="preserve">for pupils with SEN </w:t>
      </w:r>
      <w:r w:rsidR="00DB476C" w:rsidRPr="00CE697F">
        <w:rPr>
          <w:rFonts w:cs="Arial"/>
          <w:b/>
          <w:color w:val="0079C2"/>
          <w:szCs w:val="24"/>
        </w:rPr>
        <w:t>S</w:t>
      </w:r>
      <w:r w:rsidRPr="00CE697F">
        <w:rPr>
          <w:rFonts w:cs="Arial"/>
          <w:b/>
          <w:color w:val="0079C2"/>
          <w:szCs w:val="24"/>
        </w:rPr>
        <w:t xml:space="preserve">upport (12% Brighton &amp; Hove, 10% England) and </w:t>
      </w:r>
      <w:r w:rsidR="00DB476C" w:rsidRPr="00CE697F">
        <w:rPr>
          <w:rFonts w:cs="Arial"/>
          <w:b/>
          <w:color w:val="0079C2"/>
          <w:szCs w:val="24"/>
        </w:rPr>
        <w:t xml:space="preserve">with </w:t>
      </w:r>
      <w:r w:rsidRPr="00CE697F">
        <w:rPr>
          <w:rFonts w:cs="Arial"/>
          <w:b/>
          <w:color w:val="0079C2"/>
          <w:szCs w:val="24"/>
        </w:rPr>
        <w:t>an EHC</w:t>
      </w:r>
      <w:r w:rsidR="00A77540" w:rsidRPr="00CE697F">
        <w:rPr>
          <w:rFonts w:cs="Arial"/>
          <w:b/>
          <w:color w:val="0079C2"/>
          <w:szCs w:val="24"/>
        </w:rPr>
        <w:t xml:space="preserve"> </w:t>
      </w:r>
      <w:r w:rsidRPr="00CE697F">
        <w:rPr>
          <w:rFonts w:cs="Arial"/>
          <w:b/>
          <w:color w:val="0079C2"/>
          <w:szCs w:val="24"/>
        </w:rPr>
        <w:t>P</w:t>
      </w:r>
      <w:r w:rsidR="00A77540" w:rsidRPr="00CE697F">
        <w:rPr>
          <w:rFonts w:cs="Arial"/>
          <w:b/>
          <w:color w:val="0079C2"/>
          <w:szCs w:val="24"/>
        </w:rPr>
        <w:t>lan</w:t>
      </w:r>
      <w:r w:rsidRPr="00CE697F">
        <w:rPr>
          <w:rFonts w:cs="Arial"/>
          <w:b/>
          <w:color w:val="0079C2"/>
          <w:szCs w:val="24"/>
        </w:rPr>
        <w:t xml:space="preserve"> (16% Brighton &amp; Hove, 13% England)</w:t>
      </w:r>
      <w:r w:rsidR="008D3B62" w:rsidRPr="00CE697F">
        <w:rPr>
          <w:rFonts w:cs="Arial"/>
          <w:b/>
          <w:color w:val="0079C2"/>
          <w:szCs w:val="24"/>
        </w:rPr>
        <w:t>.</w:t>
      </w:r>
      <w:r w:rsidR="00834B41" w:rsidRPr="00834B41">
        <w:rPr>
          <w:rFonts w:cs="Arial"/>
          <w:szCs w:val="24"/>
        </w:rPr>
        <w:t xml:space="preserve"> </w:t>
      </w:r>
    </w:p>
    <w:p w14:paraId="4973E8F1" w14:textId="321CB523" w:rsidR="00834B41" w:rsidRPr="00595FE6" w:rsidRDefault="00834B41" w:rsidP="00D9246A">
      <w:pPr>
        <w:spacing w:line="240" w:lineRule="auto"/>
        <w:rPr>
          <w:rFonts w:cs="Arial"/>
          <w:szCs w:val="24"/>
        </w:rPr>
      </w:pPr>
      <w:r w:rsidRPr="00595FE6">
        <w:rPr>
          <w:rFonts w:cs="Arial"/>
          <w:szCs w:val="24"/>
        </w:rPr>
        <w:t xml:space="preserve">The overall absence rate in Brighton &amp; Hove increased from 5% in 2017/18 to 8% in 2023/24. </w:t>
      </w:r>
      <w:r w:rsidRPr="00834B41">
        <w:rPr>
          <w:rFonts w:cs="Arial"/>
          <w:b/>
          <w:bCs/>
          <w:color w:val="0079C2"/>
          <w:szCs w:val="24"/>
        </w:rPr>
        <w:t>The overall absence rate increased by more in those with SEN Support or an EHC Plan than in pupils with no SEN</w:t>
      </w:r>
      <w:r w:rsidRPr="00834B41">
        <w:rPr>
          <w:rFonts w:cs="Arial"/>
          <w:color w:val="0079C2"/>
          <w:szCs w:val="24"/>
        </w:rPr>
        <w:t xml:space="preserve"> </w:t>
      </w:r>
      <w:r w:rsidRPr="00595FE6">
        <w:rPr>
          <w:rFonts w:cs="Arial"/>
          <w:szCs w:val="24"/>
        </w:rPr>
        <w:t xml:space="preserve">(Figure </w:t>
      </w:r>
      <w:r>
        <w:rPr>
          <w:rFonts w:cs="Arial"/>
          <w:szCs w:val="24"/>
        </w:rPr>
        <w:t>2</w:t>
      </w:r>
      <w:r w:rsidR="00482D97">
        <w:rPr>
          <w:rFonts w:cs="Arial"/>
          <w:szCs w:val="24"/>
        </w:rPr>
        <w:t>8</w:t>
      </w:r>
      <w:r w:rsidRPr="00595FE6">
        <w:rPr>
          <w:rFonts w:cs="Arial"/>
          <w:szCs w:val="24"/>
        </w:rPr>
        <w:t>, note England figures not shown on the figure):</w:t>
      </w:r>
    </w:p>
    <w:p w14:paraId="7EBC4455" w14:textId="77777777" w:rsidR="00834B41" w:rsidRPr="00595FE6" w:rsidRDefault="00834B41" w:rsidP="009858E3">
      <w:pPr>
        <w:pStyle w:val="ListParagraph"/>
        <w:numPr>
          <w:ilvl w:val="0"/>
          <w:numId w:val="35"/>
        </w:numPr>
        <w:spacing w:line="240" w:lineRule="auto"/>
        <w:rPr>
          <w:rFonts w:cs="Arial"/>
          <w:szCs w:val="24"/>
        </w:rPr>
      </w:pPr>
      <w:r w:rsidRPr="00562B5B">
        <w:rPr>
          <w:rFonts w:cs="Arial"/>
        </w:rPr>
        <w:t>Increased</w:t>
      </w:r>
      <w:r w:rsidRPr="00595FE6">
        <w:rPr>
          <w:rFonts w:cs="Arial"/>
          <w:szCs w:val="24"/>
        </w:rPr>
        <w:t xml:space="preserve"> from 4% to 7% of pupils with no SEN (England from 4% to 6%)</w:t>
      </w:r>
    </w:p>
    <w:p w14:paraId="17966878" w14:textId="77777777" w:rsidR="00834B41" w:rsidRPr="00595FE6" w:rsidRDefault="00834B41" w:rsidP="009858E3">
      <w:pPr>
        <w:pStyle w:val="ListParagraph"/>
        <w:numPr>
          <w:ilvl w:val="0"/>
          <w:numId w:val="35"/>
        </w:numPr>
        <w:spacing w:line="240" w:lineRule="auto"/>
        <w:rPr>
          <w:rFonts w:cs="Arial"/>
          <w:szCs w:val="24"/>
        </w:rPr>
      </w:pPr>
      <w:r w:rsidRPr="00595FE6">
        <w:rPr>
          <w:rFonts w:cs="Arial"/>
          <w:szCs w:val="24"/>
        </w:rPr>
        <w:t>Increased from 7% to 12% of pupils with SEN Support (England from 7% to 10%)</w:t>
      </w:r>
    </w:p>
    <w:p w14:paraId="0032732D" w14:textId="77777777" w:rsidR="00834B41" w:rsidRDefault="00834B41" w:rsidP="009858E3">
      <w:pPr>
        <w:pStyle w:val="ListParagraph"/>
        <w:numPr>
          <w:ilvl w:val="0"/>
          <w:numId w:val="35"/>
        </w:numPr>
        <w:spacing w:line="240" w:lineRule="auto"/>
        <w:rPr>
          <w:rFonts w:cs="Arial"/>
          <w:szCs w:val="24"/>
        </w:rPr>
      </w:pPr>
      <w:r w:rsidRPr="00595FE6">
        <w:rPr>
          <w:rFonts w:cs="Arial"/>
          <w:szCs w:val="24"/>
        </w:rPr>
        <w:t>Increased from 10% to 16% of pupils with an EHC Plan (England from 9% to 13%)</w:t>
      </w:r>
    </w:p>
    <w:p w14:paraId="4530466D" w14:textId="2A7945F0" w:rsidR="001F724C" w:rsidRPr="00CE697F" w:rsidRDefault="001F724C" w:rsidP="00D9246A">
      <w:pPr>
        <w:spacing w:line="240" w:lineRule="auto"/>
        <w:rPr>
          <w:rFonts w:cs="Arial"/>
          <w:b/>
          <w:color w:val="0079C2"/>
          <w:szCs w:val="24"/>
        </w:rPr>
      </w:pPr>
    </w:p>
    <w:p w14:paraId="21BA3BF7" w14:textId="125DC9D2" w:rsidR="008666A7" w:rsidRPr="006608BB" w:rsidRDefault="0003249E" w:rsidP="00D9246A">
      <w:pPr>
        <w:spacing w:line="240" w:lineRule="auto"/>
        <w:rPr>
          <w:b/>
          <w:color w:val="A65588"/>
        </w:rPr>
      </w:pPr>
      <w:r w:rsidRPr="006608BB">
        <w:rPr>
          <w:b/>
          <w:color w:val="A65588"/>
        </w:rPr>
        <w:lastRenderedPageBreak/>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27</w:t>
      </w:r>
      <w:r w:rsidR="00CA2D43">
        <w:rPr>
          <w:b/>
          <w:color w:val="A65588"/>
        </w:rPr>
        <w:fldChar w:fldCharType="end"/>
      </w:r>
      <w:r w:rsidRPr="006608BB">
        <w:rPr>
          <w:b/>
          <w:color w:val="A65588"/>
        </w:rPr>
        <w:t>: Overall absence</w:t>
      </w:r>
      <w:r w:rsidR="00D2694F" w:rsidRPr="006608BB">
        <w:rPr>
          <w:b/>
          <w:color w:val="A65588"/>
        </w:rPr>
        <w:t xml:space="preserve"> </w:t>
      </w:r>
      <w:r w:rsidR="006608BB">
        <w:rPr>
          <w:b/>
          <w:bCs/>
          <w:color w:val="A65588"/>
        </w:rPr>
        <w:t>r</w:t>
      </w:r>
      <w:r w:rsidR="006608BB" w:rsidRPr="006608BB">
        <w:rPr>
          <w:b/>
          <w:bCs/>
          <w:color w:val="A65588"/>
        </w:rPr>
        <w:t xml:space="preserve">ate (%) </w:t>
      </w:r>
      <w:r w:rsidR="00D2694F" w:rsidRPr="006608BB">
        <w:rPr>
          <w:b/>
          <w:color w:val="A65588"/>
        </w:rPr>
        <w:t>in school pupils,</w:t>
      </w:r>
      <w:r w:rsidRPr="006608BB">
        <w:rPr>
          <w:b/>
          <w:color w:val="A65588"/>
        </w:rPr>
        <w:t xml:space="preserve"> by SEN status</w:t>
      </w:r>
      <w:r w:rsidR="006608BB">
        <w:rPr>
          <w:b/>
          <w:bCs/>
          <w:color w:val="A65588"/>
        </w:rPr>
        <w:t>,</w:t>
      </w:r>
      <w:r w:rsidR="0082205D" w:rsidRPr="006608BB">
        <w:rPr>
          <w:b/>
          <w:color w:val="A65588"/>
        </w:rPr>
        <w:t xml:space="preserve"> </w:t>
      </w:r>
      <w:r w:rsidRPr="006608BB">
        <w:rPr>
          <w:b/>
          <w:color w:val="A65588"/>
        </w:rPr>
        <w:t>Brighton &amp; Hove and England, 2023/24</w:t>
      </w:r>
      <w:r w:rsidR="00C53D96" w:rsidRPr="00595FE6">
        <w:rPr>
          <w:rFonts w:cs="Arial"/>
          <w:noProof/>
          <w:szCs w:val="24"/>
        </w:rPr>
        <w:drawing>
          <wp:inline distT="0" distB="0" distL="0" distR="0" wp14:anchorId="7A23D24F" wp14:editId="112EC54F">
            <wp:extent cx="5486400" cy="2847975"/>
            <wp:effectExtent l="38100" t="0" r="57150" b="9525"/>
            <wp:docPr id="1203995932" name="Diagram 1" descr="Image showing the overall absence rate (%), by SEN status, in Brighton &amp; Hove and England, 2023/24.&#10;&#10;In Brighton &amp; Hove, the overall pupils absence rate is 8%, similar to England (7%). However, there are higher rates of overall absence for pupils with SEN Support (12% Brighton &amp; Hove, 10% England) and with an EHC Plan (16% Brighton &amp; Hove, 13% England)."/>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14:paraId="2D4DF975" w14:textId="519FBF6B" w:rsidR="00EE6DB1" w:rsidRPr="008666A7" w:rsidRDefault="00EE6DB1" w:rsidP="00D9246A">
      <w:pPr>
        <w:pStyle w:val="Caption"/>
        <w:rPr>
          <w:rFonts w:cs="Arial"/>
          <w:b w:val="0"/>
          <w:bCs w:val="0"/>
          <w:color w:val="C00000"/>
        </w:rPr>
      </w:pPr>
      <w:r w:rsidRPr="006608BB">
        <w:rPr>
          <w:rFonts w:cs="Arial"/>
        </w:rPr>
        <w:t>Source:</w:t>
      </w:r>
      <w:r w:rsidRPr="009C01C0">
        <w:rPr>
          <w:rFonts w:cs="Arial"/>
          <w:b w:val="0"/>
          <w:bCs w:val="0"/>
        </w:rPr>
        <w:t xml:space="preserve"> Department for Education Pupil absence in schools in England</w:t>
      </w:r>
      <w:r w:rsidR="004D62E9">
        <w:rPr>
          <w:rFonts w:cs="Arial"/>
          <w:b w:val="0"/>
          <w:bCs w:val="0"/>
        </w:rPr>
        <w:t>,</w:t>
      </w:r>
      <w:r w:rsidRPr="009C01C0">
        <w:rPr>
          <w:rFonts w:cs="Arial"/>
          <w:b w:val="0"/>
          <w:bCs w:val="0"/>
        </w:rPr>
        <w:t xml:space="preserve"> 2023/24</w:t>
      </w:r>
      <w:r w:rsidRPr="008666A7">
        <w:rPr>
          <w:rFonts w:cs="Arial"/>
          <w:b w:val="0"/>
          <w:bCs w:val="0"/>
        </w:rPr>
        <w:t xml:space="preserve"> </w:t>
      </w:r>
    </w:p>
    <w:p w14:paraId="1286B533" w14:textId="3314496B" w:rsidR="00083C4A" w:rsidRPr="006608BB" w:rsidRDefault="00083C4A" w:rsidP="00D9246A">
      <w:pPr>
        <w:spacing w:line="240" w:lineRule="auto"/>
        <w:rPr>
          <w:b/>
          <w:color w:val="A65588"/>
        </w:rPr>
      </w:pPr>
      <w:r w:rsidRPr="006608BB">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28</w:t>
      </w:r>
      <w:r w:rsidR="00CA2D43">
        <w:rPr>
          <w:b/>
          <w:color w:val="A65588"/>
        </w:rPr>
        <w:fldChar w:fldCharType="end"/>
      </w:r>
      <w:r w:rsidRPr="006608BB">
        <w:rPr>
          <w:b/>
          <w:color w:val="A65588"/>
        </w:rPr>
        <w:t xml:space="preserve">: Overall absence rate </w:t>
      </w:r>
      <w:r w:rsidR="006608BB" w:rsidRPr="006608BB">
        <w:rPr>
          <w:b/>
          <w:bCs/>
          <w:color w:val="A65588"/>
        </w:rPr>
        <w:t>(%)</w:t>
      </w:r>
      <w:r w:rsidRPr="006608BB">
        <w:rPr>
          <w:b/>
          <w:bCs/>
          <w:color w:val="A65588"/>
        </w:rPr>
        <w:t xml:space="preserve"> </w:t>
      </w:r>
      <w:r w:rsidR="006608BB" w:rsidRPr="006608BB">
        <w:rPr>
          <w:b/>
          <w:bCs/>
          <w:color w:val="A65588"/>
        </w:rPr>
        <w:t>by SEN status</w:t>
      </w:r>
      <w:r w:rsidR="005C108A" w:rsidRPr="006608BB">
        <w:rPr>
          <w:b/>
          <w:bCs/>
          <w:color w:val="A65588"/>
        </w:rPr>
        <w:t xml:space="preserve">, </w:t>
      </w:r>
      <w:r w:rsidR="006608BB" w:rsidRPr="006608BB">
        <w:rPr>
          <w:b/>
          <w:bCs/>
          <w:color w:val="A65588"/>
        </w:rPr>
        <w:t>Brighton &amp; Hove</w:t>
      </w:r>
      <w:r w:rsidR="005C108A" w:rsidRPr="006608BB">
        <w:rPr>
          <w:b/>
          <w:color w:val="A65588"/>
        </w:rPr>
        <w:t xml:space="preserve">, </w:t>
      </w:r>
      <w:r w:rsidRPr="006608BB">
        <w:rPr>
          <w:b/>
          <w:color w:val="A65588"/>
        </w:rPr>
        <w:t xml:space="preserve">2017/18 </w:t>
      </w:r>
      <w:r w:rsidR="005C108A" w:rsidRPr="006608BB">
        <w:rPr>
          <w:b/>
          <w:color w:val="A65588"/>
        </w:rPr>
        <w:t xml:space="preserve">to </w:t>
      </w:r>
      <w:r w:rsidRPr="006608BB">
        <w:rPr>
          <w:b/>
          <w:color w:val="A65588"/>
        </w:rPr>
        <w:t>2023/24</w:t>
      </w:r>
    </w:p>
    <w:p w14:paraId="23068ACF" w14:textId="77777777" w:rsidR="000F2751" w:rsidRDefault="006D5978" w:rsidP="00D9246A">
      <w:pPr>
        <w:spacing w:line="240" w:lineRule="auto"/>
      </w:pPr>
      <w:r w:rsidRPr="006D5978">
        <w:rPr>
          <w:rFonts w:cs="Arial"/>
          <w:noProof/>
          <w:szCs w:val="24"/>
        </w:rPr>
        <w:drawing>
          <wp:inline distT="0" distB="0" distL="0" distR="0" wp14:anchorId="790E1064" wp14:editId="3B2C8E5A">
            <wp:extent cx="5066665" cy="2768261"/>
            <wp:effectExtent l="0" t="0" r="635" b="0"/>
            <wp:docPr id="514361007" name="Picture 1" descr="Line chart of overall absence rate (%) by SEN status in Brighton &amp; Hove, 2017/18 to 2023/24.&#10;&#10;Overall absence rate increased from 4% to 7% in pupils with no SEN, increased from 7% to 12% in pupils with SEN support, and from 10% to 16% in pupils with an EHC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61007" name="Picture 1" descr="Line chart of overall absence rate (%) by SEN status in Brighton &amp; Hove, 2017/18 to 2023/24.&#10;&#10;Overall absence rate increased from 4% to 7% in pupils with no SEN, increased from 7% to 12% in pupils with SEN support, and from 10% to 16% in pupils with an EHC plan."/>
                    <pic:cNvPicPr/>
                  </pic:nvPicPr>
                  <pic:blipFill rotWithShape="1">
                    <a:blip r:embed="rId95"/>
                    <a:srcRect t="3966"/>
                    <a:stretch>
                      <a:fillRect/>
                    </a:stretch>
                  </pic:blipFill>
                  <pic:spPr bwMode="auto">
                    <a:xfrm>
                      <a:off x="0" y="0"/>
                      <a:ext cx="5172449" cy="2826058"/>
                    </a:xfrm>
                    <a:prstGeom prst="rect">
                      <a:avLst/>
                    </a:prstGeom>
                    <a:ln>
                      <a:noFill/>
                    </a:ln>
                    <a:extLst>
                      <a:ext uri="{53640926-AAD7-44D8-BBD7-CCE9431645EC}">
                        <a14:shadowObscured xmlns:a14="http://schemas.microsoft.com/office/drawing/2010/main"/>
                      </a:ext>
                    </a:extLst>
                  </pic:spPr>
                </pic:pic>
              </a:graphicData>
            </a:graphic>
          </wp:inline>
        </w:drawing>
      </w:r>
      <w:r w:rsidR="00B323ED" w:rsidRPr="00286E9F">
        <w:t xml:space="preserve"> </w:t>
      </w:r>
    </w:p>
    <w:p w14:paraId="748D5A3C" w14:textId="375DE125" w:rsidR="00282BBB" w:rsidRPr="00286E9F" w:rsidRDefault="00B323ED" w:rsidP="00D9246A">
      <w:pPr>
        <w:spacing w:line="240" w:lineRule="auto"/>
        <w:rPr>
          <w:rFonts w:cs="Arial"/>
          <w:szCs w:val="24"/>
        </w:rPr>
      </w:pPr>
      <w:r w:rsidRPr="006608BB">
        <w:rPr>
          <w:b/>
        </w:rPr>
        <w:t>S</w:t>
      </w:r>
      <w:r w:rsidR="00282BBB" w:rsidRPr="006608BB">
        <w:rPr>
          <w:rFonts w:cs="Arial"/>
          <w:b/>
        </w:rPr>
        <w:t>ource:</w:t>
      </w:r>
      <w:r w:rsidR="00282BBB" w:rsidRPr="00777D84">
        <w:rPr>
          <w:rFonts w:cs="Arial"/>
        </w:rPr>
        <w:t xml:space="preserve"> Department for Education</w:t>
      </w:r>
      <w:r w:rsidR="006608BB">
        <w:rPr>
          <w:rFonts w:cs="Arial"/>
        </w:rPr>
        <w:t>,</w:t>
      </w:r>
      <w:r w:rsidR="00282BBB" w:rsidRPr="00777D84">
        <w:rPr>
          <w:rFonts w:cs="Arial"/>
        </w:rPr>
        <w:t xml:space="preserve"> Pupil absence in schools in England</w:t>
      </w:r>
      <w:r w:rsidR="004D62E9">
        <w:rPr>
          <w:rFonts w:cs="Arial"/>
        </w:rPr>
        <w:t>,</w:t>
      </w:r>
      <w:r w:rsidR="00282BBB" w:rsidRPr="00777D84">
        <w:rPr>
          <w:rFonts w:cs="Arial"/>
        </w:rPr>
        <w:t xml:space="preserve"> 2023/24</w:t>
      </w:r>
      <w:r w:rsidR="00282BBB" w:rsidRPr="00286E9F">
        <w:rPr>
          <w:rFonts w:cs="Arial"/>
        </w:rPr>
        <w:t xml:space="preserve"> </w:t>
      </w:r>
    </w:p>
    <w:p w14:paraId="1527A0C6" w14:textId="7A5EDF7E" w:rsidR="006202FC" w:rsidRPr="009A37B7" w:rsidRDefault="00EE6DB1" w:rsidP="00D9246A">
      <w:pPr>
        <w:spacing w:line="240" w:lineRule="auto"/>
        <w:rPr>
          <w:rFonts w:cs="Arial"/>
          <w:b/>
          <w:color w:val="0079C2"/>
          <w:szCs w:val="24"/>
        </w:rPr>
      </w:pPr>
      <w:r w:rsidRPr="009A37B7">
        <w:rPr>
          <w:rFonts w:cs="Arial"/>
          <w:b/>
          <w:color w:val="0079C2"/>
          <w:szCs w:val="24"/>
        </w:rPr>
        <w:t>Persistent absence</w:t>
      </w:r>
    </w:p>
    <w:p w14:paraId="78D0E1CD" w14:textId="4769A0CB" w:rsidR="00EE6DB1" w:rsidRPr="00595FE6" w:rsidRDefault="00EE6DB1" w:rsidP="00D9246A">
      <w:pPr>
        <w:spacing w:line="240" w:lineRule="auto"/>
        <w:rPr>
          <w:rFonts w:cs="Arial"/>
          <w:szCs w:val="24"/>
        </w:rPr>
      </w:pPr>
      <w:r w:rsidRPr="00595FE6">
        <w:rPr>
          <w:rFonts w:cs="Arial"/>
          <w:szCs w:val="24"/>
        </w:rPr>
        <w:t xml:space="preserve">In Brighton &amp; Hove 22% of pupils were persistently absent in 2023/24 (missed 10% or more sessions), higher than England (20%). </w:t>
      </w:r>
      <w:r w:rsidR="006407D0" w:rsidRPr="00595FE6">
        <w:rPr>
          <w:rFonts w:cs="Arial"/>
          <w:szCs w:val="24"/>
        </w:rPr>
        <w:t>This is lower for pupils with no SEN (18% Brighton &amp; Hove, 17% England)</w:t>
      </w:r>
      <w:r w:rsidR="00201B2E">
        <w:rPr>
          <w:rFonts w:cs="Arial"/>
          <w:szCs w:val="24"/>
        </w:rPr>
        <w:t xml:space="preserve"> (Figure </w:t>
      </w:r>
      <w:r w:rsidR="00675821">
        <w:rPr>
          <w:rFonts w:cs="Arial"/>
          <w:szCs w:val="24"/>
        </w:rPr>
        <w:t>29</w:t>
      </w:r>
      <w:r w:rsidR="00201B2E">
        <w:rPr>
          <w:rFonts w:cs="Arial"/>
          <w:szCs w:val="24"/>
        </w:rPr>
        <w:t>).</w:t>
      </w:r>
      <w:r w:rsidR="00740CAC">
        <w:rPr>
          <w:rStyle w:val="EndnoteReference"/>
          <w:szCs w:val="24"/>
        </w:rPr>
        <w:endnoteReference w:id="64"/>
      </w:r>
    </w:p>
    <w:p w14:paraId="69CEF4FF" w14:textId="19E8934D" w:rsidR="006407D0" w:rsidRPr="00834B41" w:rsidRDefault="00DB476C" w:rsidP="00D9246A">
      <w:pPr>
        <w:spacing w:line="240" w:lineRule="auto"/>
        <w:rPr>
          <w:rFonts w:cs="Arial"/>
          <w:color w:val="0079C2"/>
          <w:szCs w:val="24"/>
        </w:rPr>
      </w:pPr>
      <w:r w:rsidRPr="00834B41">
        <w:rPr>
          <w:rFonts w:cs="Arial"/>
          <w:b/>
          <w:color w:val="0079C2"/>
          <w:szCs w:val="24"/>
        </w:rPr>
        <w:t xml:space="preserve">Persistent absence </w:t>
      </w:r>
      <w:r w:rsidR="006407D0" w:rsidRPr="00834B41">
        <w:rPr>
          <w:rFonts w:cs="Arial"/>
          <w:b/>
          <w:color w:val="0079C2"/>
          <w:szCs w:val="24"/>
        </w:rPr>
        <w:t>is much higher for pupils with SEN support or an EHC plan, and rates in Brighton &amp; Hove are higher than for England</w:t>
      </w:r>
      <w:r w:rsidR="006407D0" w:rsidRPr="00834B41">
        <w:rPr>
          <w:rFonts w:cs="Arial"/>
          <w:color w:val="0079C2"/>
          <w:szCs w:val="24"/>
        </w:rPr>
        <w:t>:</w:t>
      </w:r>
    </w:p>
    <w:p w14:paraId="65C3A44F" w14:textId="741D5D98" w:rsidR="006407D0" w:rsidRPr="006E4EE3" w:rsidRDefault="006407D0" w:rsidP="009858E3">
      <w:pPr>
        <w:pStyle w:val="ListParagraph"/>
        <w:numPr>
          <w:ilvl w:val="0"/>
          <w:numId w:val="35"/>
        </w:numPr>
        <w:spacing w:line="240" w:lineRule="auto"/>
        <w:rPr>
          <w:rFonts w:cs="Arial"/>
          <w:szCs w:val="24"/>
        </w:rPr>
      </w:pPr>
      <w:r w:rsidRPr="006E4EE3">
        <w:rPr>
          <w:rFonts w:cs="Arial"/>
          <w:szCs w:val="24"/>
        </w:rPr>
        <w:t>SEN support: 34% for Brighton &amp; Hove compared to 30% for England</w:t>
      </w:r>
    </w:p>
    <w:p w14:paraId="2CA46977" w14:textId="0D1582DC" w:rsidR="00F1499D" w:rsidRPr="00F41487" w:rsidRDefault="006407D0" w:rsidP="009858E3">
      <w:pPr>
        <w:pStyle w:val="ListParagraph"/>
        <w:numPr>
          <w:ilvl w:val="0"/>
          <w:numId w:val="35"/>
        </w:numPr>
        <w:spacing w:line="240" w:lineRule="auto"/>
        <w:rPr>
          <w:rFonts w:cs="Arial"/>
          <w:szCs w:val="24"/>
        </w:rPr>
      </w:pPr>
      <w:r w:rsidRPr="006E4EE3">
        <w:rPr>
          <w:rFonts w:cs="Arial"/>
          <w:szCs w:val="24"/>
        </w:rPr>
        <w:t>EHC plan: 4</w:t>
      </w:r>
      <w:r w:rsidR="004635EC" w:rsidRPr="006E4EE3">
        <w:rPr>
          <w:rFonts w:cs="Arial"/>
          <w:szCs w:val="24"/>
        </w:rPr>
        <w:t>3</w:t>
      </w:r>
      <w:r w:rsidRPr="006E4EE3">
        <w:rPr>
          <w:rFonts w:cs="Arial"/>
          <w:szCs w:val="24"/>
        </w:rPr>
        <w:t>% for Brighton &amp; Hove compared to 36% for England</w:t>
      </w:r>
      <w:r w:rsidR="00F41487">
        <w:rPr>
          <w:rFonts w:cs="Arial"/>
          <w:szCs w:val="24"/>
        </w:rPr>
        <w:t>.</w:t>
      </w:r>
    </w:p>
    <w:p w14:paraId="56FEB2BA" w14:textId="3A4A6224" w:rsidR="00277D78" w:rsidRPr="006608BB" w:rsidRDefault="000E4886" w:rsidP="00D9246A">
      <w:pPr>
        <w:spacing w:line="240" w:lineRule="auto"/>
        <w:rPr>
          <w:b/>
          <w:color w:val="A65588"/>
        </w:rPr>
      </w:pPr>
      <w:r w:rsidRPr="006608BB">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29</w:t>
      </w:r>
      <w:r w:rsidR="00CA2D43">
        <w:rPr>
          <w:b/>
          <w:color w:val="A65588"/>
        </w:rPr>
        <w:fldChar w:fldCharType="end"/>
      </w:r>
      <w:r w:rsidRPr="006608BB">
        <w:rPr>
          <w:b/>
          <w:color w:val="A65588"/>
        </w:rPr>
        <w:t xml:space="preserve">: </w:t>
      </w:r>
      <w:r w:rsidR="00277D78" w:rsidRPr="006608BB">
        <w:rPr>
          <w:b/>
          <w:color w:val="A65588"/>
        </w:rPr>
        <w:t>Rate (%) of persistence absence</w:t>
      </w:r>
      <w:r w:rsidR="00507146" w:rsidRPr="006608BB">
        <w:rPr>
          <w:b/>
          <w:color w:val="A65588"/>
        </w:rPr>
        <w:t xml:space="preserve">, </w:t>
      </w:r>
      <w:r w:rsidR="00277D78" w:rsidRPr="006608BB">
        <w:rPr>
          <w:b/>
          <w:color w:val="A65588"/>
        </w:rPr>
        <w:t>by SEN status</w:t>
      </w:r>
      <w:r w:rsidR="006608BB">
        <w:rPr>
          <w:b/>
          <w:bCs/>
          <w:color w:val="A65588"/>
        </w:rPr>
        <w:t>,</w:t>
      </w:r>
      <w:r w:rsidR="0082205D" w:rsidRPr="006608BB">
        <w:rPr>
          <w:b/>
          <w:color w:val="A65588"/>
        </w:rPr>
        <w:t xml:space="preserve"> </w:t>
      </w:r>
      <w:r w:rsidR="00277D78" w:rsidRPr="006608BB">
        <w:rPr>
          <w:b/>
          <w:color w:val="A65588"/>
        </w:rPr>
        <w:t>Brighton &amp; Hove and England, 2023/24</w:t>
      </w:r>
    </w:p>
    <w:p w14:paraId="165D8187" w14:textId="15BD1AC8" w:rsidR="00A17518" w:rsidRPr="006608BB" w:rsidRDefault="00C53D96" w:rsidP="00D9246A">
      <w:pPr>
        <w:keepNext/>
        <w:spacing w:line="240" w:lineRule="auto"/>
        <w:rPr>
          <w:rFonts w:cs="Arial"/>
        </w:rPr>
      </w:pPr>
      <w:r w:rsidRPr="00595FE6">
        <w:rPr>
          <w:rFonts w:cs="Arial"/>
          <w:noProof/>
          <w:szCs w:val="24"/>
        </w:rPr>
        <w:lastRenderedPageBreak/>
        <w:drawing>
          <wp:anchor distT="0" distB="0" distL="114300" distR="114300" simplePos="0" relativeHeight="251658244" behindDoc="0" locked="0" layoutInCell="1" allowOverlap="1" wp14:anchorId="319A47BE" wp14:editId="71579D10">
            <wp:simplePos x="0" y="0"/>
            <wp:positionH relativeFrom="column">
              <wp:posOffset>42545</wp:posOffset>
            </wp:positionH>
            <wp:positionV relativeFrom="paragraph">
              <wp:posOffset>635</wp:posOffset>
            </wp:positionV>
            <wp:extent cx="5486400" cy="2714625"/>
            <wp:effectExtent l="0" t="0" r="0" b="9525"/>
            <wp:wrapSquare wrapText="bothSides"/>
            <wp:docPr id="803343974" name="Diagram 1" descr="Image showing the persistent absence rate by SEN status in Brighton &amp; Hove, 2023/24.&#10;&#10;In Brighton &amp; Hove 22% of pupils were persistently absent in 2023/24 (missed 10% or more sessions), higher than England (20%). This is lower for pupils with no SEN (18% Brighton &amp; Hove, 17% England).&#10;In the City, persistent absence is much higher for pupils with SEN (43% with an EHC plan, and 34% of pupils on SEN suppo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14:sizeRelV relativeFrom="margin">
              <wp14:pctHeight>0</wp14:pctHeight>
            </wp14:sizeRelV>
          </wp:anchor>
        </w:drawing>
      </w:r>
      <w:r w:rsidR="0063244A">
        <w:br w:type="textWrapping" w:clear="all"/>
      </w:r>
      <w:r w:rsidR="00A17518" w:rsidRPr="006608BB">
        <w:rPr>
          <w:rFonts w:cs="Arial"/>
          <w:b/>
        </w:rPr>
        <w:t>Source:</w:t>
      </w:r>
      <w:r w:rsidR="00A17518" w:rsidRPr="00277D78">
        <w:rPr>
          <w:rFonts w:cs="Arial"/>
        </w:rPr>
        <w:t xml:space="preserve"> Department for Education </w:t>
      </w:r>
      <w:r w:rsidR="003F17B1" w:rsidRPr="00277D78">
        <w:rPr>
          <w:rFonts w:cs="Arial"/>
        </w:rPr>
        <w:t>Pupil absence in schools in England</w:t>
      </w:r>
      <w:r w:rsidR="00006ECF">
        <w:rPr>
          <w:rFonts w:cs="Arial"/>
        </w:rPr>
        <w:t xml:space="preserve">, </w:t>
      </w:r>
      <w:r w:rsidR="00A17518" w:rsidRPr="00277D78">
        <w:rPr>
          <w:rFonts w:cs="Arial"/>
        </w:rPr>
        <w:t>2023/24</w:t>
      </w:r>
    </w:p>
    <w:p w14:paraId="64126820" w14:textId="52A3C31D" w:rsidR="00A77540" w:rsidRPr="00595FE6" w:rsidRDefault="00A77540" w:rsidP="00D9246A">
      <w:pPr>
        <w:spacing w:line="240" w:lineRule="auto"/>
        <w:rPr>
          <w:rFonts w:cs="Arial"/>
          <w:szCs w:val="24"/>
        </w:rPr>
      </w:pPr>
      <w:r w:rsidRPr="00B83C83">
        <w:rPr>
          <w:rFonts w:cs="Arial"/>
          <w:b/>
          <w:color w:val="0079C2"/>
          <w:szCs w:val="24"/>
        </w:rPr>
        <w:t xml:space="preserve">The persistent absentee rate in Brighton &amp; Hove increased from </w:t>
      </w:r>
      <w:r w:rsidR="00945ABE" w:rsidRPr="00B83C83">
        <w:rPr>
          <w:rFonts w:cs="Arial"/>
          <w:b/>
          <w:color w:val="0079C2"/>
          <w:szCs w:val="24"/>
        </w:rPr>
        <w:t>9</w:t>
      </w:r>
      <w:r w:rsidRPr="00B83C83">
        <w:rPr>
          <w:rFonts w:cs="Arial"/>
          <w:b/>
          <w:color w:val="0079C2"/>
          <w:szCs w:val="24"/>
        </w:rPr>
        <w:t xml:space="preserve">% in 2017/18 to </w:t>
      </w:r>
      <w:r w:rsidR="00945ABE" w:rsidRPr="00B83C83">
        <w:rPr>
          <w:rFonts w:cs="Arial"/>
          <w:b/>
          <w:color w:val="0079C2"/>
          <w:szCs w:val="24"/>
        </w:rPr>
        <w:t>1</w:t>
      </w:r>
      <w:r w:rsidRPr="00B83C83">
        <w:rPr>
          <w:rFonts w:cs="Arial"/>
          <w:b/>
          <w:color w:val="0079C2"/>
          <w:szCs w:val="24"/>
        </w:rPr>
        <w:t>8% in 2023/24.</w:t>
      </w:r>
      <w:r w:rsidRPr="00595FE6">
        <w:rPr>
          <w:rFonts w:cs="Arial"/>
          <w:szCs w:val="24"/>
        </w:rPr>
        <w:t xml:space="preserve"> </w:t>
      </w:r>
      <w:r w:rsidR="00B83C83" w:rsidRPr="00B83C83">
        <w:rPr>
          <w:rFonts w:cs="Arial"/>
          <w:b/>
          <w:bCs/>
          <w:color w:val="0079C2"/>
          <w:szCs w:val="24"/>
        </w:rPr>
        <w:t>It</w:t>
      </w:r>
      <w:r w:rsidRPr="00CE697F">
        <w:rPr>
          <w:rFonts w:cs="Arial"/>
          <w:b/>
          <w:color w:val="0079C2"/>
          <w:szCs w:val="24"/>
        </w:rPr>
        <w:t xml:space="preserve"> increased </w:t>
      </w:r>
      <w:r w:rsidR="00F26ACF" w:rsidRPr="00CE697F">
        <w:rPr>
          <w:rFonts w:cs="Arial"/>
          <w:b/>
          <w:color w:val="0079C2"/>
          <w:szCs w:val="24"/>
        </w:rPr>
        <w:t>for pupils with any SEN as well as for pupils with no SEN</w:t>
      </w:r>
      <w:r w:rsidR="00D94B97" w:rsidRPr="00CE697F">
        <w:rPr>
          <w:rFonts w:cs="Arial"/>
          <w:b/>
          <w:color w:val="0079C2"/>
          <w:szCs w:val="24"/>
        </w:rPr>
        <w:t xml:space="preserve"> during/post the Covid19 pandemic</w:t>
      </w:r>
      <w:r w:rsidR="00B83C83">
        <w:rPr>
          <w:rFonts w:cs="Arial"/>
          <w:b/>
          <w:bCs/>
          <w:color w:val="0079C2"/>
          <w:szCs w:val="24"/>
        </w:rPr>
        <w:t xml:space="preserve"> and</w:t>
      </w:r>
      <w:r w:rsidR="00F26ACF">
        <w:rPr>
          <w:rFonts w:cs="Arial"/>
          <w:b/>
          <w:color w:val="0079C2"/>
          <w:szCs w:val="24"/>
        </w:rPr>
        <w:t xml:space="preserve"> </w:t>
      </w:r>
      <w:r w:rsidR="00F26ACF" w:rsidRPr="00CE697F">
        <w:rPr>
          <w:rFonts w:cs="Arial"/>
          <w:b/>
          <w:color w:val="0079C2"/>
          <w:szCs w:val="24"/>
        </w:rPr>
        <w:t>remain</w:t>
      </w:r>
      <w:r w:rsidR="00D94B97" w:rsidRPr="00CE697F">
        <w:rPr>
          <w:rFonts w:cs="Arial"/>
          <w:b/>
          <w:color w:val="0079C2"/>
          <w:szCs w:val="24"/>
        </w:rPr>
        <w:t>s</w:t>
      </w:r>
      <w:r w:rsidR="00F26ACF" w:rsidRPr="00CE697F">
        <w:rPr>
          <w:rFonts w:cs="Arial"/>
          <w:b/>
          <w:color w:val="0079C2"/>
          <w:szCs w:val="24"/>
        </w:rPr>
        <w:t xml:space="preserve"> </w:t>
      </w:r>
      <w:r w:rsidR="00D73053" w:rsidRPr="00CE697F">
        <w:rPr>
          <w:rFonts w:cs="Arial"/>
          <w:b/>
          <w:color w:val="0079C2"/>
          <w:szCs w:val="24"/>
        </w:rPr>
        <w:t>higher in those with an EHC Plan and SEN Support</w:t>
      </w:r>
      <w:r w:rsidR="00D94B97" w:rsidRPr="00CE697F">
        <w:rPr>
          <w:rFonts w:cs="Arial"/>
          <w:b/>
          <w:color w:val="0079C2"/>
          <w:szCs w:val="24"/>
        </w:rPr>
        <w:t xml:space="preserve"> than those with no SEN</w:t>
      </w:r>
      <w:r w:rsidR="00D73053" w:rsidRPr="00CE697F">
        <w:rPr>
          <w:rFonts w:cs="Arial"/>
          <w:b/>
          <w:color w:val="0079C2"/>
          <w:szCs w:val="24"/>
        </w:rPr>
        <w:t xml:space="preserve"> </w:t>
      </w:r>
      <w:r w:rsidRPr="00595FE6">
        <w:rPr>
          <w:rFonts w:cs="Arial"/>
          <w:szCs w:val="24"/>
        </w:rPr>
        <w:t xml:space="preserve">(Figure </w:t>
      </w:r>
      <w:r w:rsidR="00F41487">
        <w:rPr>
          <w:rFonts w:cs="Arial"/>
          <w:szCs w:val="24"/>
        </w:rPr>
        <w:t>3</w:t>
      </w:r>
      <w:r w:rsidR="005209D5">
        <w:rPr>
          <w:rFonts w:cs="Arial"/>
          <w:szCs w:val="24"/>
        </w:rPr>
        <w:t>0</w:t>
      </w:r>
      <w:r w:rsidRPr="00595FE6">
        <w:rPr>
          <w:rFonts w:cs="Arial"/>
          <w:szCs w:val="24"/>
        </w:rPr>
        <w:t>):</w:t>
      </w:r>
    </w:p>
    <w:p w14:paraId="31316D17" w14:textId="134F1407" w:rsidR="00A77540" w:rsidRPr="00595FE6" w:rsidRDefault="00A77540" w:rsidP="009858E3">
      <w:pPr>
        <w:pStyle w:val="ListParagraph"/>
        <w:numPr>
          <w:ilvl w:val="0"/>
          <w:numId w:val="35"/>
        </w:numPr>
        <w:spacing w:line="240" w:lineRule="auto"/>
        <w:rPr>
          <w:rFonts w:cs="Arial"/>
          <w:szCs w:val="24"/>
        </w:rPr>
      </w:pPr>
      <w:r w:rsidRPr="00595FE6">
        <w:rPr>
          <w:rFonts w:cs="Arial"/>
          <w:szCs w:val="24"/>
        </w:rPr>
        <w:t xml:space="preserve">Increased from </w:t>
      </w:r>
      <w:r w:rsidR="00945ABE" w:rsidRPr="00595FE6">
        <w:rPr>
          <w:rFonts w:cs="Arial"/>
          <w:szCs w:val="24"/>
        </w:rPr>
        <w:t>9</w:t>
      </w:r>
      <w:r w:rsidRPr="00595FE6">
        <w:rPr>
          <w:rFonts w:cs="Arial"/>
          <w:szCs w:val="24"/>
        </w:rPr>
        <w:t xml:space="preserve">% to </w:t>
      </w:r>
      <w:r w:rsidR="00945ABE" w:rsidRPr="00595FE6">
        <w:rPr>
          <w:rFonts w:cs="Arial"/>
          <w:szCs w:val="24"/>
        </w:rPr>
        <w:t>18</w:t>
      </w:r>
      <w:r w:rsidRPr="00595FE6">
        <w:rPr>
          <w:rFonts w:cs="Arial"/>
          <w:szCs w:val="24"/>
        </w:rPr>
        <w:t>% of pupils with no SEN</w:t>
      </w:r>
      <w:r w:rsidR="00CD7914" w:rsidRPr="00595FE6">
        <w:rPr>
          <w:rFonts w:cs="Arial"/>
          <w:szCs w:val="24"/>
        </w:rPr>
        <w:t xml:space="preserve"> (England from </w:t>
      </w:r>
      <w:r w:rsidR="00330493" w:rsidRPr="00595FE6">
        <w:rPr>
          <w:rFonts w:cs="Arial"/>
          <w:szCs w:val="24"/>
        </w:rPr>
        <w:t>9</w:t>
      </w:r>
      <w:r w:rsidR="00CD7914" w:rsidRPr="00595FE6">
        <w:rPr>
          <w:rFonts w:cs="Arial"/>
          <w:szCs w:val="24"/>
        </w:rPr>
        <w:t xml:space="preserve">% to </w:t>
      </w:r>
      <w:r w:rsidR="00330493" w:rsidRPr="00595FE6">
        <w:rPr>
          <w:rFonts w:cs="Arial"/>
          <w:szCs w:val="24"/>
        </w:rPr>
        <w:t>17</w:t>
      </w:r>
      <w:r w:rsidR="00CD7914" w:rsidRPr="00595FE6">
        <w:rPr>
          <w:rFonts w:cs="Arial"/>
          <w:szCs w:val="24"/>
        </w:rPr>
        <w:t>%)</w:t>
      </w:r>
    </w:p>
    <w:p w14:paraId="5032E08C" w14:textId="75212709" w:rsidR="00A77540" w:rsidRPr="00595FE6" w:rsidRDefault="00A77540" w:rsidP="009858E3">
      <w:pPr>
        <w:pStyle w:val="ListParagraph"/>
        <w:numPr>
          <w:ilvl w:val="0"/>
          <w:numId w:val="35"/>
        </w:numPr>
        <w:spacing w:line="240" w:lineRule="auto"/>
        <w:rPr>
          <w:rFonts w:cs="Arial"/>
          <w:szCs w:val="24"/>
        </w:rPr>
      </w:pPr>
      <w:r w:rsidRPr="00595FE6">
        <w:rPr>
          <w:rFonts w:cs="Arial"/>
          <w:szCs w:val="24"/>
        </w:rPr>
        <w:t xml:space="preserve">Increased from </w:t>
      </w:r>
      <w:r w:rsidR="00945ABE" w:rsidRPr="00595FE6">
        <w:rPr>
          <w:rFonts w:cs="Arial"/>
          <w:szCs w:val="24"/>
        </w:rPr>
        <w:t>21</w:t>
      </w:r>
      <w:r w:rsidRPr="00595FE6">
        <w:rPr>
          <w:rFonts w:cs="Arial"/>
          <w:szCs w:val="24"/>
        </w:rPr>
        <w:t xml:space="preserve">% to </w:t>
      </w:r>
      <w:r w:rsidR="00945ABE" w:rsidRPr="00595FE6">
        <w:rPr>
          <w:rFonts w:cs="Arial"/>
          <w:szCs w:val="24"/>
        </w:rPr>
        <w:t>34</w:t>
      </w:r>
      <w:r w:rsidRPr="00595FE6">
        <w:rPr>
          <w:rFonts w:cs="Arial"/>
          <w:szCs w:val="24"/>
        </w:rPr>
        <w:t>% of pupils with SEN Support</w:t>
      </w:r>
      <w:r w:rsidR="00330493" w:rsidRPr="00595FE6">
        <w:rPr>
          <w:rFonts w:cs="Arial"/>
          <w:szCs w:val="24"/>
        </w:rPr>
        <w:t xml:space="preserve"> (England from </w:t>
      </w:r>
      <w:r w:rsidR="00521E77" w:rsidRPr="00595FE6">
        <w:rPr>
          <w:rFonts w:cs="Arial"/>
          <w:szCs w:val="24"/>
        </w:rPr>
        <w:t>18</w:t>
      </w:r>
      <w:r w:rsidR="00330493" w:rsidRPr="00595FE6">
        <w:rPr>
          <w:rFonts w:cs="Arial"/>
          <w:szCs w:val="24"/>
        </w:rPr>
        <w:t xml:space="preserve">% to </w:t>
      </w:r>
      <w:r w:rsidR="00521E77" w:rsidRPr="00595FE6">
        <w:rPr>
          <w:rFonts w:cs="Arial"/>
          <w:szCs w:val="24"/>
        </w:rPr>
        <w:t>30</w:t>
      </w:r>
      <w:r w:rsidR="00330493" w:rsidRPr="00595FE6">
        <w:rPr>
          <w:rFonts w:cs="Arial"/>
          <w:szCs w:val="24"/>
        </w:rPr>
        <w:t>%)</w:t>
      </w:r>
    </w:p>
    <w:p w14:paraId="324BD129" w14:textId="38A68DBC" w:rsidR="002A5FE2" w:rsidRDefault="00A77540" w:rsidP="009858E3">
      <w:pPr>
        <w:pStyle w:val="ListParagraph"/>
        <w:numPr>
          <w:ilvl w:val="0"/>
          <w:numId w:val="35"/>
        </w:numPr>
        <w:spacing w:line="240" w:lineRule="auto"/>
        <w:rPr>
          <w:rFonts w:cs="Arial"/>
          <w:szCs w:val="24"/>
        </w:rPr>
      </w:pPr>
      <w:r w:rsidRPr="00595FE6">
        <w:rPr>
          <w:rFonts w:cs="Arial"/>
          <w:szCs w:val="24"/>
        </w:rPr>
        <w:t xml:space="preserve">Increased from </w:t>
      </w:r>
      <w:r w:rsidR="00945ABE" w:rsidRPr="00595FE6">
        <w:rPr>
          <w:rFonts w:cs="Arial"/>
          <w:szCs w:val="24"/>
        </w:rPr>
        <w:t>31</w:t>
      </w:r>
      <w:r w:rsidRPr="00595FE6">
        <w:rPr>
          <w:rFonts w:cs="Arial"/>
          <w:szCs w:val="24"/>
        </w:rPr>
        <w:t xml:space="preserve">% to </w:t>
      </w:r>
      <w:r w:rsidR="00945ABE" w:rsidRPr="00595FE6">
        <w:rPr>
          <w:rFonts w:cs="Arial"/>
          <w:szCs w:val="24"/>
        </w:rPr>
        <w:t>43</w:t>
      </w:r>
      <w:r w:rsidRPr="00595FE6">
        <w:rPr>
          <w:rFonts w:cs="Arial"/>
          <w:szCs w:val="24"/>
        </w:rPr>
        <w:t>% of pupils with an EHC Plan</w:t>
      </w:r>
      <w:r w:rsidR="00DB476C" w:rsidRPr="00595FE6">
        <w:rPr>
          <w:rFonts w:cs="Arial"/>
          <w:szCs w:val="24"/>
        </w:rPr>
        <w:t xml:space="preserve"> (England from 25% to 36%)</w:t>
      </w:r>
      <w:r w:rsidR="00002322" w:rsidRPr="00595FE6">
        <w:rPr>
          <w:rFonts w:cs="Arial"/>
          <w:szCs w:val="24"/>
        </w:rPr>
        <w:t>.</w:t>
      </w:r>
    </w:p>
    <w:p w14:paraId="501EE1D8" w14:textId="6F8106AD" w:rsidR="00D822F8" w:rsidRPr="00332C24" w:rsidRDefault="00834B41" w:rsidP="00D9246A">
      <w:pPr>
        <w:spacing w:line="240" w:lineRule="auto"/>
        <w:rPr>
          <w:b/>
          <w:color w:val="A65588"/>
        </w:rPr>
      </w:pPr>
      <w:r w:rsidRPr="00BE0467">
        <w:rPr>
          <w:rFonts w:cs="Arial"/>
          <w:noProof/>
          <w:szCs w:val="24"/>
        </w:rPr>
        <w:drawing>
          <wp:anchor distT="0" distB="0" distL="114300" distR="114300" simplePos="0" relativeHeight="251658243" behindDoc="0" locked="0" layoutInCell="1" allowOverlap="1" wp14:anchorId="53013DE8" wp14:editId="5E56A848">
            <wp:simplePos x="0" y="0"/>
            <wp:positionH relativeFrom="column">
              <wp:posOffset>4445</wp:posOffset>
            </wp:positionH>
            <wp:positionV relativeFrom="paragraph">
              <wp:posOffset>386080</wp:posOffset>
            </wp:positionV>
            <wp:extent cx="5224145" cy="3390900"/>
            <wp:effectExtent l="0" t="0" r="0" b="0"/>
            <wp:wrapTopAndBottom/>
            <wp:docPr id="276503262" name="Picture 1" descr="Line chart of persistence absence rate (%) by SEN status in Brighton &amp; Hove, 2017/18 to 2023/24.&#10;&#10;Persistent absence rate increased from 9% to 18% in pupils with no SEN, increased from 21% to 34% in pupils with SEN support, and from 31% to 43% in pupils with an EHC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03262" name="Picture 1" descr="Line chart of persistence absence rate (%) by SEN status in Brighton &amp; Hove, 2017/18 to 2023/24.&#10;&#10;Persistent absence rate increased from 9% to 18% in pupils with no SEN, increased from 21% to 34% in pupils with SEN support, and from 31% to 43% in pupils with an EHC plan."/>
                    <pic:cNvPicPr/>
                  </pic:nvPicPr>
                  <pic:blipFill>
                    <a:blip r:embed="rId101">
                      <a:extLst>
                        <a:ext uri="{28A0092B-C50C-407E-A947-70E740481C1C}">
                          <a14:useLocalDpi xmlns:a14="http://schemas.microsoft.com/office/drawing/2010/main" val="0"/>
                        </a:ext>
                      </a:extLst>
                    </a:blip>
                    <a:stretch>
                      <a:fillRect/>
                    </a:stretch>
                  </pic:blipFill>
                  <pic:spPr>
                    <a:xfrm>
                      <a:off x="0" y="0"/>
                      <a:ext cx="5224145" cy="3390900"/>
                    </a:xfrm>
                    <a:prstGeom prst="rect">
                      <a:avLst/>
                    </a:prstGeom>
                  </pic:spPr>
                </pic:pic>
              </a:graphicData>
            </a:graphic>
            <wp14:sizeRelH relativeFrom="margin">
              <wp14:pctWidth>0</wp14:pctWidth>
            </wp14:sizeRelH>
            <wp14:sizeRelV relativeFrom="margin">
              <wp14:pctHeight>0</wp14:pctHeight>
            </wp14:sizeRelV>
          </wp:anchor>
        </w:drawing>
      </w:r>
      <w:r w:rsidR="00FE74AE" w:rsidRPr="00332C24">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30</w:t>
      </w:r>
      <w:r w:rsidR="00CA2D43">
        <w:rPr>
          <w:b/>
          <w:color w:val="A65588"/>
        </w:rPr>
        <w:fldChar w:fldCharType="end"/>
      </w:r>
      <w:r w:rsidR="00FE74AE" w:rsidRPr="00332C24">
        <w:rPr>
          <w:b/>
          <w:color w:val="A65588"/>
        </w:rPr>
        <w:t xml:space="preserve">: Persistent absence rate </w:t>
      </w:r>
      <w:r w:rsidR="00D822F8">
        <w:rPr>
          <w:b/>
          <w:color w:val="A65588"/>
        </w:rPr>
        <w:t xml:space="preserve">(%) </w:t>
      </w:r>
      <w:r w:rsidR="00D822F8" w:rsidRPr="00332C24">
        <w:rPr>
          <w:b/>
          <w:color w:val="A65588"/>
        </w:rPr>
        <w:t>by SEN status</w:t>
      </w:r>
      <w:r w:rsidR="00332C24">
        <w:rPr>
          <w:b/>
          <w:bCs/>
          <w:color w:val="A65588"/>
        </w:rPr>
        <w:t>,</w:t>
      </w:r>
      <w:r w:rsidR="0082205D" w:rsidRPr="00332C24">
        <w:rPr>
          <w:b/>
          <w:color w:val="A65588"/>
        </w:rPr>
        <w:t xml:space="preserve"> </w:t>
      </w:r>
      <w:r w:rsidR="00D822F8" w:rsidRPr="00332C24">
        <w:rPr>
          <w:b/>
          <w:color w:val="A65588"/>
        </w:rPr>
        <w:t>Brighton &amp; Hove</w:t>
      </w:r>
      <w:r w:rsidR="00507146" w:rsidRPr="00332C24">
        <w:rPr>
          <w:b/>
          <w:color w:val="A65588"/>
        </w:rPr>
        <w:t xml:space="preserve">, </w:t>
      </w:r>
      <w:r w:rsidR="00D822F8" w:rsidRPr="00332C24">
        <w:rPr>
          <w:b/>
          <w:color w:val="A65588"/>
        </w:rPr>
        <w:t>2017/2018</w:t>
      </w:r>
      <w:r w:rsidR="00507146" w:rsidRPr="00332C24">
        <w:rPr>
          <w:b/>
          <w:color w:val="A65588"/>
        </w:rPr>
        <w:t xml:space="preserve"> to </w:t>
      </w:r>
      <w:r w:rsidR="00D822F8" w:rsidRPr="00332C24">
        <w:rPr>
          <w:b/>
          <w:color w:val="A65588"/>
        </w:rPr>
        <w:t>2023/2024</w:t>
      </w:r>
    </w:p>
    <w:p w14:paraId="6A7A1526" w14:textId="16942527" w:rsidR="00B83C83" w:rsidRPr="00B83C83" w:rsidRDefault="00B83C83" w:rsidP="00D9246A">
      <w:pPr>
        <w:spacing w:line="240" w:lineRule="auto"/>
        <w:rPr>
          <w:rFonts w:cs="Arial"/>
        </w:rPr>
      </w:pPr>
      <w:r w:rsidRPr="00B83C83">
        <w:rPr>
          <w:rFonts w:cs="Arial"/>
          <w:b/>
          <w:bCs/>
        </w:rPr>
        <w:t>Source:</w:t>
      </w:r>
      <w:r w:rsidRPr="00B83C83">
        <w:rPr>
          <w:rFonts w:cs="Arial"/>
        </w:rPr>
        <w:t xml:space="preserve"> Department for </w:t>
      </w:r>
      <w:r w:rsidR="00D07B6A" w:rsidRPr="000637B6">
        <w:rPr>
          <w:rFonts w:cs="Arial"/>
        </w:rPr>
        <w:t xml:space="preserve">Education Pupil </w:t>
      </w:r>
      <w:r w:rsidR="00C45582">
        <w:rPr>
          <w:rFonts w:cs="Arial"/>
        </w:rPr>
        <w:t xml:space="preserve">persistent </w:t>
      </w:r>
      <w:r w:rsidR="00D07B6A" w:rsidRPr="000637B6">
        <w:rPr>
          <w:rFonts w:cs="Arial"/>
        </w:rPr>
        <w:t>absence</w:t>
      </w:r>
      <w:r w:rsidR="00417CA1">
        <w:rPr>
          <w:rFonts w:cs="Arial"/>
        </w:rPr>
        <w:t xml:space="preserve"> </w:t>
      </w:r>
      <w:r w:rsidR="00D07B6A" w:rsidRPr="000637B6">
        <w:rPr>
          <w:rFonts w:cs="Arial"/>
        </w:rPr>
        <w:t>in schools</w:t>
      </w:r>
      <w:r w:rsidR="00CE697F">
        <w:rPr>
          <w:rFonts w:cs="Arial"/>
        </w:rPr>
        <w:t>,</w:t>
      </w:r>
      <w:r w:rsidR="00D07B6A" w:rsidRPr="000637B6">
        <w:rPr>
          <w:rFonts w:cs="Arial"/>
        </w:rPr>
        <w:t xml:space="preserve"> England </w:t>
      </w:r>
    </w:p>
    <w:p w14:paraId="0DD8B4C7" w14:textId="5AF29099" w:rsidR="0004719A" w:rsidRPr="00595FE6" w:rsidRDefault="0004719A" w:rsidP="0096012C">
      <w:pPr>
        <w:pStyle w:val="Heading3"/>
      </w:pPr>
      <w:r w:rsidRPr="00595FE6">
        <w:t>Reduced timetables</w:t>
      </w:r>
    </w:p>
    <w:p w14:paraId="08ECC18A" w14:textId="77777777" w:rsidR="0099700A" w:rsidRDefault="008D7371" w:rsidP="00D9246A">
      <w:pPr>
        <w:spacing w:line="240" w:lineRule="auto"/>
        <w:rPr>
          <w:rFonts w:cs="Arial"/>
        </w:rPr>
      </w:pPr>
      <w:r w:rsidRPr="008D7371">
        <w:rPr>
          <w:rFonts w:cs="Arial"/>
        </w:rPr>
        <w:t>All pupils of compulsory school age are entitled to a full-time education suitable to their age, aptitude and any special educational needs they may have.</w:t>
      </w:r>
      <w:r w:rsidR="0085065D">
        <w:rPr>
          <w:rFonts w:cs="Arial"/>
        </w:rPr>
        <w:t xml:space="preserve"> </w:t>
      </w:r>
    </w:p>
    <w:p w14:paraId="35E879E6" w14:textId="77777777" w:rsidR="0099700A" w:rsidRDefault="002351F7" w:rsidP="00D9246A">
      <w:pPr>
        <w:spacing w:line="240" w:lineRule="auto"/>
        <w:rPr>
          <w:rFonts w:cs="Arial"/>
        </w:rPr>
      </w:pPr>
      <w:r w:rsidRPr="002351F7">
        <w:rPr>
          <w:rFonts w:cs="Arial"/>
        </w:rPr>
        <w:lastRenderedPageBreak/>
        <w:t>In very exceptional circumstances, where it is in a pupil’s best interest, there may be a need for a school to provide a pupil of compulsory school age with less than full-time education through a temporary part-time timetable to meet their individual needs</w:t>
      </w:r>
      <w:r w:rsidR="00D75A3D">
        <w:rPr>
          <w:rFonts w:cs="Arial"/>
        </w:rPr>
        <w:t xml:space="preserve"> (a reduced timetable)</w:t>
      </w:r>
      <w:r w:rsidRPr="002351F7">
        <w:rPr>
          <w:rFonts w:cs="Arial"/>
        </w:rPr>
        <w:t xml:space="preserve">. For example, where a medical condition prevents a pupil from attending school or another setting full-time and a part-time timetable is used to help the pupil access as much education as possible. </w:t>
      </w:r>
    </w:p>
    <w:p w14:paraId="657D636B" w14:textId="2E95322C" w:rsidR="002351F7" w:rsidRDefault="002351F7" w:rsidP="00D9246A">
      <w:pPr>
        <w:spacing w:line="240" w:lineRule="auto"/>
        <w:rPr>
          <w:rFonts w:cs="Arial"/>
        </w:rPr>
      </w:pPr>
      <w:r w:rsidRPr="002351F7">
        <w:rPr>
          <w:rFonts w:cs="Arial"/>
        </w:rPr>
        <w:t>A part-time timetable should not be used to manage a pupil’s</w:t>
      </w:r>
      <w:r>
        <w:rPr>
          <w:rFonts w:cs="Arial"/>
        </w:rPr>
        <w:t xml:space="preserve"> </w:t>
      </w:r>
      <w:r w:rsidRPr="002351F7">
        <w:rPr>
          <w:rFonts w:cs="Arial"/>
        </w:rPr>
        <w:t>behaviour</w:t>
      </w:r>
      <w:r w:rsidR="00244026">
        <w:rPr>
          <w:rFonts w:cs="Arial"/>
        </w:rPr>
        <w:t xml:space="preserve">, </w:t>
      </w:r>
      <w:r w:rsidR="00B46D01">
        <w:rPr>
          <w:rFonts w:cs="Arial"/>
        </w:rPr>
        <w:t xml:space="preserve">requires </w:t>
      </w:r>
      <w:r w:rsidR="00B46D01" w:rsidRPr="00616C84">
        <w:rPr>
          <w:color w:val="000000" w:themeColor="text1"/>
          <w:szCs w:val="24"/>
        </w:rPr>
        <w:t>written agreement from</w:t>
      </w:r>
      <w:r w:rsidR="00B46D01">
        <w:rPr>
          <w:color w:val="000000" w:themeColor="text1"/>
          <w:szCs w:val="24"/>
        </w:rPr>
        <w:t xml:space="preserve"> </w:t>
      </w:r>
      <w:r w:rsidR="0067747A">
        <w:rPr>
          <w:color w:val="000000" w:themeColor="text1"/>
          <w:szCs w:val="24"/>
        </w:rPr>
        <w:t>a</w:t>
      </w:r>
      <w:r w:rsidR="00B46D01" w:rsidRPr="00616C84">
        <w:rPr>
          <w:color w:val="000000" w:themeColor="text1"/>
          <w:szCs w:val="24"/>
        </w:rPr>
        <w:t xml:space="preserve"> parent/carer</w:t>
      </w:r>
      <w:r w:rsidR="00B46D01">
        <w:rPr>
          <w:color w:val="000000" w:themeColor="text1"/>
          <w:szCs w:val="24"/>
        </w:rPr>
        <w:t>,</w:t>
      </w:r>
      <w:r w:rsidR="00B46D01" w:rsidRPr="00616C84">
        <w:rPr>
          <w:color w:val="000000" w:themeColor="text1"/>
          <w:szCs w:val="24"/>
        </w:rPr>
        <w:t xml:space="preserve"> </w:t>
      </w:r>
      <w:r w:rsidR="009C217A">
        <w:rPr>
          <w:rFonts w:cs="Arial"/>
        </w:rPr>
        <w:t xml:space="preserve">should be an exceptional measure </w:t>
      </w:r>
      <w:r w:rsidR="0099645E">
        <w:rPr>
          <w:rFonts w:cs="Arial"/>
        </w:rPr>
        <w:t>and h</w:t>
      </w:r>
      <w:r w:rsidR="0099645E" w:rsidRPr="00E05115">
        <w:rPr>
          <w:rFonts w:cs="Arial"/>
        </w:rPr>
        <w:t xml:space="preserve">ave a proposed end date that takes into account the circumstances of the pupil, after which the pupil is expected to attend full-time, either at school or </w:t>
      </w:r>
      <w:r w:rsidR="00BD1874">
        <w:rPr>
          <w:rFonts w:cs="Arial"/>
        </w:rPr>
        <w:t xml:space="preserve">an </w:t>
      </w:r>
      <w:r w:rsidR="0099645E" w:rsidRPr="00E05115">
        <w:rPr>
          <w:rFonts w:cs="Arial"/>
        </w:rPr>
        <w:t>alternative provision</w:t>
      </w:r>
      <w:r>
        <w:rPr>
          <w:rFonts w:cs="Arial"/>
        </w:rPr>
        <w:t>.</w:t>
      </w:r>
      <w:r w:rsidR="000675D0">
        <w:rPr>
          <w:rStyle w:val="EndnoteReference"/>
        </w:rPr>
        <w:endnoteReference w:id="65"/>
      </w:r>
    </w:p>
    <w:p w14:paraId="3426608E" w14:textId="6479107C" w:rsidR="003F7461" w:rsidRDefault="004732EB" w:rsidP="00D9246A">
      <w:pPr>
        <w:spacing w:line="240" w:lineRule="auto"/>
        <w:rPr>
          <w:rFonts w:cs="Arial"/>
          <w:b/>
        </w:rPr>
      </w:pPr>
      <w:r>
        <w:rPr>
          <w:rFonts w:cs="Arial"/>
        </w:rPr>
        <w:t xml:space="preserve">The reduced timetables </w:t>
      </w:r>
      <w:r w:rsidR="00772E16">
        <w:rPr>
          <w:rFonts w:cs="Arial"/>
        </w:rPr>
        <w:t xml:space="preserve">(RTT) </w:t>
      </w:r>
      <w:r>
        <w:rPr>
          <w:rFonts w:cs="Arial"/>
        </w:rPr>
        <w:t xml:space="preserve">data </w:t>
      </w:r>
      <w:r w:rsidR="0099700A">
        <w:rPr>
          <w:rFonts w:cs="Arial"/>
        </w:rPr>
        <w:t>is available for</w:t>
      </w:r>
      <w:r>
        <w:rPr>
          <w:rFonts w:cs="Arial"/>
        </w:rPr>
        <w:t xml:space="preserve"> pupils from reception year to year 11 across all schools</w:t>
      </w:r>
      <w:r w:rsidR="0019338A" w:rsidRPr="0019338A">
        <w:rPr>
          <w:rFonts w:cs="Arial"/>
        </w:rPr>
        <w:t xml:space="preserve"> -</w:t>
      </w:r>
      <w:r>
        <w:rPr>
          <w:rFonts w:cs="Arial"/>
        </w:rPr>
        <w:t xml:space="preserve"> including academies, special schools, and </w:t>
      </w:r>
      <w:r w:rsidR="0019338A" w:rsidRPr="0019338A">
        <w:rPr>
          <w:rFonts w:cs="Arial"/>
        </w:rPr>
        <w:t xml:space="preserve">the </w:t>
      </w:r>
      <w:r w:rsidR="00F729C2">
        <w:rPr>
          <w:rFonts w:cs="Arial"/>
        </w:rPr>
        <w:t>P</w:t>
      </w:r>
      <w:r w:rsidR="0019338A" w:rsidRPr="0019338A">
        <w:rPr>
          <w:rFonts w:cs="Arial"/>
        </w:rPr>
        <w:t xml:space="preserve">upil </w:t>
      </w:r>
      <w:r w:rsidR="00F729C2">
        <w:rPr>
          <w:rFonts w:cs="Arial"/>
        </w:rPr>
        <w:t>R</w:t>
      </w:r>
      <w:r w:rsidR="0019338A" w:rsidRPr="0019338A">
        <w:rPr>
          <w:rFonts w:cs="Arial"/>
        </w:rPr>
        <w:t xml:space="preserve">eferral </w:t>
      </w:r>
      <w:r w:rsidR="00F729C2">
        <w:rPr>
          <w:rFonts w:cs="Arial"/>
        </w:rPr>
        <w:t>U</w:t>
      </w:r>
      <w:r w:rsidR="0019338A" w:rsidRPr="0019338A">
        <w:rPr>
          <w:rFonts w:cs="Arial"/>
        </w:rPr>
        <w:t>nit</w:t>
      </w:r>
      <w:r w:rsidR="00F729C2">
        <w:rPr>
          <w:rFonts w:cs="Arial"/>
        </w:rPr>
        <w:t xml:space="preserve"> (PRU),</w:t>
      </w:r>
      <w:r>
        <w:rPr>
          <w:rFonts w:cs="Arial"/>
        </w:rPr>
        <w:t xml:space="preserve"> except </w:t>
      </w:r>
      <w:r w:rsidR="0019338A" w:rsidRPr="0019338A">
        <w:rPr>
          <w:rFonts w:cs="Arial"/>
        </w:rPr>
        <w:t xml:space="preserve">for </w:t>
      </w:r>
      <w:r>
        <w:rPr>
          <w:rFonts w:cs="Arial"/>
        </w:rPr>
        <w:t>private schools</w:t>
      </w:r>
      <w:r w:rsidRPr="0019338A">
        <w:rPr>
          <w:rFonts w:cs="Arial"/>
          <w:b/>
        </w:rPr>
        <w:t>.</w:t>
      </w:r>
      <w:r>
        <w:rPr>
          <w:rFonts w:cs="Arial"/>
          <w:b/>
        </w:rPr>
        <w:t xml:space="preserve"> </w:t>
      </w:r>
      <w:r w:rsidR="00BA78D7" w:rsidRPr="00DD30E9">
        <w:rPr>
          <w:rFonts w:cs="Arial"/>
          <w:bCs/>
        </w:rPr>
        <w:t>The data is provided directly by schools</w:t>
      </w:r>
      <w:r w:rsidR="000A77BD" w:rsidRPr="00DD30E9">
        <w:rPr>
          <w:rFonts w:cs="Arial"/>
          <w:bCs/>
        </w:rPr>
        <w:t>.</w:t>
      </w:r>
      <w:r w:rsidR="000A77BD">
        <w:rPr>
          <w:rFonts w:cs="Arial"/>
          <w:b/>
        </w:rPr>
        <w:t xml:space="preserve"> </w:t>
      </w:r>
      <w:r w:rsidR="00C52DFB" w:rsidRPr="6E5FFF8F">
        <w:rPr>
          <w:rFonts w:cs="Arial"/>
        </w:rPr>
        <w:t>There is no</w:t>
      </w:r>
      <w:r w:rsidR="00C52DFB">
        <w:rPr>
          <w:rFonts w:cs="Arial"/>
        </w:rPr>
        <w:t xml:space="preserve"> </w:t>
      </w:r>
      <w:r w:rsidR="00C52DFB" w:rsidRPr="6E5FFF8F">
        <w:rPr>
          <w:rFonts w:cs="Arial"/>
        </w:rPr>
        <w:t>comparat</w:t>
      </w:r>
      <w:r w:rsidR="00C52DFB">
        <w:rPr>
          <w:rFonts w:cs="Arial"/>
        </w:rPr>
        <w:t>ive data</w:t>
      </w:r>
      <w:r w:rsidR="00C52DFB" w:rsidRPr="6E5FFF8F">
        <w:rPr>
          <w:rFonts w:cs="Arial"/>
        </w:rPr>
        <w:t xml:space="preserve"> for England available</w:t>
      </w:r>
      <w:r w:rsidR="00C52DFB">
        <w:rPr>
          <w:rFonts w:cs="Arial"/>
        </w:rPr>
        <w:t>.</w:t>
      </w:r>
      <w:r w:rsidR="00093DB4">
        <w:rPr>
          <w:rFonts w:cs="Arial"/>
        </w:rPr>
        <w:t xml:space="preserve"> </w:t>
      </w:r>
      <w:r w:rsidR="00093DB4" w:rsidRPr="009B242F">
        <w:rPr>
          <w:rFonts w:cs="Arial"/>
        </w:rPr>
        <w:t xml:space="preserve">Tables are available in Appendix </w:t>
      </w:r>
      <w:r w:rsidR="009B242F" w:rsidRPr="009B242F">
        <w:rPr>
          <w:rFonts w:cs="Arial"/>
        </w:rPr>
        <w:t>2</w:t>
      </w:r>
      <w:r w:rsidR="00093DB4" w:rsidRPr="009B242F">
        <w:rPr>
          <w:rFonts w:cs="Arial"/>
        </w:rPr>
        <w:t>.</w:t>
      </w:r>
    </w:p>
    <w:p w14:paraId="133FCA13" w14:textId="427F16DE" w:rsidR="00A96A01" w:rsidRPr="00595FE6" w:rsidRDefault="00767BAD" w:rsidP="00D9246A">
      <w:pPr>
        <w:spacing w:line="240" w:lineRule="auto"/>
        <w:rPr>
          <w:rFonts w:cs="Arial"/>
        </w:rPr>
      </w:pPr>
      <w:r w:rsidRPr="009A37B7">
        <w:rPr>
          <w:rFonts w:cs="Arial"/>
          <w:b/>
          <w:color w:val="0079C2"/>
          <w:szCs w:val="24"/>
        </w:rPr>
        <w:t>Total</w:t>
      </w:r>
      <w:r w:rsidR="00EA6962" w:rsidRPr="009A37B7">
        <w:rPr>
          <w:rFonts w:cs="Arial"/>
          <w:b/>
          <w:color w:val="0079C2"/>
          <w:szCs w:val="24"/>
        </w:rPr>
        <w:t xml:space="preserve"> pupils</w:t>
      </w:r>
      <w:r w:rsidR="0085533C" w:rsidRPr="009A37B7">
        <w:rPr>
          <w:rFonts w:cs="Arial"/>
          <w:b/>
          <w:bCs/>
          <w:color w:val="0079C2"/>
          <w:szCs w:val="24"/>
        </w:rPr>
        <w:t>:</w:t>
      </w:r>
      <w:r w:rsidR="00EC2156">
        <w:rPr>
          <w:rFonts w:cs="Arial"/>
        </w:rPr>
        <w:t xml:space="preserve"> </w:t>
      </w:r>
      <w:r w:rsidR="00C52DFB">
        <w:rPr>
          <w:rFonts w:cs="Arial"/>
        </w:rPr>
        <w:t>I</w:t>
      </w:r>
      <w:r w:rsidRPr="6E5FFF8F">
        <w:rPr>
          <w:rFonts w:cs="Arial"/>
        </w:rPr>
        <w:t>n 2024</w:t>
      </w:r>
      <w:r>
        <w:rPr>
          <w:rFonts w:cs="Arial"/>
        </w:rPr>
        <w:t xml:space="preserve"> </w:t>
      </w:r>
      <w:r w:rsidRPr="6E5FFF8F">
        <w:rPr>
          <w:rFonts w:cs="Arial"/>
        </w:rPr>
        <w:t>2.3% (726) of pupils in Brighton &amp; Hove were on reduced timetables</w:t>
      </w:r>
      <w:r>
        <w:rPr>
          <w:rFonts w:cs="Arial"/>
        </w:rPr>
        <w:t xml:space="preserve"> register, in </w:t>
      </w:r>
      <w:r w:rsidRPr="6E5FFF8F">
        <w:rPr>
          <w:rFonts w:cs="Arial"/>
        </w:rPr>
        <w:t>2023</w:t>
      </w:r>
      <w:r>
        <w:rPr>
          <w:rFonts w:cs="Arial"/>
        </w:rPr>
        <w:t xml:space="preserve"> </w:t>
      </w:r>
      <w:r w:rsidRPr="6E5FFF8F">
        <w:rPr>
          <w:rFonts w:cs="Arial"/>
        </w:rPr>
        <w:t xml:space="preserve">1.9% (595) </w:t>
      </w:r>
      <w:r w:rsidR="005B7C9B">
        <w:rPr>
          <w:rFonts w:cs="Arial"/>
        </w:rPr>
        <w:t xml:space="preserve">and </w:t>
      </w:r>
      <w:r w:rsidR="00866B44" w:rsidRPr="6E5FFF8F">
        <w:rPr>
          <w:rFonts w:cs="Arial"/>
        </w:rPr>
        <w:t>2022, 2</w:t>
      </w:r>
      <w:r w:rsidR="00D26A1B" w:rsidRPr="6E5FFF8F">
        <w:rPr>
          <w:rFonts w:cs="Arial"/>
        </w:rPr>
        <w:t>.1</w:t>
      </w:r>
      <w:r w:rsidR="00866B44" w:rsidRPr="6E5FFF8F">
        <w:rPr>
          <w:rFonts w:cs="Arial"/>
        </w:rPr>
        <w:t>% (662</w:t>
      </w:r>
      <w:r w:rsidR="005B7C9B">
        <w:rPr>
          <w:rFonts w:cs="Arial"/>
        </w:rPr>
        <w:t>)</w:t>
      </w:r>
      <w:r w:rsidR="00B812F5" w:rsidRPr="6E5FFF8F">
        <w:rPr>
          <w:rFonts w:cs="Arial"/>
        </w:rPr>
        <w:t>.</w:t>
      </w:r>
      <w:r w:rsidR="15723F4A" w:rsidRPr="6E5FFF8F">
        <w:rPr>
          <w:rFonts w:cs="Arial"/>
        </w:rPr>
        <w:t xml:space="preserve"> </w:t>
      </w:r>
    </w:p>
    <w:p w14:paraId="12F00954" w14:textId="427D0B5E" w:rsidR="006335EF" w:rsidRPr="00595FE6" w:rsidRDefault="006335EF" w:rsidP="00D9246A">
      <w:pPr>
        <w:spacing w:line="240" w:lineRule="auto"/>
      </w:pPr>
      <w:r w:rsidRPr="009A37B7">
        <w:rPr>
          <w:rFonts w:cs="Arial"/>
          <w:b/>
          <w:color w:val="0079C2"/>
          <w:szCs w:val="24"/>
        </w:rPr>
        <w:t>SEN</w:t>
      </w:r>
      <w:r w:rsidR="00B831E5" w:rsidRPr="009A37B7">
        <w:rPr>
          <w:rFonts w:cs="Arial"/>
          <w:b/>
          <w:color w:val="0079C2"/>
          <w:szCs w:val="24"/>
        </w:rPr>
        <w:t xml:space="preserve"> pupils</w:t>
      </w:r>
      <w:r w:rsidRPr="009A37B7">
        <w:rPr>
          <w:rFonts w:cs="Arial"/>
          <w:b/>
          <w:color w:val="0079C2"/>
          <w:szCs w:val="24"/>
        </w:rPr>
        <w:t>:</w:t>
      </w:r>
      <w:r>
        <w:rPr>
          <w:rFonts w:cs="Arial"/>
          <w:b/>
          <w:bCs/>
          <w:noProof/>
          <w:szCs w:val="24"/>
        </w:rPr>
        <w:t xml:space="preserve"> </w:t>
      </w:r>
      <w:r w:rsidRPr="007E24F1">
        <w:rPr>
          <w:rFonts w:cs="Arial"/>
          <w:szCs w:val="24"/>
        </w:rPr>
        <w:t xml:space="preserve">In 2024, 9% of </w:t>
      </w:r>
      <w:r>
        <w:rPr>
          <w:rFonts w:cs="Arial"/>
          <w:szCs w:val="24"/>
        </w:rPr>
        <w:t xml:space="preserve">SEN </w:t>
      </w:r>
      <w:r w:rsidRPr="007E24F1">
        <w:rPr>
          <w:rFonts w:cs="Arial"/>
          <w:szCs w:val="24"/>
        </w:rPr>
        <w:t>pupils</w:t>
      </w:r>
      <w:r>
        <w:rPr>
          <w:rFonts w:cs="Arial"/>
          <w:szCs w:val="24"/>
        </w:rPr>
        <w:t xml:space="preserve"> were </w:t>
      </w:r>
      <w:r w:rsidRPr="007E24F1">
        <w:rPr>
          <w:rFonts w:cs="Arial"/>
          <w:szCs w:val="24"/>
        </w:rPr>
        <w:t>on reduced timetables</w:t>
      </w:r>
      <w:r>
        <w:rPr>
          <w:rFonts w:cs="Arial"/>
          <w:szCs w:val="24"/>
        </w:rPr>
        <w:t xml:space="preserve"> (601 of 6,845), </w:t>
      </w:r>
      <w:r w:rsidRPr="007E24F1">
        <w:rPr>
          <w:rFonts w:cs="Arial"/>
          <w:szCs w:val="24"/>
        </w:rPr>
        <w:t>16</w:t>
      </w:r>
      <w:r w:rsidRPr="007E24F1">
        <w:rPr>
          <w:rFonts w:cs="Arial"/>
          <w:noProof/>
          <w:szCs w:val="24"/>
        </w:rPr>
        <w:t>%</w:t>
      </w:r>
      <w:r>
        <w:rPr>
          <w:rFonts w:cs="Arial"/>
          <w:noProof/>
          <w:szCs w:val="24"/>
        </w:rPr>
        <w:t xml:space="preserve"> of</w:t>
      </w:r>
      <w:r w:rsidRPr="007E24F1">
        <w:rPr>
          <w:rFonts w:cs="Arial"/>
          <w:noProof/>
          <w:szCs w:val="24"/>
        </w:rPr>
        <w:t xml:space="preserve"> pupils</w:t>
      </w:r>
      <w:r>
        <w:rPr>
          <w:rFonts w:cs="Arial"/>
          <w:noProof/>
          <w:szCs w:val="24"/>
        </w:rPr>
        <w:t xml:space="preserve"> </w:t>
      </w:r>
      <w:r w:rsidRPr="007E24F1">
        <w:rPr>
          <w:rFonts w:cs="Arial"/>
          <w:noProof/>
          <w:szCs w:val="24"/>
        </w:rPr>
        <w:t xml:space="preserve">on </w:t>
      </w:r>
      <w:r w:rsidR="001572D3">
        <w:rPr>
          <w:rFonts w:cs="Arial"/>
          <w:noProof/>
          <w:szCs w:val="24"/>
        </w:rPr>
        <w:t>EHC Plan</w:t>
      </w:r>
      <w:r w:rsidRPr="007E24F1">
        <w:rPr>
          <w:rFonts w:cs="Arial"/>
          <w:noProof/>
          <w:szCs w:val="24"/>
        </w:rPr>
        <w:t xml:space="preserve"> </w:t>
      </w:r>
      <w:r w:rsidR="0032270D">
        <w:rPr>
          <w:rFonts w:cs="Arial"/>
          <w:noProof/>
          <w:szCs w:val="24"/>
        </w:rPr>
        <w:t xml:space="preserve">(255 </w:t>
      </w:r>
      <w:r w:rsidR="0032270D" w:rsidRPr="00C52DFB">
        <w:rPr>
          <w:rFonts w:cs="Arial"/>
        </w:rPr>
        <w:t>of</w:t>
      </w:r>
      <w:r w:rsidR="0032270D">
        <w:rPr>
          <w:rFonts w:cs="Arial"/>
          <w:noProof/>
          <w:szCs w:val="24"/>
        </w:rPr>
        <w:t xml:space="preserve"> 1,627) </w:t>
      </w:r>
      <w:r w:rsidRPr="007E24F1">
        <w:rPr>
          <w:rFonts w:cs="Arial"/>
          <w:noProof/>
          <w:szCs w:val="24"/>
        </w:rPr>
        <w:t xml:space="preserve">and </w:t>
      </w:r>
      <w:r>
        <w:rPr>
          <w:rFonts w:cs="Arial"/>
          <w:noProof/>
          <w:szCs w:val="24"/>
        </w:rPr>
        <w:t>7% pupils</w:t>
      </w:r>
      <w:r w:rsidR="002376D7">
        <w:rPr>
          <w:rFonts w:cs="Arial"/>
          <w:noProof/>
          <w:szCs w:val="24"/>
        </w:rPr>
        <w:t xml:space="preserve"> </w:t>
      </w:r>
      <w:r w:rsidRPr="007E24F1">
        <w:rPr>
          <w:rFonts w:cs="Arial"/>
          <w:noProof/>
          <w:szCs w:val="24"/>
        </w:rPr>
        <w:t>on SEN Support</w:t>
      </w:r>
      <w:r w:rsidR="002376D7">
        <w:rPr>
          <w:rFonts w:cs="Arial"/>
          <w:noProof/>
          <w:szCs w:val="24"/>
        </w:rPr>
        <w:t xml:space="preserve"> (346 of 5,218)</w:t>
      </w:r>
      <w:r w:rsidRPr="007E24F1">
        <w:rPr>
          <w:rFonts w:cs="Arial"/>
          <w:noProof/>
          <w:szCs w:val="24"/>
        </w:rPr>
        <w:t>.</w:t>
      </w:r>
      <w:r>
        <w:rPr>
          <w:rFonts w:cs="Arial"/>
          <w:noProof/>
          <w:szCs w:val="24"/>
        </w:rPr>
        <w:t xml:space="preserve"> This had increased </w:t>
      </w:r>
      <w:r w:rsidR="00D661E8">
        <w:rPr>
          <w:rFonts w:cs="Arial"/>
          <w:noProof/>
          <w:szCs w:val="24"/>
        </w:rPr>
        <w:t xml:space="preserve">slightly </w:t>
      </w:r>
      <w:r>
        <w:rPr>
          <w:rFonts w:cs="Arial"/>
          <w:noProof/>
          <w:szCs w:val="24"/>
        </w:rPr>
        <w:t>from</w:t>
      </w:r>
      <w:r w:rsidR="00E21DD6">
        <w:rPr>
          <w:rFonts w:cs="Arial"/>
          <w:szCs w:val="24"/>
        </w:rPr>
        <w:t xml:space="preserve"> </w:t>
      </w:r>
      <w:r w:rsidR="00124EF3">
        <w:rPr>
          <w:rFonts w:cs="Arial"/>
          <w:szCs w:val="24"/>
        </w:rPr>
        <w:t>8%</w:t>
      </w:r>
      <w:r w:rsidR="00CE1FAB">
        <w:rPr>
          <w:rFonts w:cs="Arial"/>
          <w:szCs w:val="24"/>
        </w:rPr>
        <w:t xml:space="preserve"> </w:t>
      </w:r>
      <w:r w:rsidR="00177FB1">
        <w:rPr>
          <w:rFonts w:cs="Arial"/>
          <w:szCs w:val="24"/>
        </w:rPr>
        <w:t xml:space="preserve">of </w:t>
      </w:r>
      <w:r w:rsidR="00D661E8">
        <w:rPr>
          <w:rFonts w:cs="Arial"/>
          <w:szCs w:val="24"/>
        </w:rPr>
        <w:t xml:space="preserve">SEN </w:t>
      </w:r>
      <w:r w:rsidR="00177FB1">
        <w:rPr>
          <w:rFonts w:cs="Arial"/>
          <w:szCs w:val="24"/>
        </w:rPr>
        <w:t xml:space="preserve">pupils </w:t>
      </w:r>
      <w:r w:rsidR="00733CD2">
        <w:rPr>
          <w:rFonts w:cs="Arial"/>
          <w:szCs w:val="24"/>
        </w:rPr>
        <w:t>in 2023 (</w:t>
      </w:r>
      <w:r w:rsidR="00A47D56">
        <w:rPr>
          <w:rFonts w:cs="Arial"/>
          <w:szCs w:val="24"/>
        </w:rPr>
        <w:t xml:space="preserve">490 </w:t>
      </w:r>
      <w:r w:rsidR="00F63A9C">
        <w:rPr>
          <w:rFonts w:cs="Arial"/>
          <w:szCs w:val="24"/>
        </w:rPr>
        <w:t>o</w:t>
      </w:r>
      <w:r w:rsidR="009B50EB">
        <w:rPr>
          <w:rFonts w:cs="Arial"/>
          <w:szCs w:val="24"/>
        </w:rPr>
        <w:t>f 6,</w:t>
      </w:r>
      <w:r w:rsidR="003C5006">
        <w:rPr>
          <w:rFonts w:cs="Arial"/>
          <w:szCs w:val="24"/>
        </w:rPr>
        <w:t>380)</w:t>
      </w:r>
      <w:r w:rsidR="005F30B5">
        <w:rPr>
          <w:rFonts w:cs="Arial"/>
          <w:szCs w:val="24"/>
        </w:rPr>
        <w:t xml:space="preserve"> </w:t>
      </w:r>
      <w:r w:rsidR="00D96D17">
        <w:rPr>
          <w:rFonts w:cs="Arial"/>
          <w:szCs w:val="24"/>
        </w:rPr>
        <w:t>and 8% in 2022 (506 of</w:t>
      </w:r>
      <w:r w:rsidR="007477E7">
        <w:t xml:space="preserve"> </w:t>
      </w:r>
      <w:r w:rsidR="007477E7">
        <w:rPr>
          <w:rFonts w:cs="Arial"/>
          <w:szCs w:val="24"/>
        </w:rPr>
        <w:t>6,061)</w:t>
      </w:r>
      <w:r w:rsidR="00B7251A">
        <w:rPr>
          <w:rFonts w:cs="Arial"/>
          <w:szCs w:val="24"/>
        </w:rPr>
        <w:t>.</w:t>
      </w:r>
      <w:r>
        <w:t xml:space="preserve"> </w:t>
      </w:r>
    </w:p>
    <w:p w14:paraId="4EC05A2A" w14:textId="68311ABF" w:rsidR="00A12BF3" w:rsidRPr="00595FE6" w:rsidRDefault="00C52DFB" w:rsidP="00D9246A">
      <w:pPr>
        <w:spacing w:line="240" w:lineRule="auto"/>
        <w:rPr>
          <w:rFonts w:cs="Arial"/>
          <w:b/>
          <w:bCs/>
          <w:szCs w:val="24"/>
        </w:rPr>
      </w:pPr>
      <w:r>
        <w:rPr>
          <w:rFonts w:cs="Arial"/>
          <w:b/>
          <w:bCs/>
          <w:color w:val="0079C2"/>
          <w:szCs w:val="24"/>
        </w:rPr>
        <w:t>By</w:t>
      </w:r>
      <w:r w:rsidR="005E2211">
        <w:rPr>
          <w:rFonts w:cs="Arial"/>
          <w:b/>
          <w:color w:val="0079C2"/>
          <w:szCs w:val="24"/>
        </w:rPr>
        <w:t xml:space="preserve"> </w:t>
      </w:r>
      <w:r w:rsidR="008C6B72">
        <w:rPr>
          <w:rFonts w:cs="Arial"/>
          <w:b/>
          <w:color w:val="0079C2"/>
          <w:szCs w:val="24"/>
        </w:rPr>
        <w:t>i</w:t>
      </w:r>
      <w:r w:rsidR="008C6B72" w:rsidRPr="009A37B7">
        <w:rPr>
          <w:rFonts w:cs="Arial"/>
          <w:b/>
          <w:color w:val="0079C2"/>
          <w:szCs w:val="24"/>
        </w:rPr>
        <w:t xml:space="preserve">dentified </w:t>
      </w:r>
      <w:r w:rsidR="005E2211" w:rsidRPr="009A37B7">
        <w:rPr>
          <w:rFonts w:cs="Arial"/>
          <w:b/>
          <w:color w:val="0079C2"/>
          <w:szCs w:val="24"/>
        </w:rPr>
        <w:t>S</w:t>
      </w:r>
      <w:r w:rsidR="00F27021" w:rsidRPr="009A37B7">
        <w:rPr>
          <w:rFonts w:cs="Arial"/>
          <w:b/>
          <w:color w:val="0079C2"/>
          <w:szCs w:val="24"/>
        </w:rPr>
        <w:t>EN</w:t>
      </w:r>
      <w:r w:rsidR="00312853" w:rsidRPr="009A37B7">
        <w:rPr>
          <w:rFonts w:cs="Arial"/>
          <w:b/>
          <w:color w:val="0079C2"/>
          <w:szCs w:val="24"/>
        </w:rPr>
        <w:t>D</w:t>
      </w:r>
      <w:r w:rsidR="003F3E1B" w:rsidRPr="009A37B7">
        <w:rPr>
          <w:rFonts w:cs="Arial"/>
          <w:b/>
          <w:color w:val="0079C2"/>
          <w:szCs w:val="24"/>
        </w:rPr>
        <w:t xml:space="preserve"> </w:t>
      </w:r>
      <w:r w:rsidR="00A63F9B" w:rsidRPr="009A37B7">
        <w:rPr>
          <w:rFonts w:cs="Arial"/>
          <w:b/>
          <w:color w:val="0079C2"/>
          <w:szCs w:val="24"/>
        </w:rPr>
        <w:t>need</w:t>
      </w:r>
      <w:r w:rsidR="00BA4C31">
        <w:rPr>
          <w:rStyle w:val="FootnoteReference"/>
          <w:b/>
          <w:bCs/>
          <w:color w:val="0079C2"/>
          <w:szCs w:val="24"/>
        </w:rPr>
        <w:footnoteReference w:id="6"/>
      </w:r>
      <w:r w:rsidR="00E42B91" w:rsidRPr="009A37B7">
        <w:rPr>
          <w:rFonts w:cs="Arial"/>
          <w:b/>
          <w:bCs/>
          <w:color w:val="0079C2"/>
          <w:szCs w:val="24"/>
        </w:rPr>
        <w:t>:</w:t>
      </w:r>
      <w:r w:rsidR="007C6C56" w:rsidRPr="007C6C56">
        <w:rPr>
          <w:rFonts w:cs="Arial"/>
        </w:rPr>
        <w:t xml:space="preserve"> </w:t>
      </w:r>
      <w:r w:rsidR="004E22CD" w:rsidRPr="00405BAF">
        <w:rPr>
          <w:rFonts w:cs="Arial"/>
        </w:rPr>
        <w:t xml:space="preserve">In 2024, </w:t>
      </w:r>
      <w:r w:rsidR="004E22CD">
        <w:rPr>
          <w:rFonts w:cs="Arial"/>
        </w:rPr>
        <w:t xml:space="preserve">there was a total of </w:t>
      </w:r>
      <w:r w:rsidR="004E22CD" w:rsidRPr="00405BAF">
        <w:rPr>
          <w:rFonts w:cs="Arial"/>
        </w:rPr>
        <w:t>551 pupils</w:t>
      </w:r>
      <w:r w:rsidR="007A5237">
        <w:rPr>
          <w:rFonts w:cs="Arial"/>
        </w:rPr>
        <w:t xml:space="preserve"> (EH</w:t>
      </w:r>
      <w:r w:rsidR="003B0529">
        <w:rPr>
          <w:rFonts w:cs="Arial"/>
        </w:rPr>
        <w:t>C</w:t>
      </w:r>
      <w:r w:rsidR="007A5237">
        <w:rPr>
          <w:rFonts w:cs="Arial"/>
        </w:rPr>
        <w:t xml:space="preserve"> Plan </w:t>
      </w:r>
      <w:r w:rsidR="009B5F77">
        <w:rPr>
          <w:rFonts w:cs="Arial"/>
        </w:rPr>
        <w:t xml:space="preserve">or </w:t>
      </w:r>
      <w:r w:rsidR="004F4855">
        <w:rPr>
          <w:rFonts w:cs="Arial"/>
        </w:rPr>
        <w:t xml:space="preserve">SEN </w:t>
      </w:r>
      <w:r w:rsidR="009B5F77">
        <w:rPr>
          <w:rFonts w:cs="Arial"/>
        </w:rPr>
        <w:t>Support</w:t>
      </w:r>
      <w:r w:rsidR="003B0529">
        <w:rPr>
          <w:rFonts w:cs="Arial"/>
        </w:rPr>
        <w:t>)</w:t>
      </w:r>
      <w:r w:rsidR="009B5F77">
        <w:rPr>
          <w:rFonts w:cs="Arial"/>
        </w:rPr>
        <w:t xml:space="preserve"> </w:t>
      </w:r>
      <w:r w:rsidR="004E22CD" w:rsidRPr="00405BAF">
        <w:rPr>
          <w:rFonts w:cs="Arial"/>
        </w:rPr>
        <w:t>with</w:t>
      </w:r>
      <w:r w:rsidR="004E22CD">
        <w:rPr>
          <w:rFonts w:cs="Arial"/>
        </w:rPr>
        <w:t xml:space="preserve"> a primary need</w:t>
      </w:r>
      <w:r w:rsidR="004E22CD" w:rsidRPr="00405BAF">
        <w:rPr>
          <w:rFonts w:cs="Arial"/>
        </w:rPr>
        <w:t xml:space="preserve"> </w:t>
      </w:r>
      <w:r w:rsidR="004E22CD">
        <w:rPr>
          <w:rFonts w:cs="Arial"/>
        </w:rPr>
        <w:t xml:space="preserve">recorded </w:t>
      </w:r>
      <w:r w:rsidR="004E22CD" w:rsidRPr="00405BAF">
        <w:rPr>
          <w:rFonts w:cs="Arial"/>
        </w:rPr>
        <w:t>on the register</w:t>
      </w:r>
      <w:r w:rsidR="004E22CD">
        <w:rPr>
          <w:rFonts w:cs="Arial"/>
        </w:rPr>
        <w:t xml:space="preserve"> </w:t>
      </w:r>
      <w:r w:rsidR="006D47BA">
        <w:rPr>
          <w:rFonts w:cs="Arial"/>
        </w:rPr>
        <w:t xml:space="preserve">(out of </w:t>
      </w:r>
      <w:r w:rsidR="00E3577F">
        <w:rPr>
          <w:rFonts w:cs="Arial"/>
        </w:rPr>
        <w:t>601 total SEN</w:t>
      </w:r>
      <w:r w:rsidR="004B3BDC">
        <w:rPr>
          <w:rFonts w:cs="Arial"/>
        </w:rPr>
        <w:t xml:space="preserve"> recorded</w:t>
      </w:r>
      <w:r w:rsidR="00E3577F">
        <w:rPr>
          <w:rFonts w:cs="Arial"/>
        </w:rPr>
        <w:t xml:space="preserve">) </w:t>
      </w:r>
      <w:r w:rsidR="004E22CD">
        <w:rPr>
          <w:rFonts w:cs="Arial"/>
        </w:rPr>
        <w:t xml:space="preserve">– </w:t>
      </w:r>
      <w:r w:rsidR="00362E8E">
        <w:rPr>
          <w:rFonts w:cs="Arial"/>
        </w:rPr>
        <w:t>those with a known</w:t>
      </w:r>
      <w:r w:rsidR="0008206A">
        <w:rPr>
          <w:rFonts w:cs="Arial"/>
        </w:rPr>
        <w:t xml:space="preserve"> primary </w:t>
      </w:r>
      <w:r w:rsidR="00C55EF5">
        <w:rPr>
          <w:rFonts w:cs="Arial"/>
        </w:rPr>
        <w:t xml:space="preserve">SEND </w:t>
      </w:r>
      <w:r w:rsidR="0008206A">
        <w:rPr>
          <w:rFonts w:cs="Arial"/>
        </w:rPr>
        <w:t xml:space="preserve">need </w:t>
      </w:r>
      <w:r w:rsidR="004E22CD">
        <w:rPr>
          <w:rFonts w:cs="Arial"/>
        </w:rPr>
        <w:t>mak</w:t>
      </w:r>
      <w:r w:rsidR="0008206A">
        <w:rPr>
          <w:rFonts w:cs="Arial"/>
        </w:rPr>
        <w:t>es</w:t>
      </w:r>
      <w:r w:rsidR="004E22CD">
        <w:rPr>
          <w:rFonts w:cs="Arial"/>
        </w:rPr>
        <w:t xml:space="preserve"> up 76% of those on reduced timetables</w:t>
      </w:r>
      <w:r w:rsidR="004E22CD" w:rsidRPr="00405BAF">
        <w:rPr>
          <w:rFonts w:cs="Arial"/>
        </w:rPr>
        <w:t xml:space="preserve">. </w:t>
      </w:r>
      <w:r w:rsidR="004E22CD">
        <w:rPr>
          <w:rFonts w:cs="Arial"/>
        </w:rPr>
        <w:t xml:space="preserve">An increase from 401 (67%) in 2023 and 482 (73%) in 2022. </w:t>
      </w:r>
      <w:r w:rsidR="00555DFC">
        <w:rPr>
          <w:rFonts w:cs="Arial"/>
          <w:bCs/>
          <w:szCs w:val="24"/>
        </w:rPr>
        <w:t>I</w:t>
      </w:r>
      <w:r w:rsidR="00E90A87">
        <w:rPr>
          <w:rFonts w:cs="Arial"/>
          <w:bCs/>
          <w:szCs w:val="24"/>
        </w:rPr>
        <w:t>n 20</w:t>
      </w:r>
      <w:r w:rsidR="0052727E">
        <w:rPr>
          <w:rFonts w:cs="Arial"/>
          <w:bCs/>
          <w:szCs w:val="24"/>
        </w:rPr>
        <w:t>24</w:t>
      </w:r>
      <w:r w:rsidR="001757C7" w:rsidRPr="000310BF">
        <w:rPr>
          <w:rFonts w:cs="Arial"/>
          <w:bCs/>
          <w:szCs w:val="24"/>
        </w:rPr>
        <w:t xml:space="preserve"> </w:t>
      </w:r>
      <w:r w:rsidR="00555DFC">
        <w:rPr>
          <w:rFonts w:cs="Arial"/>
          <w:bCs/>
          <w:szCs w:val="24"/>
        </w:rPr>
        <w:t>32%</w:t>
      </w:r>
      <w:r w:rsidR="00FB1BE8" w:rsidRPr="000310BF">
        <w:rPr>
          <w:rFonts w:cs="Arial"/>
          <w:bCs/>
          <w:szCs w:val="24"/>
        </w:rPr>
        <w:t xml:space="preserve"> of</w:t>
      </w:r>
      <w:r w:rsidR="00A12BF3" w:rsidRPr="000310BF">
        <w:rPr>
          <w:rFonts w:cs="Arial"/>
          <w:bCs/>
          <w:szCs w:val="24"/>
        </w:rPr>
        <w:t xml:space="preserve"> pupils </w:t>
      </w:r>
      <w:r w:rsidR="00C67E8F" w:rsidRPr="000310BF">
        <w:rPr>
          <w:rFonts w:cs="Arial"/>
          <w:bCs/>
          <w:szCs w:val="24"/>
        </w:rPr>
        <w:t>on reduced timetables</w:t>
      </w:r>
      <w:r w:rsidR="00A12BF3" w:rsidRPr="000310BF">
        <w:rPr>
          <w:rFonts w:cs="Arial"/>
          <w:bCs/>
          <w:szCs w:val="24"/>
        </w:rPr>
        <w:t xml:space="preserve"> </w:t>
      </w:r>
      <w:r w:rsidR="009D7FED">
        <w:rPr>
          <w:rFonts w:cs="Arial"/>
          <w:bCs/>
          <w:szCs w:val="24"/>
        </w:rPr>
        <w:t xml:space="preserve">were </w:t>
      </w:r>
      <w:r w:rsidR="00323E46" w:rsidRPr="000310BF">
        <w:rPr>
          <w:rFonts w:cs="Arial"/>
          <w:bCs/>
          <w:szCs w:val="24"/>
        </w:rPr>
        <w:t>identified as having</w:t>
      </w:r>
      <w:r w:rsidR="00A12BF3" w:rsidRPr="000310BF">
        <w:rPr>
          <w:rFonts w:cs="Arial"/>
          <w:bCs/>
          <w:szCs w:val="24"/>
        </w:rPr>
        <w:t xml:space="preserve"> social, emotional, and mental health need </w:t>
      </w:r>
      <w:r w:rsidR="00555DFC">
        <w:rPr>
          <w:rFonts w:cs="Arial"/>
          <w:bCs/>
          <w:szCs w:val="24"/>
        </w:rPr>
        <w:t>as their primary need</w:t>
      </w:r>
      <w:r w:rsidR="00FB1BE8" w:rsidRPr="000310BF">
        <w:rPr>
          <w:rFonts w:cs="Arial"/>
          <w:bCs/>
          <w:szCs w:val="24"/>
        </w:rPr>
        <w:t xml:space="preserve">, </w:t>
      </w:r>
      <w:r w:rsidR="00555DFC">
        <w:rPr>
          <w:rFonts w:cs="Arial"/>
          <w:bCs/>
          <w:szCs w:val="24"/>
        </w:rPr>
        <w:t>27%</w:t>
      </w:r>
      <w:r w:rsidR="00FB1BE8" w:rsidRPr="000310BF">
        <w:rPr>
          <w:rFonts w:cs="Arial"/>
          <w:bCs/>
          <w:szCs w:val="24"/>
        </w:rPr>
        <w:t xml:space="preserve"> with </w:t>
      </w:r>
      <w:r w:rsidR="00FB1BE8" w:rsidRPr="00595FE6">
        <w:rPr>
          <w:rFonts w:cs="Arial"/>
          <w:szCs w:val="24"/>
        </w:rPr>
        <w:t xml:space="preserve">a communication and </w:t>
      </w:r>
      <w:r w:rsidR="00FB1BE8" w:rsidRPr="00C52DFB">
        <w:rPr>
          <w:rFonts w:cs="Arial"/>
        </w:rPr>
        <w:t>interaction</w:t>
      </w:r>
      <w:r w:rsidR="00FB1BE8" w:rsidRPr="00595FE6">
        <w:rPr>
          <w:rFonts w:cs="Arial"/>
          <w:szCs w:val="24"/>
        </w:rPr>
        <w:t xml:space="preserve"> need</w:t>
      </w:r>
      <w:r w:rsidR="00FB1BE8">
        <w:rPr>
          <w:rFonts w:cs="Arial"/>
          <w:szCs w:val="24"/>
        </w:rPr>
        <w:t xml:space="preserve">, </w:t>
      </w:r>
      <w:r w:rsidR="00555DFC">
        <w:rPr>
          <w:rFonts w:cs="Arial"/>
          <w:szCs w:val="24"/>
        </w:rPr>
        <w:t>10%</w:t>
      </w:r>
      <w:r w:rsidR="00FB1BE8" w:rsidRPr="002E26BE">
        <w:rPr>
          <w:rFonts w:cs="Arial"/>
          <w:szCs w:val="24"/>
        </w:rPr>
        <w:t xml:space="preserve"> with a cognition and learning need (10%) and </w:t>
      </w:r>
      <w:r w:rsidR="00487D72" w:rsidRPr="002E26BE">
        <w:rPr>
          <w:rFonts w:cs="Arial"/>
          <w:szCs w:val="24"/>
        </w:rPr>
        <w:t>3% with a sensory and physical need</w:t>
      </w:r>
      <w:r w:rsidR="00A12BF3" w:rsidRPr="000310BF">
        <w:rPr>
          <w:rFonts w:cs="Arial"/>
          <w:b/>
          <w:szCs w:val="24"/>
        </w:rPr>
        <w:t>.</w:t>
      </w:r>
      <w:r w:rsidR="00A81090" w:rsidRPr="002E26BE">
        <w:rPr>
          <w:rFonts w:cs="Arial"/>
          <w:szCs w:val="24"/>
        </w:rPr>
        <w:t xml:space="preserve"> </w:t>
      </w:r>
    </w:p>
    <w:p w14:paraId="085E06FE" w14:textId="10131F72" w:rsidR="003D630C" w:rsidRPr="00595FE6" w:rsidRDefault="00445BAF" w:rsidP="00D9246A">
      <w:pPr>
        <w:spacing w:line="240" w:lineRule="auto"/>
        <w:rPr>
          <w:rFonts w:cs="Arial"/>
          <w:b/>
        </w:rPr>
      </w:pPr>
      <w:r>
        <w:rPr>
          <w:rFonts w:cs="Arial"/>
          <w:b/>
          <w:bCs/>
          <w:color w:val="0079C2"/>
          <w:szCs w:val="24"/>
        </w:rPr>
        <w:t>B</w:t>
      </w:r>
      <w:r w:rsidR="00835BFC" w:rsidRPr="009A37B7">
        <w:rPr>
          <w:rFonts w:cs="Arial"/>
          <w:b/>
          <w:bCs/>
          <w:color w:val="0079C2"/>
          <w:szCs w:val="24"/>
        </w:rPr>
        <w:t>y</w:t>
      </w:r>
      <w:r w:rsidR="00835BFC" w:rsidRPr="009A37B7">
        <w:rPr>
          <w:rFonts w:cs="Arial"/>
          <w:b/>
          <w:color w:val="0079C2"/>
          <w:szCs w:val="24"/>
        </w:rPr>
        <w:t xml:space="preserve"> </w:t>
      </w:r>
      <w:r w:rsidR="39DAB878" w:rsidRPr="009A37B7">
        <w:rPr>
          <w:rFonts w:cs="Arial"/>
          <w:b/>
          <w:color w:val="0079C2"/>
          <w:szCs w:val="24"/>
        </w:rPr>
        <w:t>s</w:t>
      </w:r>
      <w:r w:rsidR="00835BFC" w:rsidRPr="009A37B7">
        <w:rPr>
          <w:rFonts w:cs="Arial"/>
          <w:b/>
          <w:color w:val="0079C2"/>
          <w:szCs w:val="24"/>
        </w:rPr>
        <w:t>chool</w:t>
      </w:r>
      <w:r w:rsidR="00392D48">
        <w:rPr>
          <w:rFonts w:cs="Arial"/>
          <w:b/>
          <w:bCs/>
          <w:color w:val="0079C2"/>
          <w:szCs w:val="24"/>
        </w:rPr>
        <w:t xml:space="preserve"> type</w:t>
      </w:r>
      <w:r w:rsidR="009D6422" w:rsidRPr="009A37B7">
        <w:rPr>
          <w:rFonts w:cs="Arial"/>
          <w:b/>
          <w:color w:val="0079C2"/>
          <w:szCs w:val="24"/>
        </w:rPr>
        <w:t>:</w:t>
      </w:r>
      <w:r w:rsidR="009D6422">
        <w:rPr>
          <w:rFonts w:cs="Arial"/>
          <w:b/>
          <w:bCs/>
        </w:rPr>
        <w:t xml:space="preserve"> </w:t>
      </w:r>
      <w:r w:rsidR="003E5F37" w:rsidRPr="006D0C58">
        <w:rPr>
          <w:rFonts w:cs="Arial"/>
        </w:rPr>
        <w:t xml:space="preserve">While the percentage of special school pupils on reduced timetables is higher than those in primary and secondary schools, this has reduced 3-fold from 18% of pupils in </w:t>
      </w:r>
      <w:r w:rsidR="003E5F37" w:rsidRPr="00C52DFB">
        <w:rPr>
          <w:rFonts w:cs="Arial"/>
          <w:szCs w:val="24"/>
        </w:rPr>
        <w:t>2022</w:t>
      </w:r>
      <w:r w:rsidR="003E5F37" w:rsidRPr="006D0C58">
        <w:rPr>
          <w:rFonts w:cs="Arial"/>
        </w:rPr>
        <w:t xml:space="preserve"> to 6% in 2024</w:t>
      </w:r>
      <w:r w:rsidR="00037F61">
        <w:rPr>
          <w:rFonts w:cs="Arial"/>
        </w:rPr>
        <w:t xml:space="preserve">. </w:t>
      </w:r>
      <w:r w:rsidR="003E5F37" w:rsidRPr="00D08EDF">
        <w:rPr>
          <w:rFonts w:cs="Arial"/>
        </w:rPr>
        <w:t xml:space="preserve">The percentage of secondary school pupils has remained unchanged </w:t>
      </w:r>
      <w:r w:rsidR="003E5F37">
        <w:rPr>
          <w:rFonts w:cs="Arial"/>
        </w:rPr>
        <w:t xml:space="preserve">at </w:t>
      </w:r>
      <w:r w:rsidR="003E5F37" w:rsidRPr="00D08EDF">
        <w:rPr>
          <w:rFonts w:cs="Arial"/>
        </w:rPr>
        <w:t>3%</w:t>
      </w:r>
      <w:r w:rsidR="00385CDA">
        <w:rPr>
          <w:rFonts w:cs="Arial"/>
        </w:rPr>
        <w:t xml:space="preserve"> as has </w:t>
      </w:r>
      <w:r w:rsidR="003E5F37" w:rsidRPr="00D08EDF">
        <w:rPr>
          <w:rFonts w:cs="Arial"/>
        </w:rPr>
        <w:t xml:space="preserve">primary school pupils </w:t>
      </w:r>
      <w:r w:rsidR="00093DB4">
        <w:rPr>
          <w:rFonts w:cs="Arial"/>
        </w:rPr>
        <w:t xml:space="preserve">at </w:t>
      </w:r>
      <w:r w:rsidR="003E5F37" w:rsidRPr="00D08EDF">
        <w:rPr>
          <w:rFonts w:cs="Arial"/>
        </w:rPr>
        <w:t>1%</w:t>
      </w:r>
      <w:r w:rsidR="00385CDA">
        <w:rPr>
          <w:rFonts w:cs="Arial"/>
        </w:rPr>
        <w:t xml:space="preserve">. </w:t>
      </w:r>
      <w:r w:rsidR="00AB6154" w:rsidRPr="00B16F55">
        <w:rPr>
          <w:rFonts w:cs="Arial"/>
        </w:rPr>
        <w:t xml:space="preserve">The </w:t>
      </w:r>
      <w:r w:rsidR="00ED459B" w:rsidRPr="00B16F55">
        <w:rPr>
          <w:rFonts w:cs="Arial"/>
        </w:rPr>
        <w:t xml:space="preserve">Pupil Referral Unit (PRU) have </w:t>
      </w:r>
      <w:r w:rsidR="00AB6154" w:rsidRPr="00B16F55">
        <w:rPr>
          <w:rFonts w:cs="Arial"/>
        </w:rPr>
        <w:t xml:space="preserve">the highest percentage of children and young people with reduced timetables </w:t>
      </w:r>
      <w:r w:rsidR="00385CDA">
        <w:rPr>
          <w:rFonts w:cs="Arial"/>
        </w:rPr>
        <w:t>and</w:t>
      </w:r>
      <w:r w:rsidR="00ED3AC4" w:rsidRPr="00B16F55">
        <w:rPr>
          <w:rFonts w:cs="Arial"/>
        </w:rPr>
        <w:t xml:space="preserve"> has increased from 40% </w:t>
      </w:r>
      <w:r w:rsidR="7552A3C1" w:rsidRPr="00B16F55">
        <w:rPr>
          <w:rFonts w:cs="Arial"/>
        </w:rPr>
        <w:t xml:space="preserve">of pupils </w:t>
      </w:r>
      <w:r w:rsidR="00ED3AC4" w:rsidRPr="00B16F55">
        <w:rPr>
          <w:rFonts w:cs="Arial"/>
        </w:rPr>
        <w:t>in 2022 to 5</w:t>
      </w:r>
      <w:r w:rsidR="006C7DAA" w:rsidRPr="00B16F55">
        <w:rPr>
          <w:rFonts w:cs="Arial"/>
        </w:rPr>
        <w:t>3</w:t>
      </w:r>
      <w:r w:rsidR="00ED3AC4" w:rsidRPr="00B16F55">
        <w:rPr>
          <w:rFonts w:cs="Arial"/>
        </w:rPr>
        <w:t>% in 2024</w:t>
      </w:r>
      <w:r w:rsidR="00BF17A6" w:rsidRPr="002A09BD">
        <w:rPr>
          <w:rFonts w:cs="Arial"/>
        </w:rPr>
        <w:t>.</w:t>
      </w:r>
    </w:p>
    <w:p w14:paraId="32DCEDB9" w14:textId="1E471C1F" w:rsidR="00400120" w:rsidRPr="00595FE6" w:rsidRDefault="00093DB4" w:rsidP="00D9246A">
      <w:pPr>
        <w:spacing w:line="240" w:lineRule="auto"/>
        <w:rPr>
          <w:rFonts w:cs="Arial"/>
          <w:szCs w:val="24"/>
        </w:rPr>
      </w:pPr>
      <w:r>
        <w:rPr>
          <w:rFonts w:cs="Arial"/>
          <w:b/>
          <w:bCs/>
          <w:color w:val="0079C2"/>
          <w:szCs w:val="24"/>
        </w:rPr>
        <w:t>B</w:t>
      </w:r>
      <w:r w:rsidR="009D6422" w:rsidRPr="009A37B7">
        <w:rPr>
          <w:rFonts w:cs="Arial"/>
          <w:b/>
          <w:bCs/>
          <w:color w:val="0079C2"/>
          <w:szCs w:val="24"/>
        </w:rPr>
        <w:t>y</w:t>
      </w:r>
      <w:r w:rsidR="00400120" w:rsidRPr="009A37B7">
        <w:rPr>
          <w:rFonts w:cs="Arial"/>
          <w:b/>
          <w:color w:val="0079C2"/>
          <w:szCs w:val="24"/>
        </w:rPr>
        <w:t xml:space="preserve"> </w:t>
      </w:r>
      <w:r w:rsidR="0037213F" w:rsidRPr="009A37B7">
        <w:rPr>
          <w:rFonts w:cs="Arial"/>
          <w:b/>
          <w:color w:val="0079C2"/>
          <w:szCs w:val="24"/>
        </w:rPr>
        <w:t xml:space="preserve">school </w:t>
      </w:r>
      <w:r w:rsidR="007F7DE5" w:rsidRPr="009A37B7">
        <w:rPr>
          <w:rFonts w:cs="Arial"/>
          <w:b/>
          <w:color w:val="0079C2"/>
          <w:szCs w:val="24"/>
        </w:rPr>
        <w:t>for</w:t>
      </w:r>
      <w:r w:rsidR="000A7D12" w:rsidRPr="009A37B7">
        <w:rPr>
          <w:rFonts w:cs="Arial"/>
          <w:b/>
          <w:color w:val="0079C2"/>
          <w:szCs w:val="24"/>
        </w:rPr>
        <w:t xml:space="preserve"> pupils</w:t>
      </w:r>
      <w:r w:rsidR="0037213F" w:rsidRPr="009A37B7">
        <w:rPr>
          <w:rFonts w:cs="Arial"/>
          <w:b/>
          <w:color w:val="0079C2"/>
          <w:szCs w:val="24"/>
        </w:rPr>
        <w:t xml:space="preserve"> on </w:t>
      </w:r>
      <w:r w:rsidR="00400120" w:rsidRPr="009A37B7">
        <w:rPr>
          <w:rFonts w:cs="Arial"/>
          <w:b/>
          <w:color w:val="0079C2"/>
          <w:szCs w:val="24"/>
        </w:rPr>
        <w:t>SEN support</w:t>
      </w:r>
      <w:r w:rsidR="009D6422" w:rsidRPr="009A37B7">
        <w:rPr>
          <w:rFonts w:cs="Arial"/>
          <w:b/>
          <w:color w:val="0079C2"/>
          <w:szCs w:val="24"/>
        </w:rPr>
        <w:t>:</w:t>
      </w:r>
      <w:r w:rsidR="009D6422">
        <w:rPr>
          <w:rFonts w:cs="Arial"/>
          <w:b/>
          <w:bCs/>
          <w:szCs w:val="24"/>
        </w:rPr>
        <w:t xml:space="preserve"> </w:t>
      </w:r>
      <w:r w:rsidR="00D13DDA">
        <w:rPr>
          <w:rFonts w:cs="Arial"/>
          <w:szCs w:val="24"/>
        </w:rPr>
        <w:t>A higher percentage of</w:t>
      </w:r>
      <w:r w:rsidR="00400120" w:rsidRPr="009D6422">
        <w:rPr>
          <w:rFonts w:cs="Arial"/>
          <w:szCs w:val="24"/>
        </w:rPr>
        <w:t xml:space="preserve"> pupils in secondary schools on </w:t>
      </w:r>
      <w:r w:rsidR="00D13DDA">
        <w:rPr>
          <w:rFonts w:cs="Arial"/>
          <w:szCs w:val="24"/>
        </w:rPr>
        <w:t xml:space="preserve">reduced timetables </w:t>
      </w:r>
      <w:r w:rsidR="00427F85">
        <w:rPr>
          <w:rFonts w:cs="Arial"/>
          <w:szCs w:val="24"/>
        </w:rPr>
        <w:t>have</w:t>
      </w:r>
      <w:r w:rsidR="00400120" w:rsidRPr="009D6422">
        <w:rPr>
          <w:rFonts w:cs="Arial"/>
          <w:szCs w:val="24"/>
        </w:rPr>
        <w:t xml:space="preserve"> SEN Support </w:t>
      </w:r>
      <w:r w:rsidR="00354249" w:rsidRPr="009D6422">
        <w:rPr>
          <w:rFonts w:cs="Arial"/>
          <w:szCs w:val="24"/>
        </w:rPr>
        <w:t>(30%</w:t>
      </w:r>
      <w:r w:rsidR="000A2D02" w:rsidRPr="009D6422">
        <w:rPr>
          <w:rFonts w:cs="Arial"/>
          <w:szCs w:val="24"/>
        </w:rPr>
        <w:t>, 221 pupils</w:t>
      </w:r>
      <w:r w:rsidR="00354249" w:rsidRPr="009D6422">
        <w:rPr>
          <w:rFonts w:cs="Arial"/>
          <w:szCs w:val="24"/>
        </w:rPr>
        <w:t xml:space="preserve">) </w:t>
      </w:r>
      <w:r w:rsidR="00400120" w:rsidRPr="009D6422">
        <w:rPr>
          <w:rFonts w:cs="Arial"/>
          <w:szCs w:val="24"/>
        </w:rPr>
        <w:t>than in primary schools</w:t>
      </w:r>
      <w:r w:rsidR="00354249" w:rsidRPr="009D6422">
        <w:rPr>
          <w:rFonts w:cs="Arial"/>
          <w:szCs w:val="24"/>
        </w:rPr>
        <w:t xml:space="preserve"> (17%</w:t>
      </w:r>
      <w:r w:rsidR="000A2D02" w:rsidRPr="009D6422">
        <w:rPr>
          <w:rFonts w:cs="Arial"/>
          <w:szCs w:val="24"/>
        </w:rPr>
        <w:t>, 125 pupils</w:t>
      </w:r>
      <w:r w:rsidR="00354249" w:rsidRPr="009D6422">
        <w:rPr>
          <w:rFonts w:cs="Arial"/>
          <w:szCs w:val="24"/>
        </w:rPr>
        <w:t>)</w:t>
      </w:r>
      <w:r w:rsidR="00400120" w:rsidRPr="009D6422">
        <w:rPr>
          <w:rFonts w:cs="Arial"/>
          <w:szCs w:val="24"/>
        </w:rPr>
        <w:t xml:space="preserve">. </w:t>
      </w:r>
      <w:r w:rsidR="00427F85">
        <w:rPr>
          <w:rFonts w:cs="Arial"/>
          <w:szCs w:val="24"/>
        </w:rPr>
        <w:t>These figures have increased from 26% and 10% respectively since 2022.</w:t>
      </w:r>
    </w:p>
    <w:p w14:paraId="3AD22230" w14:textId="1B5790AD" w:rsidR="00E43C2F" w:rsidRPr="00595FE6" w:rsidRDefault="00093DB4" w:rsidP="00D9246A">
      <w:pPr>
        <w:spacing w:line="240" w:lineRule="auto"/>
        <w:rPr>
          <w:rFonts w:cs="Arial"/>
          <w:szCs w:val="24"/>
        </w:rPr>
      </w:pPr>
      <w:r>
        <w:rPr>
          <w:rFonts w:cs="Arial"/>
          <w:b/>
          <w:bCs/>
          <w:color w:val="0079C2"/>
          <w:szCs w:val="24"/>
        </w:rPr>
        <w:t>B</w:t>
      </w:r>
      <w:r w:rsidR="004E4691" w:rsidRPr="009A37B7">
        <w:rPr>
          <w:rFonts w:cs="Arial"/>
          <w:b/>
          <w:bCs/>
          <w:color w:val="0079C2"/>
          <w:szCs w:val="24"/>
        </w:rPr>
        <w:t>y</w:t>
      </w:r>
      <w:r w:rsidR="004E4691" w:rsidRPr="009A37B7">
        <w:rPr>
          <w:rFonts w:cs="Arial"/>
          <w:b/>
          <w:color w:val="0079C2"/>
          <w:szCs w:val="24"/>
        </w:rPr>
        <w:t xml:space="preserve"> school </w:t>
      </w:r>
      <w:r w:rsidR="007F7DE5" w:rsidRPr="009A37B7">
        <w:rPr>
          <w:rFonts w:cs="Arial"/>
          <w:b/>
          <w:color w:val="0079C2"/>
          <w:szCs w:val="24"/>
        </w:rPr>
        <w:t>for</w:t>
      </w:r>
      <w:r w:rsidR="00585580" w:rsidRPr="009A37B7">
        <w:rPr>
          <w:rFonts w:cs="Arial"/>
          <w:b/>
          <w:color w:val="0079C2"/>
          <w:szCs w:val="24"/>
        </w:rPr>
        <w:t xml:space="preserve"> pupils </w:t>
      </w:r>
      <w:r w:rsidR="004E4691" w:rsidRPr="009A37B7">
        <w:rPr>
          <w:rFonts w:cs="Arial"/>
          <w:b/>
          <w:color w:val="0079C2"/>
          <w:szCs w:val="24"/>
        </w:rPr>
        <w:t>on</w:t>
      </w:r>
      <w:r w:rsidR="00E43C2F" w:rsidRPr="009A37B7">
        <w:rPr>
          <w:rFonts w:cs="Arial"/>
          <w:b/>
          <w:color w:val="0079C2"/>
          <w:szCs w:val="24"/>
        </w:rPr>
        <w:t xml:space="preserve"> </w:t>
      </w:r>
      <w:r w:rsidR="001572D3" w:rsidRPr="009A37B7">
        <w:rPr>
          <w:rFonts w:cs="Arial"/>
          <w:b/>
          <w:color w:val="0079C2"/>
          <w:szCs w:val="24"/>
        </w:rPr>
        <w:t>EHC Plan</w:t>
      </w:r>
      <w:r w:rsidR="009D6422" w:rsidRPr="009A37B7">
        <w:rPr>
          <w:rFonts w:cs="Arial"/>
          <w:b/>
          <w:color w:val="0079C2"/>
          <w:szCs w:val="24"/>
        </w:rPr>
        <w:t>:</w:t>
      </w:r>
      <w:r w:rsidR="009D6422">
        <w:rPr>
          <w:rFonts w:cs="Arial"/>
          <w:b/>
          <w:bCs/>
          <w:szCs w:val="24"/>
        </w:rPr>
        <w:t xml:space="preserve"> </w:t>
      </w:r>
      <w:r w:rsidR="009D6422" w:rsidRPr="009D6422">
        <w:rPr>
          <w:rFonts w:cs="Arial"/>
          <w:szCs w:val="24"/>
        </w:rPr>
        <w:t xml:space="preserve">In 2024, 130 pupils on </w:t>
      </w:r>
      <w:r w:rsidR="001572D3">
        <w:rPr>
          <w:rFonts w:cs="Arial"/>
          <w:szCs w:val="24"/>
        </w:rPr>
        <w:t>EHC Plan</w:t>
      </w:r>
      <w:r w:rsidR="009D6422" w:rsidRPr="009D6422">
        <w:rPr>
          <w:rFonts w:cs="Arial"/>
          <w:szCs w:val="24"/>
        </w:rPr>
        <w:t xml:space="preserve"> were on reduced timetables in secondary schools</w:t>
      </w:r>
      <w:r>
        <w:rPr>
          <w:rFonts w:cs="Arial"/>
          <w:szCs w:val="24"/>
        </w:rPr>
        <w:t xml:space="preserve"> </w:t>
      </w:r>
      <w:r w:rsidR="009D6422" w:rsidRPr="009D6422">
        <w:rPr>
          <w:rFonts w:cs="Arial"/>
          <w:szCs w:val="24"/>
        </w:rPr>
        <w:t>(18%), similar to primary schools with 125 pupils (17%).</w:t>
      </w:r>
      <w:r w:rsidR="009D6422">
        <w:rPr>
          <w:rFonts w:cs="Arial"/>
          <w:szCs w:val="24"/>
        </w:rPr>
        <w:t xml:space="preserve"> </w:t>
      </w:r>
      <w:r w:rsidR="00212A49">
        <w:rPr>
          <w:rFonts w:cs="Arial"/>
          <w:szCs w:val="24"/>
        </w:rPr>
        <w:t>In 2022,</w:t>
      </w:r>
      <w:r w:rsidR="007F5DC7">
        <w:rPr>
          <w:rFonts w:cs="Arial"/>
          <w:szCs w:val="24"/>
        </w:rPr>
        <w:t xml:space="preserve"> </w:t>
      </w:r>
      <w:r w:rsidR="00CB6C93">
        <w:rPr>
          <w:rFonts w:cs="Arial"/>
          <w:szCs w:val="24"/>
        </w:rPr>
        <w:t>26%</w:t>
      </w:r>
      <w:r w:rsidR="00E43C2F" w:rsidRPr="00595FE6">
        <w:rPr>
          <w:rFonts w:cs="Arial"/>
          <w:szCs w:val="24"/>
        </w:rPr>
        <w:t xml:space="preserve"> </w:t>
      </w:r>
      <w:r w:rsidR="009946DD">
        <w:rPr>
          <w:rFonts w:cs="Arial"/>
          <w:szCs w:val="24"/>
        </w:rPr>
        <w:t>of</w:t>
      </w:r>
      <w:r w:rsidR="00CB6C93">
        <w:rPr>
          <w:rFonts w:cs="Arial"/>
          <w:szCs w:val="24"/>
        </w:rPr>
        <w:t xml:space="preserve"> pupils </w:t>
      </w:r>
      <w:r w:rsidR="00E43C2F" w:rsidRPr="00595FE6">
        <w:rPr>
          <w:rFonts w:cs="Arial"/>
          <w:szCs w:val="24"/>
        </w:rPr>
        <w:t xml:space="preserve">on </w:t>
      </w:r>
      <w:r w:rsidR="001572D3">
        <w:rPr>
          <w:rFonts w:cs="Arial"/>
          <w:szCs w:val="24"/>
        </w:rPr>
        <w:t>EHC Plan</w:t>
      </w:r>
      <w:r w:rsidR="00E43C2F" w:rsidRPr="00595FE6">
        <w:rPr>
          <w:rFonts w:cs="Arial"/>
          <w:szCs w:val="24"/>
        </w:rPr>
        <w:t xml:space="preserve"> </w:t>
      </w:r>
      <w:r w:rsidR="00212A49">
        <w:rPr>
          <w:rFonts w:cs="Arial"/>
          <w:szCs w:val="24"/>
        </w:rPr>
        <w:t xml:space="preserve">were </w:t>
      </w:r>
      <w:r w:rsidR="00E43C2F" w:rsidRPr="00595FE6">
        <w:rPr>
          <w:rFonts w:cs="Arial"/>
          <w:szCs w:val="24"/>
        </w:rPr>
        <w:t xml:space="preserve">accessing reduced timetables in secondary schools </w:t>
      </w:r>
      <w:r w:rsidR="007F5DC7">
        <w:rPr>
          <w:rFonts w:cs="Arial"/>
          <w:szCs w:val="24"/>
        </w:rPr>
        <w:t>and</w:t>
      </w:r>
      <w:r w:rsidR="00E43C2F" w:rsidRPr="00595FE6">
        <w:rPr>
          <w:rFonts w:cs="Arial"/>
          <w:szCs w:val="24"/>
        </w:rPr>
        <w:t xml:space="preserve"> </w:t>
      </w:r>
      <w:r w:rsidR="00784A9E">
        <w:rPr>
          <w:rFonts w:cs="Arial"/>
          <w:szCs w:val="24"/>
        </w:rPr>
        <w:t xml:space="preserve">15% in </w:t>
      </w:r>
      <w:r w:rsidR="00E43C2F" w:rsidRPr="00595FE6">
        <w:rPr>
          <w:rFonts w:cs="Arial"/>
          <w:szCs w:val="24"/>
        </w:rPr>
        <w:t>primary schools</w:t>
      </w:r>
      <w:r w:rsidR="007F5DC7">
        <w:rPr>
          <w:rFonts w:cs="Arial"/>
          <w:szCs w:val="24"/>
        </w:rPr>
        <w:t>.</w:t>
      </w:r>
    </w:p>
    <w:p w14:paraId="6EDE4D93" w14:textId="0240F308" w:rsidR="009369A6" w:rsidRPr="006E43A6" w:rsidRDefault="00093DB4" w:rsidP="00D9246A">
      <w:pPr>
        <w:spacing w:line="240" w:lineRule="auto"/>
        <w:rPr>
          <w:rFonts w:cs="Arial"/>
          <w:szCs w:val="24"/>
        </w:rPr>
      </w:pPr>
      <w:r>
        <w:rPr>
          <w:rFonts w:cs="Arial"/>
          <w:b/>
          <w:bCs/>
          <w:color w:val="0079C2"/>
          <w:szCs w:val="24"/>
        </w:rPr>
        <w:t>B</w:t>
      </w:r>
      <w:r w:rsidR="004C78EB" w:rsidRPr="009A37B7">
        <w:rPr>
          <w:rFonts w:cs="Arial"/>
          <w:b/>
          <w:bCs/>
          <w:color w:val="0079C2"/>
          <w:szCs w:val="24"/>
        </w:rPr>
        <w:t>y</w:t>
      </w:r>
      <w:r w:rsidR="004C78EB" w:rsidRPr="009A37B7">
        <w:rPr>
          <w:rFonts w:cs="Arial"/>
          <w:b/>
          <w:color w:val="0079C2"/>
          <w:szCs w:val="24"/>
        </w:rPr>
        <w:t xml:space="preserve"> </w:t>
      </w:r>
      <w:r w:rsidR="002719B0" w:rsidRPr="009A37B7">
        <w:rPr>
          <w:rFonts w:cs="Arial"/>
          <w:b/>
          <w:color w:val="0079C2"/>
          <w:szCs w:val="24"/>
        </w:rPr>
        <w:t>gender</w:t>
      </w:r>
      <w:r w:rsidR="00975598" w:rsidRPr="009A37B7">
        <w:rPr>
          <w:rFonts w:cs="Arial"/>
          <w:b/>
          <w:color w:val="0079C2"/>
          <w:szCs w:val="24"/>
        </w:rPr>
        <w:t xml:space="preserve">: </w:t>
      </w:r>
      <w:r w:rsidR="00D43390" w:rsidRPr="0067747A">
        <w:rPr>
          <w:rFonts w:cs="Arial"/>
          <w:szCs w:val="24"/>
        </w:rPr>
        <w:t xml:space="preserve">There </w:t>
      </w:r>
      <w:r w:rsidR="00C32531" w:rsidRPr="0067747A">
        <w:rPr>
          <w:rFonts w:cs="Arial"/>
          <w:szCs w:val="24"/>
        </w:rPr>
        <w:t>are more males on reduced timetables in Brighton &amp; Hove Schools</w:t>
      </w:r>
      <w:r w:rsidR="008A0F23" w:rsidRPr="0067747A">
        <w:rPr>
          <w:rFonts w:cs="Arial"/>
          <w:szCs w:val="24"/>
        </w:rPr>
        <w:t xml:space="preserve"> than fema</w:t>
      </w:r>
      <w:r w:rsidR="005D3CC0" w:rsidRPr="0067747A">
        <w:rPr>
          <w:rFonts w:cs="Arial"/>
          <w:szCs w:val="24"/>
        </w:rPr>
        <w:t>les</w:t>
      </w:r>
      <w:r w:rsidR="009946DD">
        <w:rPr>
          <w:rFonts w:cs="Arial"/>
          <w:szCs w:val="24"/>
        </w:rPr>
        <w:t xml:space="preserve"> - in</w:t>
      </w:r>
      <w:r w:rsidR="006F7A7B" w:rsidRPr="005F53DB">
        <w:rPr>
          <w:rFonts w:cs="Arial"/>
          <w:szCs w:val="24"/>
        </w:rPr>
        <w:t xml:space="preserve"> 2024, 279 females (38%) and 445 males (61%). </w:t>
      </w:r>
      <w:r w:rsidR="009369A6">
        <w:rPr>
          <w:rFonts w:cs="Arial"/>
          <w:szCs w:val="24"/>
        </w:rPr>
        <w:t xml:space="preserve">This has increased from </w:t>
      </w:r>
      <w:r w:rsidR="001E1D02" w:rsidRPr="00595FE6">
        <w:rPr>
          <w:rFonts w:cs="Arial"/>
          <w:szCs w:val="24"/>
        </w:rPr>
        <w:t>235 females (35%) and 422 males (64%) on reduced timetables</w:t>
      </w:r>
      <w:r w:rsidR="001E1D02">
        <w:rPr>
          <w:rFonts w:cs="Arial"/>
          <w:szCs w:val="24"/>
        </w:rPr>
        <w:t xml:space="preserve"> in 2022</w:t>
      </w:r>
      <w:r w:rsidR="00CD2D3A" w:rsidRPr="005F53DB">
        <w:rPr>
          <w:rFonts w:cs="Arial"/>
          <w:szCs w:val="24"/>
        </w:rPr>
        <w:t>.</w:t>
      </w:r>
    </w:p>
    <w:p w14:paraId="37D08BAC" w14:textId="19265110" w:rsidR="00F15E60" w:rsidRPr="00595FE6" w:rsidRDefault="00F15E60" w:rsidP="0096012C">
      <w:pPr>
        <w:pStyle w:val="Heading3"/>
      </w:pPr>
      <w:r w:rsidRPr="00595FE6">
        <w:lastRenderedPageBreak/>
        <w:t>Electively home educated pupils</w:t>
      </w:r>
    </w:p>
    <w:p w14:paraId="34C5648B" w14:textId="6EE0B339" w:rsidR="00352A08" w:rsidRDefault="00E16938" w:rsidP="00D9246A">
      <w:pPr>
        <w:spacing w:line="240" w:lineRule="auto"/>
        <w:rPr>
          <w:rFonts w:cs="Arial"/>
        </w:rPr>
      </w:pPr>
      <w:r w:rsidRPr="42E25AFE">
        <w:rPr>
          <w:rFonts w:cs="Arial"/>
        </w:rPr>
        <w:t>Elective home education is where a parent or carer removes their child from school roll, or never has them enrolled, in order to take on full responsibility for their education. For children with Special Educational Needs parents/carers can choose to educate their child at home. If the child goes to a special school</w:t>
      </w:r>
      <w:r w:rsidR="007623CB">
        <w:rPr>
          <w:rFonts w:cs="Arial"/>
        </w:rPr>
        <w:t>,</w:t>
      </w:r>
      <w:r w:rsidRPr="42E25AFE">
        <w:rPr>
          <w:rFonts w:cs="Arial"/>
        </w:rPr>
        <w:t xml:space="preserve"> parents/carers need permission to take them out of school</w:t>
      </w:r>
      <w:r w:rsidR="00352A08" w:rsidRPr="42E25AFE">
        <w:rPr>
          <w:rFonts w:cs="Arial"/>
        </w:rPr>
        <w:t>.</w:t>
      </w:r>
      <w:r w:rsidR="00570CB8" w:rsidRPr="42E25AFE">
        <w:rPr>
          <w:rStyle w:val="EndnoteReference"/>
        </w:rPr>
        <w:endnoteReference w:id="66"/>
      </w:r>
    </w:p>
    <w:p w14:paraId="11D28D82" w14:textId="13C34AE1" w:rsidR="002B01AE" w:rsidRDefault="008C56C4" w:rsidP="00D9246A">
      <w:pPr>
        <w:spacing w:line="240" w:lineRule="auto"/>
        <w:rPr>
          <w:rFonts w:cs="Arial"/>
          <w:szCs w:val="24"/>
        </w:rPr>
      </w:pPr>
      <w:r>
        <w:rPr>
          <w:rFonts w:cs="Arial"/>
          <w:szCs w:val="24"/>
        </w:rPr>
        <w:t xml:space="preserve">As of September 2025, there were 499 children and young people (2% of all pupils in primary and secondary) being electively home educated in Brighton &amp; Hove. Most are secondary school phase (69%, 343 people, with 156 primary school phase). </w:t>
      </w:r>
      <w:r w:rsidR="002B01AE">
        <w:rPr>
          <w:rFonts w:cs="Arial"/>
          <w:szCs w:val="24"/>
        </w:rPr>
        <w:t xml:space="preserve">There is variation </w:t>
      </w:r>
      <w:r w:rsidR="00425F6D">
        <w:rPr>
          <w:rFonts w:cs="Arial"/>
          <w:szCs w:val="24"/>
        </w:rPr>
        <w:t>throughout the</w:t>
      </w:r>
      <w:r w:rsidR="002B01AE">
        <w:rPr>
          <w:rFonts w:cs="Arial"/>
          <w:szCs w:val="24"/>
        </w:rPr>
        <w:t xml:space="preserve"> year, </w:t>
      </w:r>
      <w:r w:rsidR="00225023">
        <w:rPr>
          <w:rFonts w:cs="Arial"/>
          <w:szCs w:val="24"/>
        </w:rPr>
        <w:t>but there is no clear trend in the figures</w:t>
      </w:r>
      <w:r w:rsidR="00425F6D">
        <w:rPr>
          <w:rFonts w:cs="Arial"/>
          <w:szCs w:val="24"/>
        </w:rPr>
        <w:t>.</w:t>
      </w:r>
    </w:p>
    <w:p w14:paraId="63F3E1A5" w14:textId="6FD61F14" w:rsidR="00306B35" w:rsidRPr="00595FE6" w:rsidRDefault="00306B35" w:rsidP="00D9246A">
      <w:pPr>
        <w:spacing w:line="240" w:lineRule="auto"/>
        <w:rPr>
          <w:rFonts w:cs="Arial"/>
        </w:rPr>
      </w:pPr>
      <w:r w:rsidRPr="66B23E09">
        <w:rPr>
          <w:rFonts w:cs="Arial"/>
        </w:rPr>
        <w:t xml:space="preserve">There were 17 children with an </w:t>
      </w:r>
      <w:r>
        <w:rPr>
          <w:rFonts w:cs="Arial"/>
        </w:rPr>
        <w:t>EHC Plan</w:t>
      </w:r>
      <w:r w:rsidRPr="66B23E09">
        <w:rPr>
          <w:rFonts w:cs="Arial"/>
        </w:rPr>
        <w:t xml:space="preserve"> who are electively home educated.</w:t>
      </w:r>
      <w:r>
        <w:rPr>
          <w:rFonts w:cs="Arial"/>
        </w:rPr>
        <w:t xml:space="preserve"> </w:t>
      </w:r>
      <w:r w:rsidRPr="66B23E09">
        <w:rPr>
          <w:rFonts w:cs="Arial"/>
        </w:rPr>
        <w:t xml:space="preserve">Information is not held on SEN status, except for children with </w:t>
      </w:r>
      <w:r>
        <w:rPr>
          <w:rFonts w:cs="Arial"/>
        </w:rPr>
        <w:t>EHC Plan</w:t>
      </w:r>
      <w:r w:rsidRPr="66B23E09">
        <w:rPr>
          <w:rFonts w:cs="Arial"/>
        </w:rPr>
        <w:t>s.</w:t>
      </w:r>
    </w:p>
    <w:p w14:paraId="4AD9C267" w14:textId="33A3E0FC" w:rsidR="00F02CCE" w:rsidRPr="00595FE6" w:rsidRDefault="00F02CCE" w:rsidP="0096012C">
      <w:pPr>
        <w:pStyle w:val="Heading3"/>
      </w:pPr>
      <w:r w:rsidRPr="00595FE6">
        <w:t>Medical Needs Tuition list</w:t>
      </w:r>
    </w:p>
    <w:p w14:paraId="3959993D" w14:textId="7B196ADF" w:rsidR="000E1FAB" w:rsidRDefault="00E46B9E" w:rsidP="00D9246A">
      <w:pPr>
        <w:spacing w:line="240" w:lineRule="auto"/>
        <w:rPr>
          <w:rFonts w:cs="Arial"/>
          <w:szCs w:val="24"/>
        </w:rPr>
      </w:pPr>
      <w:r w:rsidRPr="00E46B9E">
        <w:rPr>
          <w:rFonts w:cs="Arial"/>
          <w:szCs w:val="24"/>
        </w:rPr>
        <w:t>Medical needs tuition is the educational provision available for children who are unable to go to school due to health needs, including illness, recovery from an operation or pregnancy and motherhood. The majority of the children receiving this provision have a diagnosis related to mental health needs. Provision is arranged by the City Council to ensure continued education and support them in returning to school</w:t>
      </w:r>
      <w:r w:rsidR="000E1FAB" w:rsidRPr="000E1FAB">
        <w:rPr>
          <w:rFonts w:cs="Arial"/>
          <w:szCs w:val="24"/>
        </w:rPr>
        <w:t>.</w:t>
      </w:r>
      <w:r w:rsidR="00835DC7">
        <w:rPr>
          <w:rStyle w:val="EndnoteReference"/>
          <w:szCs w:val="24"/>
        </w:rPr>
        <w:endnoteReference w:id="67"/>
      </w:r>
    </w:p>
    <w:p w14:paraId="21039409" w14:textId="43E9FE34" w:rsidR="00E23D41" w:rsidRDefault="009A60AB" w:rsidP="00D9246A">
      <w:pPr>
        <w:spacing w:line="240" w:lineRule="auto"/>
        <w:rPr>
          <w:rFonts w:cs="Arial"/>
          <w:szCs w:val="24"/>
        </w:rPr>
      </w:pPr>
      <w:r>
        <w:rPr>
          <w:rFonts w:cs="Arial"/>
          <w:szCs w:val="24"/>
        </w:rPr>
        <w:t xml:space="preserve">As of September 2025, there were 70 children and young people (0.2% of all pupils in primary and secondary) </w:t>
      </w:r>
      <w:r w:rsidRPr="005C19E0">
        <w:rPr>
          <w:rFonts w:cs="Arial"/>
          <w:szCs w:val="24"/>
        </w:rPr>
        <w:t xml:space="preserve">receiving medical needs tuition </w:t>
      </w:r>
      <w:r>
        <w:rPr>
          <w:rFonts w:cs="Arial"/>
          <w:szCs w:val="24"/>
        </w:rPr>
        <w:t>in Brighton &amp; Hove. Most are secondary school phase (fewer than five primary school phase).</w:t>
      </w:r>
      <w:r w:rsidR="00E8363E">
        <w:rPr>
          <w:rFonts w:cs="Arial"/>
          <w:szCs w:val="24"/>
        </w:rPr>
        <w:t xml:space="preserve"> </w:t>
      </w:r>
      <w:r w:rsidRPr="7833546E">
        <w:rPr>
          <w:rFonts w:cs="Arial"/>
        </w:rPr>
        <w:t xml:space="preserve">There were 14 children with an </w:t>
      </w:r>
      <w:r>
        <w:rPr>
          <w:rFonts w:cs="Arial"/>
        </w:rPr>
        <w:t>EHC Plan</w:t>
      </w:r>
      <w:r w:rsidRPr="7833546E">
        <w:rPr>
          <w:rFonts w:cs="Arial"/>
        </w:rPr>
        <w:t xml:space="preserve"> who are on the medical needs tuition list. Information is not held on SEN status, except for children with </w:t>
      </w:r>
      <w:r>
        <w:rPr>
          <w:rFonts w:cs="Arial"/>
        </w:rPr>
        <w:t>EHC Plan</w:t>
      </w:r>
      <w:r w:rsidRPr="7833546E">
        <w:rPr>
          <w:rFonts w:cs="Arial"/>
        </w:rPr>
        <w:t>s - all staff work in a way that is SEN needs led to ensure that the curriculum is fully accessible to all students.</w:t>
      </w:r>
      <w:r w:rsidR="00E8363E">
        <w:rPr>
          <w:rFonts w:cs="Arial"/>
        </w:rPr>
        <w:t xml:space="preserve"> </w:t>
      </w:r>
      <w:r w:rsidR="00E23D41">
        <w:rPr>
          <w:rFonts w:cs="Arial"/>
          <w:szCs w:val="24"/>
        </w:rPr>
        <w:t xml:space="preserve">There is variation throughout the year, </w:t>
      </w:r>
      <w:r w:rsidR="00F333FC">
        <w:rPr>
          <w:rFonts w:cs="Arial"/>
          <w:szCs w:val="24"/>
        </w:rPr>
        <w:t>w</w:t>
      </w:r>
      <w:r w:rsidR="006C0C43">
        <w:rPr>
          <w:rFonts w:cs="Arial"/>
          <w:szCs w:val="24"/>
        </w:rPr>
        <w:t xml:space="preserve">hilst no </w:t>
      </w:r>
      <w:r w:rsidR="00BF67F8">
        <w:rPr>
          <w:rFonts w:cs="Arial"/>
          <w:szCs w:val="24"/>
        </w:rPr>
        <w:t>consistent</w:t>
      </w:r>
      <w:r w:rsidR="006C0C43">
        <w:rPr>
          <w:rFonts w:cs="Arial"/>
          <w:szCs w:val="24"/>
        </w:rPr>
        <w:t xml:space="preserve"> trend,</w:t>
      </w:r>
      <w:r w:rsidR="00BF67F8">
        <w:rPr>
          <w:rFonts w:cs="Arial"/>
          <w:szCs w:val="24"/>
        </w:rPr>
        <w:t xml:space="preserve"> the number of children </w:t>
      </w:r>
      <w:r w:rsidR="00ED35A1">
        <w:rPr>
          <w:rFonts w:cs="Arial"/>
          <w:szCs w:val="24"/>
        </w:rPr>
        <w:t xml:space="preserve">on the medical needs tuition list </w:t>
      </w:r>
      <w:r w:rsidR="00BF67F8">
        <w:rPr>
          <w:rFonts w:cs="Arial"/>
          <w:szCs w:val="24"/>
        </w:rPr>
        <w:t xml:space="preserve">has </w:t>
      </w:r>
      <w:r w:rsidR="00F333FC">
        <w:rPr>
          <w:rFonts w:cs="Arial"/>
          <w:szCs w:val="24"/>
        </w:rPr>
        <w:t>fallen</w:t>
      </w:r>
      <w:r w:rsidR="00BF67F8">
        <w:rPr>
          <w:rFonts w:cs="Arial"/>
          <w:szCs w:val="24"/>
        </w:rPr>
        <w:t xml:space="preserve"> since </w:t>
      </w:r>
      <w:r w:rsidR="005C23B0">
        <w:rPr>
          <w:rFonts w:cs="Arial"/>
          <w:szCs w:val="24"/>
        </w:rPr>
        <w:t>the peak in Q1</w:t>
      </w:r>
      <w:r w:rsidR="00BF67F8">
        <w:rPr>
          <w:rFonts w:cs="Arial"/>
          <w:szCs w:val="24"/>
        </w:rPr>
        <w:t xml:space="preserve"> 2024/25</w:t>
      </w:r>
      <w:r w:rsidR="00C07E0B">
        <w:rPr>
          <w:rFonts w:cs="Arial"/>
          <w:szCs w:val="24"/>
        </w:rPr>
        <w:t xml:space="preserve"> (</w:t>
      </w:r>
      <w:r w:rsidR="00627018" w:rsidRPr="002872A8">
        <w:rPr>
          <w:rFonts w:cs="Arial"/>
          <w:szCs w:val="24"/>
        </w:rPr>
        <w:t>F</w:t>
      </w:r>
      <w:r w:rsidR="00C07E0B" w:rsidRPr="002872A8">
        <w:rPr>
          <w:rFonts w:cs="Arial"/>
          <w:szCs w:val="24"/>
        </w:rPr>
        <w:t>igure 3</w:t>
      </w:r>
      <w:r w:rsidR="0080441F" w:rsidRPr="0092412A">
        <w:rPr>
          <w:rFonts w:cs="Arial"/>
          <w:szCs w:val="24"/>
        </w:rPr>
        <w:t>1</w:t>
      </w:r>
      <w:r w:rsidR="00C07E0B">
        <w:rPr>
          <w:rFonts w:cs="Arial"/>
          <w:szCs w:val="24"/>
        </w:rPr>
        <w:t>).</w:t>
      </w:r>
    </w:p>
    <w:p w14:paraId="4851F710" w14:textId="77777777" w:rsidR="00036228" w:rsidRDefault="00036228" w:rsidP="00D9246A">
      <w:pPr>
        <w:spacing w:line="240" w:lineRule="auto"/>
        <w:rPr>
          <w:b/>
          <w:bCs/>
          <w:color w:val="A65588"/>
        </w:rPr>
      </w:pPr>
      <w:r>
        <w:rPr>
          <w:b/>
          <w:bCs/>
          <w:color w:val="A65588"/>
        </w:rPr>
        <w:br w:type="page"/>
      </w:r>
    </w:p>
    <w:p w14:paraId="05A4823D" w14:textId="02C9E557" w:rsidR="00A9684F" w:rsidRPr="00A9684F" w:rsidRDefault="00B76F1B" w:rsidP="00D9246A">
      <w:pPr>
        <w:spacing w:line="240" w:lineRule="auto"/>
        <w:rPr>
          <w:lang w:eastAsia="en-GB"/>
        </w:rPr>
      </w:pPr>
      <w:r w:rsidRPr="000F1818">
        <w:rPr>
          <w:b/>
          <w:color w:val="A65588"/>
        </w:rPr>
        <w:lastRenderedPageBreak/>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31</w:t>
      </w:r>
      <w:r w:rsidR="00CA2D43">
        <w:rPr>
          <w:b/>
          <w:color w:val="A65588"/>
        </w:rPr>
        <w:fldChar w:fldCharType="end"/>
      </w:r>
      <w:r w:rsidRPr="000F1818">
        <w:rPr>
          <w:b/>
          <w:color w:val="A65588"/>
        </w:rPr>
        <w:t xml:space="preserve">: </w:t>
      </w:r>
      <w:r w:rsidR="00A9684F" w:rsidRPr="000F1818">
        <w:rPr>
          <w:b/>
          <w:color w:val="A65588"/>
        </w:rPr>
        <w:t xml:space="preserve">Number of children and young people </w:t>
      </w:r>
      <w:r w:rsidR="009A433C" w:rsidRPr="000F1818">
        <w:rPr>
          <w:b/>
          <w:bCs/>
          <w:color w:val="A65588"/>
        </w:rPr>
        <w:t>on medical needs tuition list</w:t>
      </w:r>
      <w:r w:rsidR="009A433C">
        <w:rPr>
          <w:b/>
          <w:bCs/>
          <w:color w:val="A65588"/>
        </w:rPr>
        <w:t>,</w:t>
      </w:r>
      <w:r w:rsidR="00A9684F" w:rsidRPr="000F1818">
        <w:rPr>
          <w:b/>
          <w:color w:val="A65588"/>
        </w:rPr>
        <w:t xml:space="preserve"> Brighton and Hove</w:t>
      </w:r>
      <w:r w:rsidR="009A433C">
        <w:rPr>
          <w:b/>
          <w:bCs/>
          <w:color w:val="A65588"/>
        </w:rPr>
        <w:t>, Q</w:t>
      </w:r>
      <w:r w:rsidR="00A9684F" w:rsidRPr="000F1818">
        <w:rPr>
          <w:b/>
          <w:bCs/>
          <w:color w:val="A65588"/>
        </w:rPr>
        <w:t>uarter</w:t>
      </w:r>
      <w:r w:rsidR="00A9684F" w:rsidRPr="000F1818">
        <w:rPr>
          <w:b/>
          <w:color w:val="A65588"/>
        </w:rPr>
        <w:t xml:space="preserve"> 3 2023/24 </w:t>
      </w:r>
      <w:r w:rsidR="009A433C">
        <w:rPr>
          <w:b/>
          <w:bCs/>
          <w:color w:val="A65588"/>
        </w:rPr>
        <w:t>to Qu</w:t>
      </w:r>
      <w:r w:rsidR="00A9684F" w:rsidRPr="000F1818">
        <w:rPr>
          <w:b/>
          <w:bCs/>
          <w:color w:val="A65588"/>
        </w:rPr>
        <w:t>arter</w:t>
      </w:r>
      <w:r w:rsidR="00A9684F" w:rsidRPr="000F1818">
        <w:rPr>
          <w:b/>
          <w:color w:val="A65588"/>
        </w:rPr>
        <w:t xml:space="preserve"> 3 2024/25</w:t>
      </w:r>
    </w:p>
    <w:p w14:paraId="71BCB371" w14:textId="528C8FE7" w:rsidR="00E54271" w:rsidRPr="00ED35A1" w:rsidRDefault="00E54271" w:rsidP="00D9246A">
      <w:pPr>
        <w:spacing w:line="240" w:lineRule="auto"/>
        <w:rPr>
          <w:rFonts w:cs="Arial"/>
          <w:b/>
          <w:color w:val="086A76"/>
          <w:szCs w:val="24"/>
        </w:rPr>
      </w:pPr>
      <w:r w:rsidRPr="00E54271">
        <w:rPr>
          <w:rFonts w:cs="Arial"/>
          <w:b/>
          <w:noProof/>
          <w:color w:val="086A76"/>
          <w:szCs w:val="24"/>
        </w:rPr>
        <w:drawing>
          <wp:inline distT="0" distB="0" distL="0" distR="0" wp14:anchorId="757972D9" wp14:editId="3780887C">
            <wp:extent cx="4943475" cy="3063924"/>
            <wp:effectExtent l="0" t="0" r="0" b="3175"/>
            <wp:docPr id="1192311474" name="Picture 1" descr="A graph showing the number of students unable to attend school due to health needs between quarter 3 in 2023/24 and quarter 3 in 2024/25.&#10;&#10;There has been variation through the year. Since quarter 3 2023/24 it has ranged from 75 children and young people (Q3 2024/25) and 107 (Q1 2024/25), and the number of children has been lower since the peak in Q1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11474" name="Picture 1" descr="A graph showing the number of students unable to attend school due to health needs between quarter 3 in 2023/24 and quarter 3 in 2024/25.&#10;&#10;There has been variation through the year. Since quarter 3 2023/24 it has ranged from 75 children and young people (Q3 2024/25) and 107 (Q1 2024/25), and the number of children has been lower since the peak in Q1 2024/25"/>
                    <pic:cNvPicPr/>
                  </pic:nvPicPr>
                  <pic:blipFill>
                    <a:blip r:embed="rId102"/>
                    <a:stretch>
                      <a:fillRect/>
                    </a:stretch>
                  </pic:blipFill>
                  <pic:spPr>
                    <a:xfrm>
                      <a:off x="0" y="0"/>
                      <a:ext cx="4948890" cy="3067280"/>
                    </a:xfrm>
                    <a:prstGeom prst="rect">
                      <a:avLst/>
                    </a:prstGeom>
                  </pic:spPr>
                </pic:pic>
              </a:graphicData>
            </a:graphic>
          </wp:inline>
        </w:drawing>
      </w:r>
    </w:p>
    <w:p w14:paraId="73A1B4BB" w14:textId="6471BB38" w:rsidR="00ED35A1" w:rsidRDefault="00ED35A1" w:rsidP="00D9246A">
      <w:pPr>
        <w:spacing w:line="240" w:lineRule="auto"/>
        <w:rPr>
          <w:rFonts w:cs="Arial"/>
        </w:rPr>
      </w:pPr>
      <w:r w:rsidRPr="009A433C">
        <w:rPr>
          <w:rFonts w:cs="Arial"/>
          <w:b/>
        </w:rPr>
        <w:t>Source:</w:t>
      </w:r>
      <w:r w:rsidRPr="4B338D81">
        <w:rPr>
          <w:rFonts w:cs="Arial"/>
        </w:rPr>
        <w:t xml:space="preserve"> </w:t>
      </w:r>
      <w:r w:rsidRPr="0062341A">
        <w:rPr>
          <w:rFonts w:cs="Arial"/>
        </w:rPr>
        <w:t xml:space="preserve">Brighton &amp; Hove </w:t>
      </w:r>
      <w:r w:rsidR="1B0AACCF" w:rsidRPr="2EEE2914">
        <w:rPr>
          <w:rFonts w:cs="Arial"/>
        </w:rPr>
        <w:t>City Council</w:t>
      </w:r>
    </w:p>
    <w:p w14:paraId="75C1B0F4" w14:textId="618C5E7D" w:rsidR="00087E19" w:rsidRPr="00595FE6" w:rsidRDefault="00087E19" w:rsidP="0096012C">
      <w:pPr>
        <w:pStyle w:val="Heading3"/>
      </w:pPr>
      <w:r w:rsidRPr="00595FE6">
        <w:t>Suspensions and permanent exclusions</w:t>
      </w:r>
    </w:p>
    <w:p w14:paraId="55EBDF29" w14:textId="166FE2EB" w:rsidR="005062D3" w:rsidRPr="00595FE6" w:rsidRDefault="00181509" w:rsidP="00D9246A">
      <w:pPr>
        <w:spacing w:line="240" w:lineRule="auto"/>
        <w:rPr>
          <w:rFonts w:cs="Arial"/>
          <w:szCs w:val="24"/>
        </w:rPr>
      </w:pPr>
      <w:r w:rsidRPr="00595FE6">
        <w:rPr>
          <w:rFonts w:cs="Arial"/>
          <w:szCs w:val="24"/>
        </w:rPr>
        <w:t>The latest published data is for the Autumn term of 2023/24</w:t>
      </w:r>
      <w:r w:rsidR="005062D3" w:rsidRPr="00595FE6">
        <w:rPr>
          <w:rFonts w:cs="Arial"/>
          <w:szCs w:val="24"/>
        </w:rPr>
        <w:t xml:space="preserve">, </w:t>
      </w:r>
      <w:r w:rsidR="001971E4">
        <w:rPr>
          <w:rFonts w:cs="Arial"/>
          <w:szCs w:val="24"/>
        </w:rPr>
        <w:t>when (Figure 3</w:t>
      </w:r>
      <w:r w:rsidR="0080441F">
        <w:rPr>
          <w:rFonts w:cs="Arial"/>
          <w:szCs w:val="24"/>
        </w:rPr>
        <w:t>2</w:t>
      </w:r>
      <w:r w:rsidR="001971E4">
        <w:rPr>
          <w:rFonts w:cs="Arial"/>
          <w:szCs w:val="24"/>
        </w:rPr>
        <w:t>)</w:t>
      </w:r>
      <w:r w:rsidR="000E1A82">
        <w:rPr>
          <w:rStyle w:val="EndnoteReference"/>
          <w:szCs w:val="24"/>
        </w:rPr>
        <w:endnoteReference w:id="68"/>
      </w:r>
      <w:r w:rsidR="005062D3" w:rsidRPr="00595FE6">
        <w:rPr>
          <w:rFonts w:cs="Arial"/>
          <w:szCs w:val="24"/>
        </w:rPr>
        <w:t>:</w:t>
      </w:r>
    </w:p>
    <w:p w14:paraId="586C75FC" w14:textId="3B5049E5" w:rsidR="00181509" w:rsidRPr="00595FE6" w:rsidRDefault="005062D3" w:rsidP="009858E3">
      <w:pPr>
        <w:pStyle w:val="ListParagraph"/>
        <w:numPr>
          <w:ilvl w:val="0"/>
          <w:numId w:val="35"/>
        </w:numPr>
        <w:spacing w:line="240" w:lineRule="auto"/>
        <w:rPr>
          <w:rFonts w:cs="Arial"/>
          <w:szCs w:val="24"/>
        </w:rPr>
      </w:pPr>
      <w:r w:rsidRPr="00595FE6">
        <w:rPr>
          <w:rFonts w:cs="Arial"/>
          <w:szCs w:val="24"/>
        </w:rPr>
        <w:t>There</w:t>
      </w:r>
      <w:r w:rsidR="00181509" w:rsidRPr="00595FE6">
        <w:rPr>
          <w:rFonts w:cs="Arial"/>
          <w:szCs w:val="24"/>
        </w:rPr>
        <w:t xml:space="preserve"> were no permanent exclusions in Brighton &amp; Hove.</w:t>
      </w:r>
      <w:r w:rsidRPr="00595FE6">
        <w:rPr>
          <w:rFonts w:cs="Arial"/>
          <w:szCs w:val="24"/>
        </w:rPr>
        <w:t xml:space="preserve"> The permanent exclusion rate in England was 0.05%</w:t>
      </w:r>
    </w:p>
    <w:p w14:paraId="3B4613E4" w14:textId="0FCA4F1F" w:rsidR="00181509" w:rsidRPr="00595FE6" w:rsidRDefault="00C57246" w:rsidP="009858E3">
      <w:pPr>
        <w:pStyle w:val="ListParagraph"/>
        <w:numPr>
          <w:ilvl w:val="0"/>
          <w:numId w:val="35"/>
        </w:numPr>
        <w:spacing w:line="240" w:lineRule="auto"/>
        <w:rPr>
          <w:rFonts w:cs="Arial"/>
          <w:szCs w:val="24"/>
        </w:rPr>
      </w:pPr>
      <w:r w:rsidRPr="00595FE6">
        <w:rPr>
          <w:rFonts w:cs="Arial"/>
          <w:szCs w:val="24"/>
        </w:rPr>
        <w:t>2.3</w:t>
      </w:r>
      <w:r w:rsidR="00A41A9A" w:rsidRPr="00595FE6">
        <w:rPr>
          <w:rFonts w:cs="Arial"/>
          <w:szCs w:val="24"/>
        </w:rPr>
        <w:t>% of</w:t>
      </w:r>
      <w:r w:rsidRPr="00595FE6">
        <w:rPr>
          <w:rFonts w:cs="Arial"/>
          <w:szCs w:val="24"/>
        </w:rPr>
        <w:t xml:space="preserve"> pupils were suspended</w:t>
      </w:r>
      <w:r w:rsidR="005062D3" w:rsidRPr="00595FE6">
        <w:rPr>
          <w:rFonts w:cs="Arial"/>
          <w:szCs w:val="24"/>
        </w:rPr>
        <w:t>, lower than the suspension rate for England (4.1%)</w:t>
      </w:r>
      <w:r w:rsidRPr="00595FE6">
        <w:rPr>
          <w:rFonts w:cs="Arial"/>
          <w:szCs w:val="24"/>
        </w:rPr>
        <w:t xml:space="preserve"> </w:t>
      </w:r>
    </w:p>
    <w:p w14:paraId="45D8DE49" w14:textId="4E2EA7A3" w:rsidR="00A674D2" w:rsidRPr="009A37B7" w:rsidRDefault="00CE0D77" w:rsidP="009858E3">
      <w:pPr>
        <w:pStyle w:val="ListParagraph"/>
        <w:numPr>
          <w:ilvl w:val="0"/>
          <w:numId w:val="35"/>
        </w:numPr>
        <w:spacing w:line="240" w:lineRule="auto"/>
        <w:rPr>
          <w:rFonts w:cs="Arial"/>
          <w:color w:val="0079C2"/>
          <w:szCs w:val="24"/>
        </w:rPr>
      </w:pPr>
      <w:r w:rsidRPr="009A37B7">
        <w:rPr>
          <w:rFonts w:cs="Arial"/>
          <w:b/>
          <w:color w:val="0079C2"/>
          <w:szCs w:val="24"/>
        </w:rPr>
        <w:t xml:space="preserve">For Brighton &amp; Hove, the </w:t>
      </w:r>
      <w:r w:rsidR="00B26231" w:rsidRPr="009A37B7">
        <w:rPr>
          <w:rFonts w:cs="Arial"/>
          <w:b/>
          <w:color w:val="0079C2"/>
          <w:szCs w:val="24"/>
        </w:rPr>
        <w:t>s</w:t>
      </w:r>
      <w:r w:rsidRPr="009A37B7">
        <w:rPr>
          <w:rFonts w:cs="Arial"/>
          <w:b/>
          <w:color w:val="0079C2"/>
          <w:szCs w:val="24"/>
        </w:rPr>
        <w:t xml:space="preserve">uspension rate was </w:t>
      </w:r>
      <w:r w:rsidR="00B32899" w:rsidRPr="009A37B7">
        <w:rPr>
          <w:rFonts w:cs="Arial"/>
          <w:b/>
          <w:color w:val="0079C2"/>
          <w:szCs w:val="24"/>
        </w:rPr>
        <w:t>1.2% for pupils with no SEN,</w:t>
      </w:r>
      <w:r w:rsidR="009C645D" w:rsidRPr="009A37B7">
        <w:rPr>
          <w:rFonts w:cs="Arial"/>
          <w:b/>
          <w:color w:val="0079C2"/>
          <w:szCs w:val="24"/>
        </w:rPr>
        <w:t xml:space="preserve"> </w:t>
      </w:r>
      <w:r w:rsidR="007170CA" w:rsidRPr="009A37B7">
        <w:rPr>
          <w:rFonts w:cs="Arial"/>
          <w:b/>
          <w:color w:val="0079C2"/>
          <w:szCs w:val="24"/>
        </w:rPr>
        <w:t>but</w:t>
      </w:r>
      <w:r w:rsidR="009C645D" w:rsidRPr="009A37B7">
        <w:rPr>
          <w:rFonts w:cs="Arial"/>
          <w:b/>
          <w:color w:val="0079C2"/>
          <w:szCs w:val="24"/>
        </w:rPr>
        <w:t xml:space="preserve"> </w:t>
      </w:r>
      <w:r w:rsidR="007170CA" w:rsidRPr="009A37B7">
        <w:rPr>
          <w:rFonts w:cs="Arial"/>
          <w:b/>
          <w:color w:val="0079C2"/>
          <w:szCs w:val="24"/>
        </w:rPr>
        <w:t xml:space="preserve">5-6 times this for </w:t>
      </w:r>
      <w:r w:rsidR="00B32899" w:rsidRPr="009A37B7">
        <w:rPr>
          <w:rFonts w:cs="Arial"/>
          <w:b/>
          <w:color w:val="0079C2"/>
          <w:szCs w:val="24"/>
        </w:rPr>
        <w:t xml:space="preserve">pupils with SEN Support </w:t>
      </w:r>
      <w:r w:rsidR="007170CA" w:rsidRPr="009A37B7">
        <w:rPr>
          <w:rFonts w:cs="Arial"/>
          <w:b/>
          <w:color w:val="0079C2"/>
          <w:szCs w:val="24"/>
        </w:rPr>
        <w:t>(6%) or</w:t>
      </w:r>
      <w:r w:rsidR="00B32899" w:rsidRPr="009A37B7">
        <w:rPr>
          <w:rFonts w:cs="Arial"/>
          <w:b/>
          <w:color w:val="0079C2"/>
          <w:szCs w:val="24"/>
        </w:rPr>
        <w:t xml:space="preserve"> an EHC Plan</w:t>
      </w:r>
      <w:r w:rsidR="007170CA" w:rsidRPr="009A37B7">
        <w:rPr>
          <w:rFonts w:cs="Arial"/>
          <w:b/>
          <w:color w:val="0079C2"/>
          <w:szCs w:val="24"/>
        </w:rPr>
        <w:t xml:space="preserve"> (8%)</w:t>
      </w:r>
    </w:p>
    <w:p w14:paraId="55197149" w14:textId="2A6737A6" w:rsidR="00014AB4" w:rsidRPr="009A37B7" w:rsidRDefault="00A674D2" w:rsidP="009858E3">
      <w:pPr>
        <w:pStyle w:val="ListParagraph"/>
        <w:numPr>
          <w:ilvl w:val="0"/>
          <w:numId w:val="35"/>
        </w:numPr>
        <w:spacing w:line="240" w:lineRule="auto"/>
        <w:rPr>
          <w:rFonts w:cs="Arial"/>
          <w:color w:val="0079C2"/>
          <w:szCs w:val="24"/>
        </w:rPr>
      </w:pPr>
      <w:r w:rsidRPr="009A37B7">
        <w:rPr>
          <w:rFonts w:cs="Arial"/>
          <w:b/>
          <w:color w:val="0079C2"/>
          <w:szCs w:val="24"/>
        </w:rPr>
        <w:t xml:space="preserve">The suspension rate in Brighton &amp; Hove is lower than for England </w:t>
      </w:r>
      <w:r w:rsidR="00476564" w:rsidRPr="009A37B7">
        <w:rPr>
          <w:rFonts w:cs="Arial"/>
          <w:b/>
          <w:color w:val="0079C2"/>
          <w:szCs w:val="24"/>
        </w:rPr>
        <w:t xml:space="preserve">pupils </w:t>
      </w:r>
      <w:r w:rsidR="00014AB4" w:rsidRPr="009A37B7">
        <w:rPr>
          <w:rFonts w:cs="Arial"/>
          <w:b/>
          <w:color w:val="0079C2"/>
          <w:szCs w:val="24"/>
        </w:rPr>
        <w:t xml:space="preserve">with </w:t>
      </w:r>
      <w:r w:rsidR="00476564" w:rsidRPr="009A37B7">
        <w:rPr>
          <w:rFonts w:cs="Arial"/>
          <w:b/>
          <w:color w:val="0079C2"/>
          <w:szCs w:val="24"/>
        </w:rPr>
        <w:t>no SEN (England 2.7%), with SEN Support (England</w:t>
      </w:r>
      <w:r w:rsidR="005062D3" w:rsidRPr="009A37B7">
        <w:rPr>
          <w:rFonts w:cs="Arial"/>
          <w:b/>
          <w:color w:val="0079C2"/>
          <w:szCs w:val="24"/>
        </w:rPr>
        <w:t xml:space="preserve"> </w:t>
      </w:r>
      <w:r w:rsidR="000C18DD" w:rsidRPr="009A37B7">
        <w:rPr>
          <w:rFonts w:cs="Arial"/>
          <w:b/>
          <w:color w:val="0079C2"/>
          <w:szCs w:val="24"/>
        </w:rPr>
        <w:t>11%</w:t>
      </w:r>
      <w:r w:rsidR="00014AB4" w:rsidRPr="009A37B7">
        <w:rPr>
          <w:rFonts w:cs="Arial"/>
          <w:b/>
          <w:color w:val="0079C2"/>
          <w:szCs w:val="24"/>
        </w:rPr>
        <w:t>) or an EHC Plan (England</w:t>
      </w:r>
      <w:r w:rsidR="000C18DD" w:rsidRPr="009A37B7">
        <w:rPr>
          <w:rFonts w:cs="Arial"/>
          <w:b/>
          <w:color w:val="0079C2"/>
          <w:szCs w:val="24"/>
        </w:rPr>
        <w:t xml:space="preserve"> 10%</w:t>
      </w:r>
      <w:r w:rsidR="00B32899" w:rsidRPr="009A37B7">
        <w:rPr>
          <w:rFonts w:cs="Arial"/>
          <w:b/>
          <w:color w:val="0079C2"/>
          <w:szCs w:val="24"/>
        </w:rPr>
        <w:t>)</w:t>
      </w:r>
      <w:r w:rsidR="00014AB4" w:rsidRPr="009A37B7">
        <w:rPr>
          <w:rFonts w:cs="Arial"/>
          <w:b/>
          <w:color w:val="0079C2"/>
          <w:szCs w:val="24"/>
        </w:rPr>
        <w:t>.</w:t>
      </w:r>
    </w:p>
    <w:p w14:paraId="46D729A9" w14:textId="1A1C9A32" w:rsidR="003F0C20" w:rsidRPr="00595FE6" w:rsidRDefault="009126C8" w:rsidP="00D9246A">
      <w:pPr>
        <w:spacing w:line="240" w:lineRule="auto"/>
        <w:rPr>
          <w:rFonts w:cs="Arial"/>
          <w:szCs w:val="24"/>
        </w:rPr>
      </w:pPr>
      <w:r w:rsidRPr="009A37B7">
        <w:rPr>
          <w:rFonts w:cs="Arial"/>
          <w:b/>
          <w:color w:val="0079C2"/>
          <w:szCs w:val="24"/>
        </w:rPr>
        <w:t>Brighton &amp; Hove has not seen the increase in suspension rates for pupils with SEN Support or an EHC Plan which have been seen across England.</w:t>
      </w:r>
      <w:r w:rsidRPr="00595FE6">
        <w:rPr>
          <w:rFonts w:cs="Arial"/>
          <w:szCs w:val="24"/>
        </w:rPr>
        <w:t xml:space="preserve"> </w:t>
      </w:r>
      <w:r w:rsidR="00444C99" w:rsidRPr="00595FE6">
        <w:rPr>
          <w:rFonts w:cs="Arial"/>
          <w:szCs w:val="24"/>
        </w:rPr>
        <w:t xml:space="preserve">Between </w:t>
      </w:r>
      <w:r w:rsidR="00967CD7" w:rsidRPr="00595FE6">
        <w:rPr>
          <w:rFonts w:cs="Arial"/>
          <w:szCs w:val="24"/>
        </w:rPr>
        <w:t>Autumn 2019/20 to Autumn 2023/24:</w:t>
      </w:r>
    </w:p>
    <w:p w14:paraId="5467F21D" w14:textId="364FA4A9" w:rsidR="00967CD7" w:rsidRPr="00595FE6" w:rsidRDefault="00967CD7" w:rsidP="009858E3">
      <w:pPr>
        <w:pStyle w:val="ListParagraph"/>
        <w:numPr>
          <w:ilvl w:val="0"/>
          <w:numId w:val="35"/>
        </w:numPr>
        <w:spacing w:line="240" w:lineRule="auto"/>
        <w:rPr>
          <w:rFonts w:cs="Arial"/>
          <w:szCs w:val="24"/>
        </w:rPr>
      </w:pPr>
      <w:r w:rsidRPr="00595FE6">
        <w:rPr>
          <w:rFonts w:cs="Arial"/>
          <w:szCs w:val="24"/>
        </w:rPr>
        <w:t>The overall suspension rate in Brighton &amp; Hove increased from 1.8% to 2.3% (England from 2.2% to 4.1%)</w:t>
      </w:r>
    </w:p>
    <w:p w14:paraId="1526F65A" w14:textId="24942392" w:rsidR="001E2603" w:rsidRPr="00595FE6" w:rsidRDefault="00967CD7" w:rsidP="009858E3">
      <w:pPr>
        <w:pStyle w:val="ListParagraph"/>
        <w:numPr>
          <w:ilvl w:val="0"/>
          <w:numId w:val="35"/>
        </w:numPr>
        <w:spacing w:line="240" w:lineRule="auto"/>
        <w:rPr>
          <w:rFonts w:cs="Arial"/>
          <w:szCs w:val="24"/>
        </w:rPr>
      </w:pPr>
      <w:r w:rsidRPr="00595FE6">
        <w:rPr>
          <w:rFonts w:cs="Arial"/>
          <w:szCs w:val="24"/>
        </w:rPr>
        <w:t xml:space="preserve">The suspension rate for pupils with SEN Support </w:t>
      </w:r>
      <w:r w:rsidR="008044AB" w:rsidRPr="00595FE6">
        <w:rPr>
          <w:rFonts w:cs="Arial"/>
          <w:szCs w:val="24"/>
        </w:rPr>
        <w:t>remained similar, from</w:t>
      </w:r>
      <w:r w:rsidRPr="00595FE6">
        <w:rPr>
          <w:rFonts w:cs="Arial"/>
          <w:szCs w:val="24"/>
        </w:rPr>
        <w:t xml:space="preserve"> </w:t>
      </w:r>
      <w:r w:rsidR="008044AB" w:rsidRPr="00595FE6">
        <w:rPr>
          <w:rFonts w:cs="Arial"/>
          <w:szCs w:val="24"/>
        </w:rPr>
        <w:t xml:space="preserve">7% to 6% (England </w:t>
      </w:r>
      <w:r w:rsidR="001E2603" w:rsidRPr="00595FE6">
        <w:rPr>
          <w:rFonts w:cs="Arial"/>
          <w:szCs w:val="24"/>
        </w:rPr>
        <w:t xml:space="preserve">increased </w:t>
      </w:r>
      <w:r w:rsidR="008044AB" w:rsidRPr="00595FE6">
        <w:rPr>
          <w:rFonts w:cs="Arial"/>
          <w:szCs w:val="24"/>
        </w:rPr>
        <w:t>from</w:t>
      </w:r>
      <w:r w:rsidR="001E2603" w:rsidRPr="00595FE6">
        <w:rPr>
          <w:rFonts w:cs="Arial"/>
          <w:szCs w:val="24"/>
        </w:rPr>
        <w:t xml:space="preserve"> 7% to 11%)</w:t>
      </w:r>
    </w:p>
    <w:p w14:paraId="46148200" w14:textId="77777777" w:rsidR="001E2603" w:rsidRPr="00595FE6" w:rsidRDefault="001E2603" w:rsidP="009858E3">
      <w:pPr>
        <w:pStyle w:val="ListParagraph"/>
        <w:numPr>
          <w:ilvl w:val="0"/>
          <w:numId w:val="35"/>
        </w:numPr>
        <w:spacing w:line="240" w:lineRule="auto"/>
        <w:rPr>
          <w:rFonts w:cs="Arial"/>
          <w:szCs w:val="24"/>
        </w:rPr>
      </w:pPr>
      <w:r w:rsidRPr="00595FE6">
        <w:rPr>
          <w:rFonts w:cs="Arial"/>
          <w:szCs w:val="24"/>
        </w:rPr>
        <w:t>The suspension rate for pupils with an EHC Plan remained at 8% (England increased from 7% to 10%)</w:t>
      </w:r>
    </w:p>
    <w:p w14:paraId="6B8F16E3" w14:textId="1B4212C2" w:rsidR="00967CD7" w:rsidRPr="00595FE6" w:rsidRDefault="007A4ED0" w:rsidP="009858E3">
      <w:pPr>
        <w:pStyle w:val="ListParagraph"/>
        <w:numPr>
          <w:ilvl w:val="0"/>
          <w:numId w:val="35"/>
        </w:numPr>
        <w:spacing w:line="240" w:lineRule="auto"/>
        <w:rPr>
          <w:rFonts w:cs="Arial"/>
          <w:szCs w:val="24"/>
        </w:rPr>
      </w:pPr>
      <w:r w:rsidRPr="00595FE6">
        <w:rPr>
          <w:rFonts w:cs="Arial"/>
          <w:szCs w:val="24"/>
        </w:rPr>
        <w:t xml:space="preserve">The suspension rate for pupils with no SEN increased from 0.7% to 1.2% (England from 1.4% to </w:t>
      </w:r>
      <w:r w:rsidR="006E2F9B" w:rsidRPr="00595FE6">
        <w:rPr>
          <w:rFonts w:cs="Arial"/>
          <w:szCs w:val="24"/>
        </w:rPr>
        <w:t>2.7%)</w:t>
      </w:r>
      <w:r w:rsidR="00444C99" w:rsidRPr="00595FE6">
        <w:rPr>
          <w:rFonts w:cs="Arial"/>
          <w:szCs w:val="24"/>
        </w:rPr>
        <w:t>.</w:t>
      </w:r>
    </w:p>
    <w:p w14:paraId="181C9113" w14:textId="77777777" w:rsidR="00DF222A" w:rsidRPr="00DF222A" w:rsidRDefault="00DF222A" w:rsidP="00D9246A">
      <w:pPr>
        <w:spacing w:line="240" w:lineRule="auto"/>
        <w:rPr>
          <w:rFonts w:cs="Arial"/>
          <w:b/>
          <w:color w:val="0079C2"/>
          <w:szCs w:val="24"/>
        </w:rPr>
      </w:pPr>
      <w:r w:rsidRPr="00DF222A">
        <w:rPr>
          <w:rFonts w:cs="Arial"/>
          <w:b/>
          <w:color w:val="0079C2"/>
          <w:szCs w:val="24"/>
        </w:rPr>
        <w:t>There have been no more than three exclusions in Brighton &amp; Hove in any term since Autumn 2019/20 when the data was available – and so no further breakdown is provided.</w:t>
      </w:r>
    </w:p>
    <w:p w14:paraId="49ED5140" w14:textId="77777777" w:rsidR="00036228" w:rsidRDefault="00036228" w:rsidP="00D9246A">
      <w:pPr>
        <w:spacing w:line="240" w:lineRule="auto"/>
        <w:rPr>
          <w:b/>
          <w:bCs/>
          <w:color w:val="A65588"/>
        </w:rPr>
      </w:pPr>
      <w:r>
        <w:rPr>
          <w:b/>
          <w:bCs/>
          <w:color w:val="A65588"/>
        </w:rPr>
        <w:br w:type="page"/>
      </w:r>
    </w:p>
    <w:p w14:paraId="2405B29B" w14:textId="5D612092" w:rsidR="000153F6" w:rsidRPr="0062341A" w:rsidRDefault="00FA2652" w:rsidP="00D9246A">
      <w:pPr>
        <w:spacing w:line="240" w:lineRule="auto"/>
        <w:rPr>
          <w:b/>
          <w:color w:val="A65588"/>
        </w:rPr>
      </w:pPr>
      <w:r w:rsidRPr="0062341A">
        <w:rPr>
          <w:b/>
          <w:color w:val="A65588"/>
        </w:rPr>
        <w:lastRenderedPageBreak/>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32</w:t>
      </w:r>
      <w:r w:rsidR="00CA2D43">
        <w:rPr>
          <w:b/>
          <w:color w:val="A65588"/>
        </w:rPr>
        <w:fldChar w:fldCharType="end"/>
      </w:r>
      <w:r w:rsidRPr="0062341A">
        <w:rPr>
          <w:b/>
          <w:color w:val="A65588"/>
        </w:rPr>
        <w:t xml:space="preserve">: </w:t>
      </w:r>
      <w:r w:rsidR="000153F6" w:rsidRPr="0062341A">
        <w:rPr>
          <w:b/>
          <w:color w:val="A65588"/>
        </w:rPr>
        <w:t>Rate (%) of suspension by SEN status</w:t>
      </w:r>
      <w:r w:rsidR="0062341A">
        <w:rPr>
          <w:b/>
          <w:bCs/>
          <w:color w:val="A65588"/>
        </w:rPr>
        <w:t>,</w:t>
      </w:r>
      <w:r w:rsidR="000153F6">
        <w:rPr>
          <w:b/>
          <w:color w:val="A65588"/>
        </w:rPr>
        <w:t xml:space="preserve"> </w:t>
      </w:r>
      <w:r w:rsidR="000153F6" w:rsidRPr="0062341A">
        <w:rPr>
          <w:b/>
          <w:color w:val="A65588"/>
        </w:rPr>
        <w:t>Brighton &amp; Hove and England, Autumn term 2023/24</w:t>
      </w:r>
    </w:p>
    <w:p w14:paraId="44C93F85" w14:textId="77777777" w:rsidR="00B26231" w:rsidRPr="00595FE6" w:rsidRDefault="00B26231" w:rsidP="00D9246A">
      <w:pPr>
        <w:spacing w:line="240" w:lineRule="auto"/>
        <w:rPr>
          <w:rFonts w:cs="Arial"/>
          <w:b/>
          <w:color w:val="C00000"/>
          <w:szCs w:val="24"/>
        </w:rPr>
      </w:pPr>
      <w:r w:rsidRPr="00595FE6">
        <w:rPr>
          <w:rFonts w:cs="Arial"/>
          <w:noProof/>
          <w:szCs w:val="24"/>
        </w:rPr>
        <w:drawing>
          <wp:inline distT="0" distB="0" distL="0" distR="0" wp14:anchorId="75A11D42" wp14:editId="4D59C919">
            <wp:extent cx="5486400" cy="2724150"/>
            <wp:effectExtent l="0" t="0" r="0" b="19050"/>
            <wp:docPr id="772199980" name="Diagram 1" descr="Image showing the suspension rate (%) by SEN status in Brighton &amp; Hove and England, Autumn term, 2023/24. &#10;&#10;2.3% of pupils were suspended in Brighton &amp; Hove, this is lower than the suspension rate for England (4.1%). &#10;For Brighton &amp; Hove, the suspension rate was 1.2% for pupils with no SEN, but 5-6 times this for pupils with SEN Support (6%) or an EHC Plan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3" r:lo="rId104" r:qs="rId105" r:cs="rId106"/>
              </a:graphicData>
            </a:graphic>
          </wp:inline>
        </w:drawing>
      </w:r>
    </w:p>
    <w:p w14:paraId="629D6664" w14:textId="57D1CBFF" w:rsidR="00F84E68" w:rsidRPr="00595FE6" w:rsidRDefault="000153F6" w:rsidP="00D9246A">
      <w:pPr>
        <w:spacing w:line="240" w:lineRule="auto"/>
        <w:rPr>
          <w:rFonts w:cs="Arial"/>
          <w:szCs w:val="24"/>
        </w:rPr>
      </w:pPr>
      <w:r w:rsidRPr="00036228">
        <w:rPr>
          <w:rFonts w:cs="Arial"/>
          <w:b/>
          <w:szCs w:val="24"/>
        </w:rPr>
        <w:t>Source:</w:t>
      </w:r>
      <w:r>
        <w:rPr>
          <w:rFonts w:cs="Arial"/>
          <w:szCs w:val="24"/>
        </w:rPr>
        <w:t xml:space="preserve"> </w:t>
      </w:r>
      <w:r w:rsidR="00B26231" w:rsidRPr="00595FE6">
        <w:rPr>
          <w:rFonts w:cs="Arial"/>
          <w:szCs w:val="24"/>
        </w:rPr>
        <w:t xml:space="preserve">Department for Education </w:t>
      </w:r>
      <w:r w:rsidR="00940320">
        <w:rPr>
          <w:rFonts w:cs="Arial"/>
          <w:szCs w:val="24"/>
        </w:rPr>
        <w:t>S</w:t>
      </w:r>
      <w:r w:rsidR="00127542" w:rsidRPr="00595FE6">
        <w:rPr>
          <w:rFonts w:cs="Arial"/>
          <w:szCs w:val="24"/>
        </w:rPr>
        <w:t xml:space="preserve">uspensions and permanent exclusions in England. </w:t>
      </w:r>
    </w:p>
    <w:p w14:paraId="30ADD0A6" w14:textId="7D350304" w:rsidR="0012332A" w:rsidRPr="00595FE6" w:rsidRDefault="005D29C3" w:rsidP="0096012C">
      <w:pPr>
        <w:pStyle w:val="Heading3"/>
      </w:pPr>
      <w:r w:rsidRPr="00595FE6">
        <w:t xml:space="preserve">16-17 year olds </w:t>
      </w:r>
      <w:r w:rsidR="0012332A" w:rsidRPr="00595FE6">
        <w:t xml:space="preserve">Not in Education, Employment </w:t>
      </w:r>
      <w:r w:rsidRPr="00595FE6">
        <w:t xml:space="preserve">or Training (NEET) </w:t>
      </w:r>
    </w:p>
    <w:p w14:paraId="4A834362" w14:textId="722B71A7" w:rsidR="00D97C70" w:rsidRPr="00595FE6" w:rsidRDefault="00DE7525" w:rsidP="00D9246A">
      <w:pPr>
        <w:spacing w:line="240" w:lineRule="auto"/>
        <w:rPr>
          <w:rFonts w:cs="Arial"/>
          <w:szCs w:val="24"/>
        </w:rPr>
      </w:pPr>
      <w:r w:rsidRPr="00595FE6">
        <w:rPr>
          <w:rFonts w:cs="Arial"/>
          <w:szCs w:val="24"/>
        </w:rPr>
        <w:t xml:space="preserve">In 2023/24, 4.1% of 16-17 year olds in Brighton &amp; Hove were known to not be in education, employment or training (NEET), compared to </w:t>
      </w:r>
      <w:r w:rsidR="00D97C70" w:rsidRPr="00595FE6">
        <w:rPr>
          <w:rFonts w:cs="Arial"/>
          <w:szCs w:val="24"/>
        </w:rPr>
        <w:t>3.2% for England</w:t>
      </w:r>
      <w:r w:rsidR="00290205">
        <w:rPr>
          <w:rFonts w:cs="Arial"/>
          <w:szCs w:val="24"/>
        </w:rPr>
        <w:t xml:space="preserve"> (</w:t>
      </w:r>
      <w:r w:rsidR="00AF2313">
        <w:rPr>
          <w:rFonts w:cs="Arial"/>
          <w:szCs w:val="24"/>
        </w:rPr>
        <w:t>F</w:t>
      </w:r>
      <w:r w:rsidR="00290205">
        <w:rPr>
          <w:rFonts w:cs="Arial"/>
          <w:szCs w:val="24"/>
        </w:rPr>
        <w:t>igure 3</w:t>
      </w:r>
      <w:r w:rsidR="002D370C">
        <w:rPr>
          <w:rFonts w:cs="Arial"/>
          <w:szCs w:val="24"/>
        </w:rPr>
        <w:t>3</w:t>
      </w:r>
      <w:r w:rsidR="00290205">
        <w:rPr>
          <w:rFonts w:cs="Arial"/>
          <w:szCs w:val="24"/>
        </w:rPr>
        <w:t>)</w:t>
      </w:r>
      <w:r w:rsidR="00D97C70" w:rsidRPr="00595FE6">
        <w:rPr>
          <w:rFonts w:cs="Arial"/>
          <w:szCs w:val="24"/>
        </w:rPr>
        <w:t>.</w:t>
      </w:r>
      <w:r w:rsidR="00967A86" w:rsidRPr="00595FE6">
        <w:rPr>
          <w:rFonts w:cs="Arial"/>
          <w:szCs w:val="24"/>
        </w:rPr>
        <w:t xml:space="preserve"> In the city this increased from 3.0% in 2019/20</w:t>
      </w:r>
      <w:r w:rsidR="00A8720E" w:rsidRPr="00595FE6">
        <w:rPr>
          <w:rFonts w:cs="Arial"/>
          <w:szCs w:val="24"/>
        </w:rPr>
        <w:t>, and for England from 2.6%.</w:t>
      </w:r>
      <w:r w:rsidR="00A8720E" w:rsidRPr="00595FE6">
        <w:rPr>
          <w:rStyle w:val="EndnoteReference"/>
          <w:rFonts w:cs="Arial"/>
          <w:szCs w:val="24"/>
        </w:rPr>
        <w:endnoteReference w:id="69"/>
      </w:r>
    </w:p>
    <w:p w14:paraId="74958750" w14:textId="0F4E70BF" w:rsidR="0055030E" w:rsidRPr="009A37B7" w:rsidRDefault="00087F74" w:rsidP="00D9246A">
      <w:pPr>
        <w:spacing w:line="240" w:lineRule="auto"/>
        <w:rPr>
          <w:rFonts w:cs="Arial"/>
          <w:b/>
          <w:color w:val="0079C2"/>
          <w:szCs w:val="24"/>
        </w:rPr>
      </w:pPr>
      <w:r w:rsidRPr="009A37B7">
        <w:rPr>
          <w:rFonts w:cs="Arial"/>
          <w:b/>
          <w:color w:val="0079C2"/>
          <w:szCs w:val="24"/>
        </w:rPr>
        <w:t xml:space="preserve">Brighton &amp; Hove has higher rates of NEET in those with </w:t>
      </w:r>
      <w:r w:rsidR="005B57E4" w:rsidRPr="009A37B7">
        <w:rPr>
          <w:rFonts w:cs="Arial"/>
          <w:b/>
          <w:color w:val="0079C2"/>
          <w:szCs w:val="24"/>
        </w:rPr>
        <w:t xml:space="preserve">an </w:t>
      </w:r>
      <w:r w:rsidRPr="009A37B7">
        <w:rPr>
          <w:rFonts w:cs="Arial"/>
          <w:b/>
          <w:color w:val="0079C2"/>
          <w:szCs w:val="24"/>
        </w:rPr>
        <w:t>ECHP and SEND support than England, with rates changing little between 2019/20 and 2023/24:</w:t>
      </w:r>
    </w:p>
    <w:p w14:paraId="6F2804FE" w14:textId="17E64C4E" w:rsidR="00A20594" w:rsidRPr="00595FE6" w:rsidRDefault="005707A1" w:rsidP="009858E3">
      <w:pPr>
        <w:pStyle w:val="ListParagraph"/>
        <w:numPr>
          <w:ilvl w:val="0"/>
          <w:numId w:val="35"/>
        </w:numPr>
        <w:spacing w:line="240" w:lineRule="auto"/>
        <w:rPr>
          <w:rFonts w:cs="Arial"/>
          <w:szCs w:val="24"/>
        </w:rPr>
      </w:pPr>
      <w:r w:rsidRPr="00595FE6">
        <w:rPr>
          <w:rFonts w:cs="Arial"/>
          <w:szCs w:val="24"/>
        </w:rPr>
        <w:t>13</w:t>
      </w:r>
      <w:r w:rsidR="00A20594" w:rsidRPr="00595FE6">
        <w:rPr>
          <w:rFonts w:cs="Arial"/>
          <w:szCs w:val="24"/>
        </w:rPr>
        <w:t>% of 16–17-year-olds with an ECHP (</w:t>
      </w:r>
      <w:r w:rsidRPr="00595FE6">
        <w:rPr>
          <w:rFonts w:cs="Arial"/>
          <w:szCs w:val="24"/>
        </w:rPr>
        <w:t>9</w:t>
      </w:r>
      <w:r w:rsidR="00CB55AA" w:rsidRPr="00595FE6">
        <w:rPr>
          <w:rFonts w:cs="Arial"/>
          <w:szCs w:val="24"/>
        </w:rPr>
        <w:t>%</w:t>
      </w:r>
      <w:r w:rsidR="00A20594" w:rsidRPr="00595FE6">
        <w:rPr>
          <w:rFonts w:cs="Arial"/>
          <w:szCs w:val="24"/>
        </w:rPr>
        <w:t xml:space="preserve"> England)</w:t>
      </w:r>
      <w:r w:rsidR="007D6170" w:rsidRPr="00595FE6">
        <w:rPr>
          <w:rFonts w:cs="Arial"/>
          <w:szCs w:val="24"/>
        </w:rPr>
        <w:t>, from 12% in 2019</w:t>
      </w:r>
    </w:p>
    <w:p w14:paraId="2859EF43" w14:textId="65E15A3B" w:rsidR="00A20594" w:rsidRPr="00595FE6" w:rsidRDefault="005707A1" w:rsidP="009858E3">
      <w:pPr>
        <w:pStyle w:val="ListParagraph"/>
        <w:numPr>
          <w:ilvl w:val="0"/>
          <w:numId w:val="35"/>
        </w:numPr>
        <w:spacing w:line="240" w:lineRule="auto"/>
        <w:rPr>
          <w:rFonts w:cs="Arial"/>
          <w:szCs w:val="24"/>
        </w:rPr>
      </w:pPr>
      <w:r w:rsidRPr="00595FE6">
        <w:rPr>
          <w:rFonts w:cs="Arial"/>
          <w:szCs w:val="24"/>
        </w:rPr>
        <w:t>8</w:t>
      </w:r>
      <w:r w:rsidR="00A20594" w:rsidRPr="00595FE6">
        <w:rPr>
          <w:rFonts w:cs="Arial"/>
          <w:szCs w:val="24"/>
        </w:rPr>
        <w:t>% of 16–17-year-olds with SEN support (</w:t>
      </w:r>
      <w:r w:rsidR="005F3062" w:rsidRPr="00595FE6">
        <w:rPr>
          <w:rFonts w:cs="Arial"/>
          <w:szCs w:val="24"/>
        </w:rPr>
        <w:t>6</w:t>
      </w:r>
      <w:r w:rsidR="00A20594" w:rsidRPr="00595FE6">
        <w:rPr>
          <w:rFonts w:cs="Arial"/>
          <w:szCs w:val="24"/>
        </w:rPr>
        <w:t>% England)</w:t>
      </w:r>
      <w:r w:rsidR="007D6170" w:rsidRPr="00595FE6">
        <w:rPr>
          <w:rFonts w:cs="Arial"/>
          <w:szCs w:val="24"/>
        </w:rPr>
        <w:t>, from 7% in 2019</w:t>
      </w:r>
    </w:p>
    <w:p w14:paraId="2F5BDD90" w14:textId="25A27C90" w:rsidR="00811994" w:rsidRPr="00595FE6" w:rsidRDefault="00A20594" w:rsidP="009858E3">
      <w:pPr>
        <w:pStyle w:val="ListParagraph"/>
        <w:numPr>
          <w:ilvl w:val="0"/>
          <w:numId w:val="35"/>
        </w:numPr>
        <w:spacing w:line="240" w:lineRule="auto"/>
        <w:rPr>
          <w:rFonts w:cs="Arial"/>
          <w:szCs w:val="24"/>
        </w:rPr>
      </w:pPr>
      <w:r w:rsidRPr="00595FE6">
        <w:rPr>
          <w:rFonts w:cs="Arial"/>
          <w:szCs w:val="24"/>
        </w:rPr>
        <w:t>2.8% of 16–17-year-olds without SEN (</w:t>
      </w:r>
      <w:r w:rsidR="005F3062" w:rsidRPr="00595FE6">
        <w:rPr>
          <w:rFonts w:cs="Arial"/>
          <w:szCs w:val="24"/>
        </w:rPr>
        <w:t>2.5</w:t>
      </w:r>
      <w:r w:rsidRPr="00595FE6">
        <w:rPr>
          <w:rFonts w:cs="Arial"/>
          <w:szCs w:val="24"/>
        </w:rPr>
        <w:t>% England)</w:t>
      </w:r>
      <w:r w:rsidR="007D6170" w:rsidRPr="00595FE6">
        <w:rPr>
          <w:rFonts w:cs="Arial"/>
          <w:szCs w:val="24"/>
        </w:rPr>
        <w:t xml:space="preserve">, from </w:t>
      </w:r>
      <w:r w:rsidR="00C07F00" w:rsidRPr="00595FE6">
        <w:rPr>
          <w:rFonts w:cs="Arial"/>
          <w:szCs w:val="24"/>
        </w:rPr>
        <w:t>2.2% in 2019</w:t>
      </w:r>
      <w:r w:rsidRPr="00036228">
        <w:rPr>
          <w:rFonts w:cs="Arial"/>
          <w:szCs w:val="24"/>
        </w:rPr>
        <w:t>.</w:t>
      </w:r>
    </w:p>
    <w:p w14:paraId="5AB83B94" w14:textId="07B41419" w:rsidR="00DB7B1C" w:rsidRPr="0036338C" w:rsidRDefault="007B026D" w:rsidP="00D9246A">
      <w:pPr>
        <w:spacing w:line="240" w:lineRule="auto"/>
        <w:rPr>
          <w:b/>
          <w:color w:val="A65588"/>
        </w:rPr>
      </w:pPr>
      <w:r w:rsidRPr="0036338C">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33</w:t>
      </w:r>
      <w:r w:rsidR="00CA2D43">
        <w:rPr>
          <w:b/>
          <w:color w:val="A65588"/>
        </w:rPr>
        <w:fldChar w:fldCharType="end"/>
      </w:r>
      <w:r w:rsidRPr="0036338C">
        <w:rPr>
          <w:b/>
          <w:color w:val="A65588"/>
        </w:rPr>
        <w:t xml:space="preserve">: </w:t>
      </w:r>
      <w:r w:rsidR="00DB7B1C" w:rsidRPr="0036338C">
        <w:rPr>
          <w:b/>
          <w:color w:val="A65588"/>
        </w:rPr>
        <w:t>Percentage of 16-17 year olds who are Not in Education, Employment or Training (NEET), by SEN status, Brighton &amp; Hove and England, 2023/24</w:t>
      </w:r>
    </w:p>
    <w:p w14:paraId="7F297A66" w14:textId="24CA82CE" w:rsidR="00E81C1B" w:rsidRPr="00595FE6" w:rsidRDefault="00811994" w:rsidP="00D9246A">
      <w:pPr>
        <w:spacing w:line="240" w:lineRule="auto"/>
        <w:rPr>
          <w:rFonts w:cs="Arial"/>
          <w:szCs w:val="24"/>
        </w:rPr>
      </w:pPr>
      <w:r w:rsidRPr="00595FE6">
        <w:rPr>
          <w:rFonts w:cs="Arial"/>
          <w:noProof/>
          <w:szCs w:val="24"/>
        </w:rPr>
        <w:drawing>
          <wp:inline distT="0" distB="0" distL="0" distR="0" wp14:anchorId="424BE4E7" wp14:editId="070F78A5">
            <wp:extent cx="5486400" cy="2771775"/>
            <wp:effectExtent l="0" t="0" r="0" b="9525"/>
            <wp:docPr id="493728559" name="Diagram 1" descr="Image showing the percentage of 16 to year olds who are Not in Education, Employment or Training (NEET), by SEN status, Brighton &amp; Hove and England, 2023/24.&#10;&#10;In 2023/24, 4.1% of 16-17 year olds in Brighton &amp; Hove were known to not be in education, employment or training (NEET), compared to 3.2% for England.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inline>
        </w:drawing>
      </w:r>
      <w:r w:rsidR="006B2C65" w:rsidRPr="0036338C">
        <w:rPr>
          <w:rFonts w:cs="Arial"/>
          <w:b/>
          <w:szCs w:val="24"/>
        </w:rPr>
        <w:t>S</w:t>
      </w:r>
      <w:r w:rsidRPr="0036338C">
        <w:rPr>
          <w:rFonts w:cs="Arial"/>
          <w:b/>
          <w:szCs w:val="24"/>
        </w:rPr>
        <w:t>ource:</w:t>
      </w:r>
      <w:r w:rsidRPr="00940320">
        <w:rPr>
          <w:rFonts w:cs="Arial"/>
          <w:szCs w:val="24"/>
        </w:rPr>
        <w:t xml:space="preserve"> </w:t>
      </w:r>
      <w:r w:rsidRPr="002E698B">
        <w:rPr>
          <w:rStyle w:val="Hyperlink"/>
          <w:rFonts w:cs="Arial"/>
          <w:color w:val="0D0D0D" w:themeColor="text1" w:themeTint="F2"/>
          <w:u w:val="none"/>
        </w:rPr>
        <w:t>Department</w:t>
      </w:r>
      <w:r w:rsidRPr="00595FE6">
        <w:rPr>
          <w:rFonts w:cs="Arial"/>
          <w:szCs w:val="24"/>
        </w:rPr>
        <w:t xml:space="preserve"> for Education Participation in education, training and NEET age 16 to 17 by local authority, 2023/24</w:t>
      </w:r>
    </w:p>
    <w:p w14:paraId="078F1218" w14:textId="06BD8BEE" w:rsidR="00281666" w:rsidRPr="00595FE6" w:rsidRDefault="00A91159" w:rsidP="0096012C">
      <w:pPr>
        <w:pStyle w:val="Heading3"/>
      </w:pPr>
      <w:r w:rsidRPr="00595FE6">
        <w:lastRenderedPageBreak/>
        <w:t>Destination beyond 16-18 years</w:t>
      </w:r>
    </w:p>
    <w:p w14:paraId="4130E40C" w14:textId="60A7D019" w:rsidR="00A91159" w:rsidRPr="00595FE6" w:rsidRDefault="00590761" w:rsidP="00D9246A">
      <w:pPr>
        <w:spacing w:line="240" w:lineRule="auto"/>
        <w:rPr>
          <w:rFonts w:cs="Arial"/>
          <w:szCs w:val="24"/>
        </w:rPr>
      </w:pPr>
      <w:r w:rsidRPr="00595FE6">
        <w:rPr>
          <w:rFonts w:cs="Arial"/>
          <w:szCs w:val="24"/>
        </w:rPr>
        <w:t>The Department of Education provides data on the destination of students beyond the age of 16-18 years, that is if they are in sustained education, sustained employment or sustained apprenticeships. The latest data available is for 2022/23.</w:t>
      </w:r>
      <w:r w:rsidR="00552D27" w:rsidRPr="00595FE6">
        <w:rPr>
          <w:rStyle w:val="EndnoteReference"/>
          <w:rFonts w:cs="Arial"/>
          <w:szCs w:val="24"/>
        </w:rPr>
        <w:endnoteReference w:id="70"/>
      </w:r>
    </w:p>
    <w:p w14:paraId="32BF5D9A" w14:textId="2273C373" w:rsidR="006C36D7" w:rsidRPr="00595FE6" w:rsidRDefault="008F5ED1" w:rsidP="00D9246A">
      <w:pPr>
        <w:spacing w:line="240" w:lineRule="auto"/>
        <w:rPr>
          <w:rFonts w:cs="Arial"/>
          <w:szCs w:val="24"/>
        </w:rPr>
      </w:pPr>
      <w:r w:rsidRPr="00595FE6">
        <w:rPr>
          <w:rFonts w:cs="Arial"/>
          <w:szCs w:val="24"/>
        </w:rPr>
        <w:t xml:space="preserve">In Brighton &amp; Hove, 77% of students with SEN who left 16-18 years education in 2022 were in sustained education, employment or apprenticeship in 2022/23. This is higher than students without SEN (69%). Fewer students both with and without SEN in the city go on sustained education, employment or apprenticeship (combined) than for England 82% for those with SEN </w:t>
      </w:r>
      <w:r w:rsidR="00257C9F">
        <w:rPr>
          <w:rFonts w:cs="Arial"/>
          <w:szCs w:val="24"/>
        </w:rPr>
        <w:t>(Figure 3</w:t>
      </w:r>
      <w:r w:rsidR="005B264A">
        <w:rPr>
          <w:rFonts w:cs="Arial"/>
          <w:szCs w:val="24"/>
        </w:rPr>
        <w:t>4</w:t>
      </w:r>
      <w:r w:rsidR="00257C9F">
        <w:rPr>
          <w:rFonts w:cs="Arial"/>
          <w:szCs w:val="24"/>
        </w:rPr>
        <w:t>)</w:t>
      </w:r>
      <w:r w:rsidR="008E0CA2">
        <w:rPr>
          <w:rFonts w:cs="Arial"/>
          <w:szCs w:val="24"/>
        </w:rPr>
        <w:t xml:space="preserve"> </w:t>
      </w:r>
      <w:r w:rsidRPr="00595FE6">
        <w:rPr>
          <w:rFonts w:cs="Arial"/>
          <w:szCs w:val="24"/>
        </w:rPr>
        <w:t>and 88% for those without SEN across England</w:t>
      </w:r>
      <w:r w:rsidR="008E0CA2">
        <w:rPr>
          <w:rFonts w:cs="Arial"/>
          <w:szCs w:val="24"/>
        </w:rPr>
        <w:t>.</w:t>
      </w:r>
    </w:p>
    <w:p w14:paraId="225AB7ED" w14:textId="5E527981" w:rsidR="008F5ED1" w:rsidRDefault="00DA32EC" w:rsidP="00D9246A">
      <w:pPr>
        <w:spacing w:line="240" w:lineRule="auto"/>
        <w:rPr>
          <w:rFonts w:cs="Arial"/>
          <w:szCs w:val="24"/>
        </w:rPr>
      </w:pPr>
      <w:r w:rsidRPr="00595FE6">
        <w:rPr>
          <w:rFonts w:cs="Arial"/>
          <w:szCs w:val="24"/>
        </w:rPr>
        <w:t>In Brighton &amp; Hove, students with special education</w:t>
      </w:r>
      <w:r w:rsidR="00565EEB">
        <w:rPr>
          <w:rFonts w:cs="Arial"/>
          <w:szCs w:val="24"/>
        </w:rPr>
        <w:t>al</w:t>
      </w:r>
      <w:r w:rsidRPr="00595FE6">
        <w:rPr>
          <w:rFonts w:cs="Arial"/>
          <w:szCs w:val="24"/>
        </w:rPr>
        <w:t xml:space="preserve"> needs (SEN) are less likely to have a sustained education destination tha</w:t>
      </w:r>
      <w:r w:rsidR="0000213E" w:rsidRPr="00595FE6">
        <w:rPr>
          <w:rFonts w:cs="Arial"/>
          <w:szCs w:val="24"/>
        </w:rPr>
        <w:t>n</w:t>
      </w:r>
      <w:r w:rsidRPr="00595FE6">
        <w:rPr>
          <w:rFonts w:cs="Arial"/>
          <w:szCs w:val="24"/>
        </w:rPr>
        <w:t xml:space="preserve"> those without SEN (36% compared to 43%</w:t>
      </w:r>
      <w:r w:rsidR="00C90F0F">
        <w:rPr>
          <w:rFonts w:cs="Arial"/>
          <w:szCs w:val="24"/>
        </w:rPr>
        <w:t>,</w:t>
      </w:r>
      <w:r w:rsidRPr="00595FE6">
        <w:rPr>
          <w:rFonts w:cs="Arial"/>
          <w:szCs w:val="24"/>
        </w:rPr>
        <w:t xml:space="preserve"> respectively). However, students with SEN are more likely than students without SEN to be in sustained employment (33% compared to 24%) or apprenticeship (8% compared to 2%).</w:t>
      </w:r>
    </w:p>
    <w:p w14:paraId="1E19E21B" w14:textId="4E1DC760" w:rsidR="004B4E71" w:rsidRPr="00FD40D2" w:rsidRDefault="00E9770D" w:rsidP="00D9246A">
      <w:pPr>
        <w:spacing w:line="240" w:lineRule="auto"/>
        <w:rPr>
          <w:b/>
          <w:color w:val="A65588"/>
        </w:rPr>
      </w:pPr>
      <w:r w:rsidRPr="00FD40D2">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34</w:t>
      </w:r>
      <w:r w:rsidR="00CA2D43">
        <w:rPr>
          <w:b/>
          <w:color w:val="A65588"/>
        </w:rPr>
        <w:fldChar w:fldCharType="end"/>
      </w:r>
      <w:r w:rsidRPr="00FD40D2">
        <w:rPr>
          <w:b/>
          <w:color w:val="A65588"/>
        </w:rPr>
        <w:t xml:space="preserve">: </w:t>
      </w:r>
      <w:r w:rsidR="004B4E71" w:rsidRPr="00FD40D2">
        <w:rPr>
          <w:b/>
          <w:color w:val="A65588"/>
        </w:rPr>
        <w:t>Percentage of pupils with identified SEN in state-funded mainstream schools leaving 16-18 level study to sustained education, employment or apprenticeship (combined), in Brighton &amp; Hove and England, 2017/18 to 2022/23</w:t>
      </w:r>
    </w:p>
    <w:p w14:paraId="4AFEAAE3" w14:textId="4D32A0EF" w:rsidR="00EE7F8A" w:rsidRPr="00EB1472" w:rsidRDefault="00EE7F8A" w:rsidP="00D9246A">
      <w:pPr>
        <w:spacing w:line="240" w:lineRule="auto"/>
        <w:rPr>
          <w:rFonts w:cs="Arial"/>
          <w:b/>
          <w:bCs/>
          <w:color w:val="086A76"/>
          <w:szCs w:val="24"/>
        </w:rPr>
      </w:pPr>
      <w:r w:rsidRPr="00EE7F8A">
        <w:rPr>
          <w:rFonts w:cs="Arial"/>
          <w:b/>
          <w:bCs/>
          <w:noProof/>
          <w:color w:val="086A76"/>
          <w:szCs w:val="24"/>
        </w:rPr>
        <w:drawing>
          <wp:inline distT="0" distB="0" distL="0" distR="0" wp14:anchorId="2A54BC5B" wp14:editId="5D1348C1">
            <wp:extent cx="5010150" cy="2783340"/>
            <wp:effectExtent l="0" t="0" r="0" b="0"/>
            <wp:docPr id="1630140018" name="Picture 1" descr="Line chart showing the percentage of pupils with identified SEN in state-funded mainstream schools leaving 16-18 level study to sustained education, employment or apprenticeship (combined), in Brighton &amp; Hove and England, 2017/18 to 2022/23.&#10;&#10;In Brighton &amp; Hove, 77% of students with SEN who left 16-18 years education in 2022 were in sustained education, employment or apprenticeship in 2022/23. This is higher than students without SEN (6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140018" name="Picture 1" descr="Line chart showing the percentage of pupils with identified SEN in state-funded mainstream schools leaving 16-18 level study to sustained education, employment or apprenticeship (combined), in Brighton &amp; Hove and England, 2017/18 to 2022/23.&#10;&#10;In Brighton &amp; Hove, 77% of students with SEN who left 16-18 years education in 2022 were in sustained education, employment or apprenticeship in 2022/23. This is higher than students without SEN (69%). "/>
                    <pic:cNvPicPr/>
                  </pic:nvPicPr>
                  <pic:blipFill>
                    <a:blip r:embed="rId113"/>
                    <a:stretch>
                      <a:fillRect/>
                    </a:stretch>
                  </pic:blipFill>
                  <pic:spPr>
                    <a:xfrm>
                      <a:off x="0" y="0"/>
                      <a:ext cx="5039566" cy="2799682"/>
                    </a:xfrm>
                    <a:prstGeom prst="rect">
                      <a:avLst/>
                    </a:prstGeom>
                  </pic:spPr>
                </pic:pic>
              </a:graphicData>
            </a:graphic>
          </wp:inline>
        </w:drawing>
      </w:r>
    </w:p>
    <w:p w14:paraId="57A0D38C" w14:textId="3F86A352" w:rsidR="00197A3A" w:rsidRPr="00197A3A" w:rsidRDefault="002D36AA" w:rsidP="00D9246A">
      <w:pPr>
        <w:spacing w:line="240" w:lineRule="auto"/>
        <w:rPr>
          <w:rFonts w:cs="Arial"/>
          <w:szCs w:val="24"/>
        </w:rPr>
      </w:pPr>
      <w:r w:rsidRPr="00B83C83">
        <w:rPr>
          <w:rFonts w:cs="Arial"/>
          <w:b/>
          <w:szCs w:val="24"/>
        </w:rPr>
        <w:t>Source:</w:t>
      </w:r>
      <w:r>
        <w:rPr>
          <w:rFonts w:cs="Arial"/>
          <w:szCs w:val="24"/>
        </w:rPr>
        <w:t xml:space="preserve"> </w:t>
      </w:r>
      <w:r w:rsidR="00383F1E">
        <w:rPr>
          <w:rFonts w:cs="Arial"/>
          <w:szCs w:val="24"/>
        </w:rPr>
        <w:t xml:space="preserve">Department of </w:t>
      </w:r>
      <w:r w:rsidR="00383F1E" w:rsidRPr="002E698B">
        <w:rPr>
          <w:rStyle w:val="Hyperlink"/>
          <w:rFonts w:cs="Arial"/>
          <w:color w:val="0D0D0D" w:themeColor="text1" w:themeTint="F2"/>
          <w:u w:val="none"/>
        </w:rPr>
        <w:t>Education</w:t>
      </w:r>
      <w:r w:rsidR="00383F1E">
        <w:rPr>
          <w:rFonts w:cs="Arial"/>
          <w:szCs w:val="24"/>
        </w:rPr>
        <w:t xml:space="preserve">. </w:t>
      </w:r>
      <w:r w:rsidR="00055579">
        <w:rPr>
          <w:rFonts w:cs="Arial"/>
          <w:szCs w:val="24"/>
        </w:rPr>
        <w:t>Destination beyond 16-18 years</w:t>
      </w:r>
      <w:r w:rsidR="000A3D87">
        <w:rPr>
          <w:rFonts w:cs="Arial"/>
          <w:szCs w:val="24"/>
        </w:rPr>
        <w:t>, 2017/18 to 2022/23</w:t>
      </w:r>
    </w:p>
    <w:p w14:paraId="28E95255" w14:textId="7CE71BC0" w:rsidR="0050713C" w:rsidRPr="00595FE6" w:rsidRDefault="00697BFE" w:rsidP="0096012C">
      <w:pPr>
        <w:pStyle w:val="Heading3"/>
      </w:pPr>
      <w:r>
        <w:t>Widening Participation in Higher Education (HE) &amp; High Tariff Higher Education (HTHE)</w:t>
      </w:r>
    </w:p>
    <w:p w14:paraId="7A9B5A51" w14:textId="7595A26A" w:rsidR="005E4ABF" w:rsidRPr="00595FE6" w:rsidRDefault="005E4ABF" w:rsidP="00D9246A">
      <w:pPr>
        <w:spacing w:line="240" w:lineRule="auto"/>
        <w:rPr>
          <w:rFonts w:cs="Arial"/>
          <w:szCs w:val="24"/>
        </w:rPr>
      </w:pPr>
      <w:r>
        <w:rPr>
          <w:rFonts w:cs="Arial"/>
          <w:szCs w:val="24"/>
        </w:rPr>
        <w:t>This section</w:t>
      </w:r>
      <w:r w:rsidRPr="00595FE6">
        <w:rPr>
          <w:rFonts w:cs="Arial"/>
          <w:szCs w:val="24"/>
        </w:rPr>
        <w:t xml:space="preserve"> show</w:t>
      </w:r>
      <w:r>
        <w:rPr>
          <w:rFonts w:cs="Arial"/>
          <w:szCs w:val="24"/>
        </w:rPr>
        <w:t>s</w:t>
      </w:r>
      <w:r w:rsidRPr="00595FE6">
        <w:rPr>
          <w:rFonts w:cs="Arial"/>
          <w:szCs w:val="24"/>
        </w:rPr>
        <w:t xml:space="preserve"> the trend</w:t>
      </w:r>
      <w:r>
        <w:rPr>
          <w:rFonts w:cs="Arial"/>
          <w:szCs w:val="24"/>
        </w:rPr>
        <w:t>s</w:t>
      </w:r>
      <w:r w:rsidRPr="00595FE6">
        <w:rPr>
          <w:rFonts w:cs="Arial"/>
          <w:szCs w:val="24"/>
        </w:rPr>
        <w:t xml:space="preserve"> of progression to </w:t>
      </w:r>
      <w:r w:rsidR="00E351AF" w:rsidRPr="00595FE6">
        <w:rPr>
          <w:rFonts w:cs="Arial"/>
          <w:szCs w:val="24"/>
        </w:rPr>
        <w:t xml:space="preserve">higher education </w:t>
      </w:r>
      <w:r w:rsidR="00402CF2">
        <w:rPr>
          <w:rFonts w:cs="Arial"/>
          <w:szCs w:val="24"/>
        </w:rPr>
        <w:t xml:space="preserve">(HE) </w:t>
      </w:r>
      <w:r w:rsidR="00E351AF" w:rsidRPr="00595FE6">
        <w:rPr>
          <w:rFonts w:cs="Arial"/>
          <w:szCs w:val="24"/>
        </w:rPr>
        <w:t>and high tariff higher education</w:t>
      </w:r>
      <w:r w:rsidR="00402CF2">
        <w:rPr>
          <w:rFonts w:cs="Arial"/>
          <w:szCs w:val="24"/>
        </w:rPr>
        <w:t xml:space="preserve"> (HTHE</w:t>
      </w:r>
      <w:r w:rsidR="00C53C68">
        <w:rPr>
          <w:rFonts w:cs="Arial"/>
          <w:szCs w:val="24"/>
        </w:rPr>
        <w:t>)</w:t>
      </w:r>
      <w:r w:rsidR="00C53C68">
        <w:rPr>
          <w:rStyle w:val="FootnoteReference"/>
          <w:szCs w:val="24"/>
        </w:rPr>
        <w:footnoteReference w:id="7"/>
      </w:r>
      <w:r w:rsidRPr="00595FE6">
        <w:rPr>
          <w:rFonts w:cs="Arial"/>
          <w:szCs w:val="24"/>
        </w:rPr>
        <w:t xml:space="preserve"> by age 19 for state-funded pupils by special educational need (SEN) status at England and </w:t>
      </w:r>
      <w:r>
        <w:rPr>
          <w:rFonts w:cs="Arial"/>
          <w:szCs w:val="24"/>
        </w:rPr>
        <w:t xml:space="preserve">then </w:t>
      </w:r>
      <w:r w:rsidRPr="00595FE6">
        <w:rPr>
          <w:rFonts w:cs="Arial"/>
          <w:szCs w:val="24"/>
        </w:rPr>
        <w:t>Brighton &amp; Hove level.</w:t>
      </w:r>
      <w:r w:rsidR="009C1D41" w:rsidRPr="00595FE6">
        <w:rPr>
          <w:rFonts w:cs="Arial"/>
          <w:szCs w:val="24"/>
        </w:rPr>
        <w:t xml:space="preserve"> </w:t>
      </w:r>
    </w:p>
    <w:p w14:paraId="29FA763F" w14:textId="4299CD03" w:rsidR="006A1C76" w:rsidRPr="005B023B" w:rsidRDefault="006A1C76" w:rsidP="00D9246A">
      <w:pPr>
        <w:spacing w:line="240" w:lineRule="auto"/>
        <w:rPr>
          <w:b/>
          <w:color w:val="0079C2"/>
        </w:rPr>
      </w:pPr>
      <w:r w:rsidRPr="005B023B">
        <w:rPr>
          <w:b/>
          <w:color w:val="0079C2"/>
        </w:rPr>
        <w:t xml:space="preserve">Progression to </w:t>
      </w:r>
      <w:r w:rsidR="00BE4648" w:rsidRPr="005B023B">
        <w:rPr>
          <w:b/>
          <w:color w:val="0079C2"/>
        </w:rPr>
        <w:t>h</w:t>
      </w:r>
      <w:r w:rsidRPr="005B023B">
        <w:rPr>
          <w:b/>
          <w:color w:val="0079C2"/>
        </w:rPr>
        <w:t xml:space="preserve">igher </w:t>
      </w:r>
      <w:r w:rsidR="00BE4648" w:rsidRPr="005B023B">
        <w:rPr>
          <w:b/>
          <w:color w:val="0079C2"/>
        </w:rPr>
        <w:t>e</w:t>
      </w:r>
      <w:r w:rsidRPr="005B023B">
        <w:rPr>
          <w:b/>
          <w:color w:val="0079C2"/>
        </w:rPr>
        <w:t>ducation</w:t>
      </w:r>
    </w:p>
    <w:p w14:paraId="0FE13F37" w14:textId="53C570B8" w:rsidR="001E341F" w:rsidRPr="009C1D41" w:rsidRDefault="00C60F5F" w:rsidP="00D9246A">
      <w:pPr>
        <w:spacing w:line="240" w:lineRule="auto"/>
        <w:rPr>
          <w:rStyle w:val="Hyperlink"/>
          <w:rFonts w:cs="Arial"/>
          <w:color w:val="0079C2"/>
          <w:szCs w:val="24"/>
          <w:u w:val="none"/>
          <w:vertAlign w:val="superscript"/>
        </w:rPr>
      </w:pPr>
      <w:r>
        <w:rPr>
          <w:rFonts w:cs="Arial"/>
          <w:szCs w:val="24"/>
        </w:rPr>
        <w:t>In England, t</w:t>
      </w:r>
      <w:r w:rsidR="006A1C76" w:rsidRPr="00595FE6">
        <w:rPr>
          <w:rFonts w:cs="Arial"/>
          <w:szCs w:val="24"/>
        </w:rPr>
        <w:t xml:space="preserve">here is a wide gap between the progression rate for pupils with SEN and those with no SEN provision: </w:t>
      </w:r>
      <w:r>
        <w:rPr>
          <w:rFonts w:cs="Arial"/>
          <w:szCs w:val="24"/>
        </w:rPr>
        <w:t>o</w:t>
      </w:r>
      <w:r w:rsidR="006A1C76" w:rsidRPr="00595FE6">
        <w:rPr>
          <w:rFonts w:cs="Arial"/>
          <w:szCs w:val="24"/>
        </w:rPr>
        <w:t xml:space="preserve">nly 9% of pupils with an </w:t>
      </w:r>
      <w:r w:rsidR="001572D3">
        <w:rPr>
          <w:rFonts w:cs="Arial"/>
          <w:szCs w:val="24"/>
        </w:rPr>
        <w:t>EHC Plan</w:t>
      </w:r>
      <w:r w:rsidR="006A1C76" w:rsidRPr="00595FE6">
        <w:rPr>
          <w:rFonts w:cs="Arial"/>
          <w:szCs w:val="24"/>
        </w:rPr>
        <w:t xml:space="preserve"> progressed to higher education by age 19 compared to 25% of pupils with SEN support and 51% for pupils with no SEN provision</w:t>
      </w:r>
      <w:r w:rsidR="009E5B4A">
        <w:rPr>
          <w:rFonts w:cs="Arial"/>
          <w:szCs w:val="24"/>
        </w:rPr>
        <w:t>.</w:t>
      </w:r>
      <w:r w:rsidR="008E5E65">
        <w:rPr>
          <w:rFonts w:cs="Arial"/>
          <w:szCs w:val="24"/>
        </w:rPr>
        <w:t xml:space="preserve"> </w:t>
      </w:r>
      <w:r w:rsidR="00DD6688" w:rsidRPr="6E5FFF8F">
        <w:rPr>
          <w:rFonts w:cs="Arial"/>
        </w:rPr>
        <w:t>T</w:t>
      </w:r>
      <w:r w:rsidR="006A1C76" w:rsidRPr="6E5FFF8F">
        <w:rPr>
          <w:rFonts w:cs="Arial"/>
        </w:rPr>
        <w:t xml:space="preserve">he progression rate for pupils with SEN support increased from </w:t>
      </w:r>
      <w:r w:rsidR="002378FA" w:rsidRPr="6E5FFF8F">
        <w:rPr>
          <w:rFonts w:cs="Arial"/>
        </w:rPr>
        <w:t>11</w:t>
      </w:r>
      <w:r w:rsidR="006A1C76" w:rsidRPr="6E5FFF8F">
        <w:rPr>
          <w:rFonts w:cs="Arial"/>
        </w:rPr>
        <w:t>% to 2</w:t>
      </w:r>
      <w:r w:rsidR="003D0045" w:rsidRPr="6E5FFF8F">
        <w:rPr>
          <w:rFonts w:cs="Arial"/>
        </w:rPr>
        <w:t>5</w:t>
      </w:r>
      <w:r w:rsidR="006A1C76" w:rsidRPr="6E5FFF8F">
        <w:rPr>
          <w:rFonts w:cs="Arial"/>
        </w:rPr>
        <w:t xml:space="preserve">%, </w:t>
      </w:r>
      <w:r w:rsidR="008D5B59">
        <w:rPr>
          <w:rFonts w:cs="Arial"/>
        </w:rPr>
        <w:t>from</w:t>
      </w:r>
      <w:r w:rsidR="006A1C76" w:rsidRPr="6E5FFF8F">
        <w:rPr>
          <w:rFonts w:cs="Arial"/>
        </w:rPr>
        <w:t xml:space="preserve"> </w:t>
      </w:r>
      <w:r w:rsidR="003604C6" w:rsidRPr="6E5FFF8F">
        <w:rPr>
          <w:rFonts w:cs="Arial"/>
        </w:rPr>
        <w:t>6</w:t>
      </w:r>
      <w:r w:rsidR="006A1C76" w:rsidRPr="6E5FFF8F">
        <w:rPr>
          <w:rFonts w:cs="Arial"/>
        </w:rPr>
        <w:t>%</w:t>
      </w:r>
      <w:r w:rsidR="003604C6" w:rsidRPr="6E5FFF8F">
        <w:rPr>
          <w:rFonts w:cs="Arial"/>
        </w:rPr>
        <w:t xml:space="preserve"> to 9%</w:t>
      </w:r>
      <w:r w:rsidR="006A1C76" w:rsidRPr="6E5FFF8F">
        <w:rPr>
          <w:rFonts w:cs="Arial"/>
        </w:rPr>
        <w:t xml:space="preserve"> for pupils on </w:t>
      </w:r>
      <w:r w:rsidR="001572D3">
        <w:rPr>
          <w:rFonts w:cs="Arial"/>
        </w:rPr>
        <w:t>EHC Plan</w:t>
      </w:r>
      <w:r w:rsidR="003604C6" w:rsidRPr="6E5FFF8F">
        <w:rPr>
          <w:rFonts w:cs="Arial"/>
        </w:rPr>
        <w:t xml:space="preserve">, and </w:t>
      </w:r>
      <w:r w:rsidR="00676405" w:rsidRPr="6E5FFF8F">
        <w:rPr>
          <w:rFonts w:cs="Arial"/>
        </w:rPr>
        <w:t xml:space="preserve">from </w:t>
      </w:r>
      <w:r w:rsidR="003604C6" w:rsidRPr="6E5FFF8F">
        <w:rPr>
          <w:rFonts w:cs="Arial"/>
        </w:rPr>
        <w:t>3</w:t>
      </w:r>
      <w:r w:rsidR="00676405" w:rsidRPr="6E5FFF8F">
        <w:rPr>
          <w:rFonts w:cs="Arial"/>
        </w:rPr>
        <w:t>9% to 51% for pupils with no SEN provision</w:t>
      </w:r>
      <w:r w:rsidR="006A1C76" w:rsidRPr="6E5FFF8F">
        <w:rPr>
          <w:rFonts w:cs="Arial"/>
        </w:rPr>
        <w:t xml:space="preserve"> for the year</w:t>
      </w:r>
      <w:r w:rsidR="00320DC4">
        <w:rPr>
          <w:rFonts w:cs="Arial"/>
        </w:rPr>
        <w:t>s</w:t>
      </w:r>
      <w:r w:rsidR="006A1C76" w:rsidRPr="6E5FFF8F">
        <w:rPr>
          <w:rFonts w:cs="Arial"/>
        </w:rPr>
        <w:t xml:space="preserve"> 20</w:t>
      </w:r>
      <w:r w:rsidR="001F74C1" w:rsidRPr="6E5FFF8F">
        <w:rPr>
          <w:rFonts w:cs="Arial"/>
        </w:rPr>
        <w:t>09</w:t>
      </w:r>
      <w:r w:rsidR="006A1C76" w:rsidRPr="6E5FFF8F">
        <w:rPr>
          <w:rFonts w:cs="Arial"/>
        </w:rPr>
        <w:t>/</w:t>
      </w:r>
      <w:r w:rsidR="001F74C1" w:rsidRPr="6E5FFF8F">
        <w:rPr>
          <w:rFonts w:cs="Arial"/>
        </w:rPr>
        <w:t>10</w:t>
      </w:r>
      <w:r w:rsidR="006A1C76" w:rsidRPr="6E5FFF8F">
        <w:rPr>
          <w:rFonts w:cs="Arial"/>
        </w:rPr>
        <w:t xml:space="preserve"> and 2022/23</w:t>
      </w:r>
      <w:r w:rsidR="0090445A">
        <w:rPr>
          <w:rFonts w:cs="Arial"/>
        </w:rPr>
        <w:t>,</w:t>
      </w:r>
      <w:r w:rsidR="006A1C76" w:rsidRPr="6E5FFF8F">
        <w:rPr>
          <w:rFonts w:cs="Arial"/>
        </w:rPr>
        <w:t xml:space="preserve"> respectively.</w:t>
      </w:r>
      <w:bookmarkStart w:id="198" w:name="_Ref189212299"/>
      <w:r w:rsidR="006A1C76" w:rsidRPr="6E5FFF8F">
        <w:rPr>
          <w:rFonts w:cs="Arial"/>
          <w:vertAlign w:val="superscript"/>
        </w:rPr>
        <w:endnoteReference w:id="71"/>
      </w:r>
      <w:bookmarkEnd w:id="198"/>
      <w:r w:rsidR="00454397">
        <w:rPr>
          <w:rFonts w:cs="Arial"/>
        </w:rPr>
        <w:t xml:space="preserve"> </w:t>
      </w:r>
      <w:r w:rsidR="001E341F" w:rsidRPr="009C1D41">
        <w:rPr>
          <w:rStyle w:val="Hyperlink"/>
          <w:rFonts w:cs="Arial"/>
          <w:b/>
          <w:color w:val="0079C2"/>
          <w:szCs w:val="24"/>
          <w:u w:val="none"/>
        </w:rPr>
        <w:t xml:space="preserve">The </w:t>
      </w:r>
      <w:r w:rsidR="001E341F" w:rsidRPr="009C1D41">
        <w:rPr>
          <w:rStyle w:val="Hyperlink"/>
          <w:rFonts w:cs="Arial"/>
          <w:b/>
          <w:color w:val="0079C2"/>
          <w:szCs w:val="24"/>
          <w:u w:val="none"/>
        </w:rPr>
        <w:lastRenderedPageBreak/>
        <w:t xml:space="preserve">absolutely inequality gap for England between SEN pupils and no SEN pupils </w:t>
      </w:r>
      <w:r w:rsidR="00EA0DEC" w:rsidRPr="009C1D41">
        <w:rPr>
          <w:rStyle w:val="Hyperlink"/>
          <w:rFonts w:cs="Arial"/>
          <w:b/>
          <w:color w:val="0079C2"/>
          <w:szCs w:val="24"/>
          <w:u w:val="none"/>
        </w:rPr>
        <w:t>narrowed slightly</w:t>
      </w:r>
      <w:r w:rsidR="001E341F" w:rsidRPr="009C1D41">
        <w:rPr>
          <w:rStyle w:val="Hyperlink"/>
          <w:rFonts w:cs="Arial"/>
          <w:b/>
          <w:color w:val="0079C2"/>
          <w:szCs w:val="24"/>
          <w:u w:val="none"/>
        </w:rPr>
        <w:t xml:space="preserve"> from 28 to </w:t>
      </w:r>
      <w:r w:rsidR="00EA0DEC" w:rsidRPr="009C1D41">
        <w:rPr>
          <w:rStyle w:val="Hyperlink"/>
          <w:rFonts w:cs="Arial"/>
          <w:b/>
          <w:color w:val="0079C2"/>
          <w:szCs w:val="24"/>
          <w:u w:val="none"/>
        </w:rPr>
        <w:t>26</w:t>
      </w:r>
      <w:r w:rsidR="001E341F" w:rsidRPr="009C1D41">
        <w:rPr>
          <w:rStyle w:val="Hyperlink"/>
          <w:rFonts w:cs="Arial"/>
          <w:b/>
          <w:color w:val="0079C2"/>
          <w:szCs w:val="24"/>
          <w:u w:val="none"/>
        </w:rPr>
        <w:t xml:space="preserve"> percentage points.</w:t>
      </w:r>
    </w:p>
    <w:p w14:paraId="2D2ED84C" w14:textId="67769B58" w:rsidR="00EE6437" w:rsidRPr="00C53C68" w:rsidRDefault="00EE6437" w:rsidP="00D9246A">
      <w:pPr>
        <w:spacing w:line="240" w:lineRule="auto"/>
        <w:rPr>
          <w:rStyle w:val="Hyperlink"/>
          <w:rFonts w:cs="Arial"/>
          <w:color w:val="0079C2"/>
          <w:szCs w:val="24"/>
          <w:u w:val="none"/>
          <w:vertAlign w:val="superscript"/>
        </w:rPr>
      </w:pPr>
      <w:r w:rsidRPr="00C53C68">
        <w:rPr>
          <w:rStyle w:val="Hyperlink"/>
          <w:rFonts w:cs="Arial"/>
          <w:b/>
          <w:bCs/>
          <w:color w:val="0079C2"/>
          <w:szCs w:val="24"/>
          <w:u w:val="none"/>
        </w:rPr>
        <w:t>In Brighton &amp; Hove, the progression rates for pupils with SEN falls well below those for pupils with no SEN provision</w:t>
      </w:r>
      <w:r w:rsidRPr="00595FE6">
        <w:rPr>
          <w:rStyle w:val="Hyperlink"/>
          <w:rFonts w:cs="Arial"/>
          <w:color w:val="000000" w:themeColor="text1"/>
          <w:szCs w:val="24"/>
          <w:u w:val="none"/>
        </w:rPr>
        <w:t xml:space="preserve">. In 2022/23, just 17% of pupils with SEN progressed to HE, compared with 55% of pupils without SEN. Generally, </w:t>
      </w:r>
      <w:r w:rsidRPr="00595FE6">
        <w:rPr>
          <w:rFonts w:cs="Arial"/>
          <w:szCs w:val="24"/>
        </w:rPr>
        <w:t>the progression rate</w:t>
      </w:r>
      <w:r>
        <w:rPr>
          <w:rFonts w:cs="Arial"/>
          <w:szCs w:val="24"/>
        </w:rPr>
        <w:t xml:space="preserve"> has</w:t>
      </w:r>
      <w:r w:rsidRPr="00595FE6">
        <w:rPr>
          <w:rFonts w:cs="Arial"/>
          <w:szCs w:val="24"/>
        </w:rPr>
        <w:t xml:space="preserve"> </w:t>
      </w:r>
      <w:r>
        <w:rPr>
          <w:rFonts w:cs="Arial"/>
          <w:szCs w:val="24"/>
        </w:rPr>
        <w:t xml:space="preserve">increased - </w:t>
      </w:r>
      <w:r w:rsidRPr="00595FE6">
        <w:rPr>
          <w:rFonts w:cs="Arial"/>
          <w:szCs w:val="24"/>
        </w:rPr>
        <w:t xml:space="preserve">for pupils with SEN increased from 5% to 17%, and from 33% to 55% for pupils with no SEN </w:t>
      </w:r>
      <w:r>
        <w:rPr>
          <w:rFonts w:cs="Arial"/>
          <w:szCs w:val="24"/>
        </w:rPr>
        <w:t xml:space="preserve">since </w:t>
      </w:r>
      <w:r w:rsidRPr="00595FE6">
        <w:rPr>
          <w:rFonts w:cs="Arial"/>
          <w:szCs w:val="24"/>
        </w:rPr>
        <w:t xml:space="preserve">2009/10 </w:t>
      </w:r>
      <w:r>
        <w:rPr>
          <w:rFonts w:cs="Arial"/>
          <w:szCs w:val="24"/>
        </w:rPr>
        <w:t>(Figure 3</w:t>
      </w:r>
      <w:r w:rsidR="002C3297">
        <w:rPr>
          <w:rFonts w:cs="Arial"/>
          <w:szCs w:val="24"/>
        </w:rPr>
        <w:t>5</w:t>
      </w:r>
      <w:r>
        <w:rPr>
          <w:rFonts w:cs="Arial"/>
          <w:szCs w:val="24"/>
        </w:rPr>
        <w:t>)</w:t>
      </w:r>
      <w:r w:rsidRPr="00595FE6">
        <w:rPr>
          <w:rStyle w:val="Hyperlink"/>
          <w:rFonts w:cs="Arial"/>
          <w:color w:val="000000" w:themeColor="text1"/>
          <w:szCs w:val="24"/>
          <w:u w:val="none"/>
        </w:rPr>
        <w:t>.</w:t>
      </w:r>
      <w:r>
        <w:rPr>
          <w:rStyle w:val="FootnoteReference"/>
          <w:color w:val="000000" w:themeColor="text1"/>
          <w:szCs w:val="24"/>
        </w:rPr>
        <w:footnoteReference w:id="8"/>
      </w:r>
      <w:r w:rsidR="00454397">
        <w:rPr>
          <w:rStyle w:val="Hyperlink"/>
          <w:rFonts w:cs="Arial"/>
          <w:color w:val="000000" w:themeColor="text1"/>
          <w:szCs w:val="24"/>
          <w:u w:val="none"/>
        </w:rPr>
        <w:t xml:space="preserve"> </w:t>
      </w:r>
      <w:r w:rsidRPr="00C53C68">
        <w:rPr>
          <w:rStyle w:val="Hyperlink"/>
          <w:rFonts w:cs="Arial"/>
          <w:b/>
          <w:bCs/>
          <w:color w:val="0079C2"/>
          <w:szCs w:val="24"/>
          <w:u w:val="none"/>
        </w:rPr>
        <w:t>Whilst there has been an improvement for both groups, the absolutely inequality gap between SEN pupils and no SEN pupils widened from 28 to 38 percentage points in the city.</w:t>
      </w:r>
    </w:p>
    <w:p w14:paraId="144F551F" w14:textId="4C326745" w:rsidR="0045251A" w:rsidRPr="00E0131B" w:rsidRDefault="0045251A" w:rsidP="00D9246A">
      <w:pPr>
        <w:spacing w:line="240" w:lineRule="auto"/>
        <w:rPr>
          <w:b/>
          <w:color w:val="A65588"/>
        </w:rPr>
      </w:pPr>
      <w:r w:rsidRPr="00E0131B">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35</w:t>
      </w:r>
      <w:r w:rsidR="00CA2D43">
        <w:rPr>
          <w:b/>
          <w:color w:val="A65588"/>
        </w:rPr>
        <w:fldChar w:fldCharType="end"/>
      </w:r>
      <w:r w:rsidRPr="00E0131B">
        <w:rPr>
          <w:b/>
          <w:color w:val="A65588"/>
        </w:rPr>
        <w:t>: Progression to higher education by age 19, by SEN provision, Brighton &amp; Hove, 2009/10 to 2022/23</w:t>
      </w:r>
    </w:p>
    <w:p w14:paraId="46015E92" w14:textId="3A95891F" w:rsidR="00804683" w:rsidRDefault="00804683" w:rsidP="00D9246A">
      <w:pPr>
        <w:spacing w:line="240" w:lineRule="auto"/>
        <w:rPr>
          <w:rFonts w:cs="Arial"/>
          <w:b/>
          <w:color w:val="086A76"/>
          <w:szCs w:val="24"/>
        </w:rPr>
      </w:pPr>
      <w:r w:rsidRPr="00804683">
        <w:rPr>
          <w:rFonts w:cs="Arial"/>
          <w:b/>
          <w:noProof/>
          <w:color w:val="086A76"/>
          <w:szCs w:val="24"/>
        </w:rPr>
        <w:drawing>
          <wp:inline distT="0" distB="0" distL="0" distR="0" wp14:anchorId="15BA3A37" wp14:editId="57074581">
            <wp:extent cx="4991100" cy="2773544"/>
            <wp:effectExtent l="0" t="0" r="0" b="8255"/>
            <wp:docPr id="1109405093" name="Picture 1" descr="A line chart showing progression rate (%) of students to higher education by age 19 in Brighton &amp; Hove, 2009/10 to 2022/23.&#10;&#10;In 2022/23, just 17% of pupils with SEN progressed to HE, compared with 55% of pupils without SEN. Generally, the progression rate for pupils with SEN  increased from 5% to 17%, and from 33% to 55% for pupils with no SEN provision for the years 2009/10 and 2022/23,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405093" name="Picture 1" descr="A line chart showing progression rate (%) of students to higher education by age 19 in Brighton &amp; Hove, 2009/10 to 2022/23.&#10;&#10;In 2022/23, just 17% of pupils with SEN progressed to HE, compared with 55% of pupils without SEN. Generally, the progression rate for pupils with SEN  increased from 5% to 17%, and from 33% to 55% for pupils with no SEN provision for the years 2009/10 and 2022/23, respectively."/>
                    <pic:cNvPicPr/>
                  </pic:nvPicPr>
                  <pic:blipFill>
                    <a:blip r:embed="rId114"/>
                    <a:stretch>
                      <a:fillRect/>
                    </a:stretch>
                  </pic:blipFill>
                  <pic:spPr>
                    <a:xfrm>
                      <a:off x="0" y="0"/>
                      <a:ext cx="5003967" cy="2780694"/>
                    </a:xfrm>
                    <a:prstGeom prst="rect">
                      <a:avLst/>
                    </a:prstGeom>
                  </pic:spPr>
                </pic:pic>
              </a:graphicData>
            </a:graphic>
          </wp:inline>
        </w:drawing>
      </w:r>
    </w:p>
    <w:p w14:paraId="248074EF" w14:textId="77777777" w:rsidR="009341D0" w:rsidRPr="009341D0" w:rsidRDefault="00A57AD9" w:rsidP="00D9246A">
      <w:pPr>
        <w:spacing w:line="240" w:lineRule="auto"/>
        <w:rPr>
          <w:rStyle w:val="Hyperlink"/>
          <w:rFonts w:cs="Arial"/>
          <w:szCs w:val="24"/>
          <w:u w:val="none"/>
        </w:rPr>
      </w:pPr>
      <w:r w:rsidRPr="00E0131B">
        <w:rPr>
          <w:rStyle w:val="Hyperlink"/>
          <w:rFonts w:cs="Arial"/>
          <w:b/>
          <w:color w:val="0D0D0D" w:themeColor="text1" w:themeTint="F2"/>
          <w:szCs w:val="24"/>
          <w:u w:val="none"/>
        </w:rPr>
        <w:t>Source:</w:t>
      </w:r>
      <w:r w:rsidRPr="005E4ABF">
        <w:rPr>
          <w:rStyle w:val="Hyperlink"/>
          <w:rFonts w:cs="Arial"/>
          <w:color w:val="0D0D0D" w:themeColor="text1" w:themeTint="F2"/>
          <w:szCs w:val="24"/>
          <w:u w:val="none"/>
        </w:rPr>
        <w:t xml:space="preserve"> </w:t>
      </w:r>
      <w:r w:rsidR="009341D0" w:rsidRPr="00BF25AF">
        <w:rPr>
          <w:rStyle w:val="Hyperlink"/>
          <w:rFonts w:cs="Arial"/>
          <w:color w:val="0D0D0D" w:themeColor="text1" w:themeTint="F2"/>
          <w:szCs w:val="24"/>
          <w:u w:val="none"/>
        </w:rPr>
        <w:t xml:space="preserve">Matched data from the Department of Education National Pupil </w:t>
      </w:r>
      <w:r w:rsidR="009341D0" w:rsidRPr="009341D0">
        <w:rPr>
          <w:rStyle w:val="Hyperlink"/>
          <w:rFonts w:cs="Arial"/>
          <w:color w:val="0D0D0D" w:themeColor="text1" w:themeTint="F2"/>
          <w:szCs w:val="24"/>
          <w:u w:val="none"/>
        </w:rPr>
        <w:t>Database,</w:t>
      </w:r>
      <w:r w:rsidR="009341D0">
        <w:rPr>
          <w:rStyle w:val="Hyperlink"/>
          <w:rFonts w:cs="Arial"/>
          <w:color w:val="0D0D0D" w:themeColor="text1" w:themeTint="F2"/>
          <w:szCs w:val="24"/>
        </w:rPr>
        <w:t xml:space="preserve"> </w:t>
      </w:r>
      <w:r w:rsidR="009341D0" w:rsidRPr="009341D0">
        <w:rPr>
          <w:rStyle w:val="Hyperlink"/>
          <w:rFonts w:cs="Arial"/>
          <w:color w:val="0D0D0D" w:themeColor="text1" w:themeTint="F2"/>
          <w:szCs w:val="24"/>
          <w:u w:val="none"/>
        </w:rPr>
        <w:t>Widening participation in higher education, 2022/23</w:t>
      </w:r>
    </w:p>
    <w:p w14:paraId="2098C205" w14:textId="35384364" w:rsidR="006A1C76" w:rsidRPr="005B023B" w:rsidRDefault="006A1C76" w:rsidP="00D9246A">
      <w:pPr>
        <w:spacing w:line="240" w:lineRule="auto"/>
        <w:rPr>
          <w:b/>
          <w:color w:val="0079C2"/>
        </w:rPr>
      </w:pPr>
      <w:r w:rsidRPr="005B023B">
        <w:rPr>
          <w:b/>
          <w:color w:val="0079C2"/>
        </w:rPr>
        <w:t xml:space="preserve">Progression to </w:t>
      </w:r>
      <w:r w:rsidR="00BE4648" w:rsidRPr="005B023B">
        <w:rPr>
          <w:b/>
          <w:color w:val="0079C2"/>
        </w:rPr>
        <w:t>h</w:t>
      </w:r>
      <w:r w:rsidRPr="005B023B">
        <w:rPr>
          <w:b/>
          <w:color w:val="0079C2"/>
        </w:rPr>
        <w:t xml:space="preserve">igh </w:t>
      </w:r>
      <w:r w:rsidR="00BE4648" w:rsidRPr="005B023B">
        <w:rPr>
          <w:b/>
          <w:color w:val="0079C2"/>
        </w:rPr>
        <w:t>t</w:t>
      </w:r>
      <w:r w:rsidRPr="005B023B">
        <w:rPr>
          <w:b/>
          <w:color w:val="0079C2"/>
        </w:rPr>
        <w:t xml:space="preserve">ariff </w:t>
      </w:r>
      <w:r w:rsidR="00BE4648" w:rsidRPr="005B023B">
        <w:rPr>
          <w:b/>
          <w:color w:val="0079C2"/>
        </w:rPr>
        <w:t>higher education</w:t>
      </w:r>
    </w:p>
    <w:p w14:paraId="790A0921" w14:textId="2D04412B" w:rsidR="00BC7C29" w:rsidRPr="00EE6437" w:rsidRDefault="00F04853" w:rsidP="00D9246A">
      <w:pPr>
        <w:spacing w:line="240" w:lineRule="auto"/>
        <w:rPr>
          <w:rFonts w:cs="Arial"/>
          <w:color w:val="0079C2"/>
          <w:szCs w:val="24"/>
          <w:vertAlign w:val="superscript"/>
        </w:rPr>
      </w:pPr>
      <w:r w:rsidRPr="6E5FFF8F">
        <w:rPr>
          <w:rFonts w:cs="Arial"/>
        </w:rPr>
        <w:t>Across England,</w:t>
      </w:r>
      <w:r w:rsidR="006A1C76" w:rsidRPr="6E5FFF8F">
        <w:rPr>
          <w:rFonts w:cs="Arial"/>
        </w:rPr>
        <w:t xml:space="preserve"> 1.6% of pupil with an </w:t>
      </w:r>
      <w:r w:rsidR="001572D3">
        <w:rPr>
          <w:rFonts w:cs="Arial"/>
        </w:rPr>
        <w:t>EHC Plan</w:t>
      </w:r>
      <w:r w:rsidR="006A1C76" w:rsidRPr="6E5FFF8F">
        <w:rPr>
          <w:rFonts w:cs="Arial"/>
        </w:rPr>
        <w:t xml:space="preserve"> and 5% of those with SEN support progressed to high tariff </w:t>
      </w:r>
      <w:r w:rsidR="00DD6688" w:rsidRPr="6E5FFF8F">
        <w:rPr>
          <w:rFonts w:cs="Arial"/>
        </w:rPr>
        <w:t>higher education</w:t>
      </w:r>
      <w:r w:rsidR="006A1C76" w:rsidRPr="6E5FFF8F">
        <w:rPr>
          <w:rFonts w:cs="Arial"/>
        </w:rPr>
        <w:t xml:space="preserve"> in 2022/23 compared to 17% of pupils with no SEN provision.</w:t>
      </w:r>
      <w:r w:rsidR="00442006">
        <w:rPr>
          <w:rFonts w:cs="Arial"/>
          <w:szCs w:val="24"/>
          <w:vertAlign w:val="superscript"/>
        </w:rPr>
        <w:t xml:space="preserve"> </w:t>
      </w:r>
      <w:r w:rsidR="00AB2F0A">
        <w:rPr>
          <w:rFonts w:cs="Arial"/>
          <w:szCs w:val="24"/>
        </w:rPr>
        <w:t>T</w:t>
      </w:r>
      <w:r w:rsidR="00AE0A64" w:rsidRPr="00595FE6">
        <w:rPr>
          <w:rFonts w:cs="Arial"/>
          <w:szCs w:val="24"/>
        </w:rPr>
        <w:t xml:space="preserve">he progression rate for pupils with SEN support increased from </w:t>
      </w:r>
      <w:r w:rsidR="006C5E92" w:rsidRPr="00595FE6">
        <w:rPr>
          <w:rFonts w:cs="Arial"/>
          <w:szCs w:val="24"/>
        </w:rPr>
        <w:t>2% to 5%</w:t>
      </w:r>
      <w:r w:rsidR="00AE0A64" w:rsidRPr="00595FE6">
        <w:rPr>
          <w:rFonts w:cs="Arial"/>
          <w:szCs w:val="24"/>
        </w:rPr>
        <w:t xml:space="preserve">, </w:t>
      </w:r>
      <w:r w:rsidR="006C5E92" w:rsidRPr="00595FE6">
        <w:rPr>
          <w:rFonts w:cs="Arial"/>
          <w:szCs w:val="24"/>
        </w:rPr>
        <w:t>1</w:t>
      </w:r>
      <w:r w:rsidR="00AE0A64" w:rsidRPr="00595FE6">
        <w:rPr>
          <w:rFonts w:cs="Arial"/>
          <w:szCs w:val="24"/>
        </w:rPr>
        <w:t xml:space="preserve">% to </w:t>
      </w:r>
      <w:r w:rsidR="006C5E92" w:rsidRPr="00595FE6">
        <w:rPr>
          <w:rFonts w:cs="Arial"/>
          <w:szCs w:val="24"/>
        </w:rPr>
        <w:t>2</w:t>
      </w:r>
      <w:r w:rsidR="00AE0A64" w:rsidRPr="00595FE6">
        <w:rPr>
          <w:rFonts w:cs="Arial"/>
          <w:szCs w:val="24"/>
        </w:rPr>
        <w:t xml:space="preserve">% for pupils on </w:t>
      </w:r>
      <w:r w:rsidR="001572D3">
        <w:rPr>
          <w:rFonts w:cs="Arial"/>
          <w:szCs w:val="24"/>
        </w:rPr>
        <w:t>EHC Plan</w:t>
      </w:r>
      <w:r w:rsidR="00AE0A64" w:rsidRPr="00595FE6">
        <w:rPr>
          <w:rFonts w:cs="Arial"/>
          <w:szCs w:val="24"/>
        </w:rPr>
        <w:t xml:space="preserve">, and from </w:t>
      </w:r>
      <w:r w:rsidR="006C5E92" w:rsidRPr="00595FE6">
        <w:rPr>
          <w:rFonts w:cs="Arial"/>
          <w:szCs w:val="24"/>
        </w:rPr>
        <w:t>12</w:t>
      </w:r>
      <w:r w:rsidR="00AE0A64" w:rsidRPr="00595FE6">
        <w:rPr>
          <w:rFonts w:cs="Arial"/>
          <w:szCs w:val="24"/>
        </w:rPr>
        <w:t xml:space="preserve">% to </w:t>
      </w:r>
      <w:r w:rsidR="006C5E92" w:rsidRPr="00595FE6">
        <w:rPr>
          <w:rFonts w:cs="Arial"/>
          <w:szCs w:val="24"/>
        </w:rPr>
        <w:t>17</w:t>
      </w:r>
      <w:r w:rsidR="00AE0A64" w:rsidRPr="00595FE6">
        <w:rPr>
          <w:rFonts w:cs="Arial"/>
          <w:szCs w:val="24"/>
        </w:rPr>
        <w:t>% for pupils with no SEN provision for the year</w:t>
      </w:r>
      <w:r w:rsidR="0030616B">
        <w:rPr>
          <w:rFonts w:cs="Arial"/>
          <w:szCs w:val="24"/>
        </w:rPr>
        <w:t>s</w:t>
      </w:r>
      <w:r w:rsidR="00AE0A64" w:rsidRPr="00595FE6">
        <w:rPr>
          <w:rFonts w:cs="Arial"/>
          <w:szCs w:val="24"/>
        </w:rPr>
        <w:t xml:space="preserve"> 2009/10 and 2022/23</w:t>
      </w:r>
      <w:r w:rsidR="0030616B">
        <w:rPr>
          <w:rFonts w:cs="Arial"/>
          <w:szCs w:val="24"/>
        </w:rPr>
        <w:t>,</w:t>
      </w:r>
      <w:r w:rsidR="00AE0A64" w:rsidRPr="00595FE6">
        <w:rPr>
          <w:rFonts w:cs="Arial"/>
          <w:szCs w:val="24"/>
        </w:rPr>
        <w:t xml:space="preserve"> respectively</w:t>
      </w:r>
      <w:r w:rsidR="006C5E92" w:rsidRPr="00595FE6">
        <w:rPr>
          <w:rFonts w:cs="Arial"/>
          <w:szCs w:val="24"/>
        </w:rPr>
        <w:t>.</w:t>
      </w:r>
      <w:r w:rsidR="00454397">
        <w:rPr>
          <w:rFonts w:cs="Arial"/>
          <w:szCs w:val="24"/>
        </w:rPr>
        <w:t xml:space="preserve"> </w:t>
      </w:r>
      <w:r w:rsidR="00BC7C29" w:rsidRPr="00EE6437">
        <w:rPr>
          <w:rStyle w:val="Hyperlink"/>
          <w:rFonts w:cs="Arial"/>
          <w:b/>
          <w:color w:val="0079C2"/>
          <w:szCs w:val="24"/>
          <w:u w:val="none"/>
        </w:rPr>
        <w:t xml:space="preserve">The absolutely inequality gap for England between SEN pupils and no SEN pupils </w:t>
      </w:r>
      <w:r w:rsidR="004C155D" w:rsidRPr="00EE6437">
        <w:rPr>
          <w:rStyle w:val="Hyperlink"/>
          <w:rFonts w:cs="Arial"/>
          <w:b/>
          <w:color w:val="0079C2"/>
          <w:szCs w:val="24"/>
          <w:u w:val="none"/>
        </w:rPr>
        <w:t>widened</w:t>
      </w:r>
      <w:r w:rsidR="00BC7C29" w:rsidRPr="00EE6437">
        <w:rPr>
          <w:rStyle w:val="Hyperlink"/>
          <w:rFonts w:cs="Arial"/>
          <w:b/>
          <w:color w:val="0079C2"/>
          <w:szCs w:val="24"/>
          <w:u w:val="none"/>
        </w:rPr>
        <w:t xml:space="preserve"> slightly from </w:t>
      </w:r>
      <w:r w:rsidR="004C155D" w:rsidRPr="00EE6437">
        <w:rPr>
          <w:rStyle w:val="Hyperlink"/>
          <w:rFonts w:cs="Arial"/>
          <w:b/>
          <w:color w:val="0079C2"/>
          <w:szCs w:val="24"/>
          <w:u w:val="none"/>
        </w:rPr>
        <w:t>10</w:t>
      </w:r>
      <w:r w:rsidR="00BC7C29" w:rsidRPr="00EE6437">
        <w:rPr>
          <w:rStyle w:val="Hyperlink"/>
          <w:rFonts w:cs="Arial"/>
          <w:b/>
          <w:color w:val="0079C2"/>
          <w:szCs w:val="24"/>
          <w:u w:val="none"/>
        </w:rPr>
        <w:t xml:space="preserve"> to </w:t>
      </w:r>
      <w:r w:rsidR="004C155D" w:rsidRPr="00EE6437">
        <w:rPr>
          <w:rStyle w:val="Hyperlink"/>
          <w:rFonts w:cs="Arial"/>
          <w:b/>
          <w:color w:val="0079C2"/>
          <w:szCs w:val="24"/>
          <w:u w:val="none"/>
        </w:rPr>
        <w:t>12</w:t>
      </w:r>
      <w:r w:rsidR="00BC7C29" w:rsidRPr="00EE6437">
        <w:rPr>
          <w:rStyle w:val="Hyperlink"/>
          <w:rFonts w:cs="Arial"/>
          <w:b/>
          <w:color w:val="0079C2"/>
          <w:szCs w:val="24"/>
          <w:u w:val="none"/>
        </w:rPr>
        <w:t xml:space="preserve"> percentage points.</w:t>
      </w:r>
    </w:p>
    <w:p w14:paraId="2CF76C9E" w14:textId="44B095E9" w:rsidR="00EE6437" w:rsidRPr="00EE6437" w:rsidRDefault="00EE6437" w:rsidP="00D9246A">
      <w:pPr>
        <w:spacing w:line="240" w:lineRule="auto"/>
        <w:rPr>
          <w:rStyle w:val="Hyperlink"/>
          <w:rFonts w:cs="Arial"/>
          <w:color w:val="0079C2"/>
          <w:szCs w:val="24"/>
          <w:u w:val="none"/>
          <w:vertAlign w:val="superscript"/>
        </w:rPr>
      </w:pPr>
      <w:r>
        <w:rPr>
          <w:rStyle w:val="Hyperlink"/>
          <w:rFonts w:cs="Arial"/>
          <w:color w:val="000000" w:themeColor="text1"/>
          <w:u w:val="none"/>
        </w:rPr>
        <w:t>In Brighton &amp; Hove, b</w:t>
      </w:r>
      <w:r w:rsidRPr="6E5FFF8F">
        <w:rPr>
          <w:rStyle w:val="Hyperlink"/>
          <w:rFonts w:cs="Arial"/>
          <w:color w:val="000000" w:themeColor="text1"/>
          <w:u w:val="none"/>
        </w:rPr>
        <w:t>etween 2009/10 and 2022/23, there has bee</w:t>
      </w:r>
      <w:r>
        <w:rPr>
          <w:rStyle w:val="Hyperlink"/>
          <w:rFonts w:cs="Arial"/>
          <w:color w:val="000000" w:themeColor="text1"/>
          <w:u w:val="none"/>
        </w:rPr>
        <w:t>n a variable trend in</w:t>
      </w:r>
      <w:r w:rsidRPr="6E5FFF8F">
        <w:rPr>
          <w:rStyle w:val="Hyperlink"/>
          <w:rFonts w:cs="Arial"/>
          <w:color w:val="000000" w:themeColor="text1"/>
          <w:u w:val="none"/>
        </w:rPr>
        <w:t xml:space="preserve"> the progression rates for pupils with </w:t>
      </w:r>
      <w:r w:rsidR="008E5E65">
        <w:rPr>
          <w:rStyle w:val="Hyperlink"/>
          <w:rFonts w:cs="Arial"/>
          <w:color w:val="000000" w:themeColor="text1"/>
          <w:u w:val="none"/>
        </w:rPr>
        <w:t xml:space="preserve">any </w:t>
      </w:r>
      <w:r w:rsidRPr="6E5FFF8F">
        <w:rPr>
          <w:rStyle w:val="Hyperlink"/>
          <w:rFonts w:cs="Arial"/>
          <w:color w:val="000000" w:themeColor="text1"/>
          <w:u w:val="none"/>
        </w:rPr>
        <w:t>SEN – from 2% in 2009/10, to 3% in 2022/23</w:t>
      </w:r>
      <w:r w:rsidR="008E5E65">
        <w:rPr>
          <w:rStyle w:val="Hyperlink"/>
          <w:rFonts w:cs="Arial"/>
          <w:color w:val="000000" w:themeColor="text1"/>
          <w:u w:val="none"/>
        </w:rPr>
        <w:t xml:space="preserve"> compared to an increase from </w:t>
      </w:r>
      <w:r w:rsidR="008E5E65" w:rsidRPr="6E5FFF8F">
        <w:rPr>
          <w:rStyle w:val="Hyperlink"/>
          <w:rFonts w:cs="Arial"/>
          <w:color w:val="000000" w:themeColor="text1"/>
          <w:u w:val="none"/>
        </w:rPr>
        <w:t>11% to 22%</w:t>
      </w:r>
      <w:r w:rsidR="008E5E65">
        <w:rPr>
          <w:rStyle w:val="Hyperlink"/>
          <w:rFonts w:cs="Arial"/>
          <w:color w:val="000000" w:themeColor="text1"/>
          <w:u w:val="none"/>
        </w:rPr>
        <w:t xml:space="preserve"> f</w:t>
      </w:r>
      <w:r>
        <w:rPr>
          <w:rStyle w:val="Hyperlink"/>
          <w:rFonts w:cs="Arial"/>
          <w:color w:val="000000" w:themeColor="text1"/>
          <w:u w:val="none"/>
        </w:rPr>
        <w:t>or</w:t>
      </w:r>
      <w:r w:rsidRPr="6E5FFF8F">
        <w:rPr>
          <w:rStyle w:val="Hyperlink"/>
          <w:rFonts w:cs="Arial"/>
          <w:color w:val="000000" w:themeColor="text1"/>
          <w:u w:val="none"/>
        </w:rPr>
        <w:t xml:space="preserve"> pupils without SEN </w:t>
      </w:r>
      <w:r>
        <w:rPr>
          <w:rStyle w:val="Hyperlink"/>
          <w:rFonts w:cs="Arial"/>
          <w:color w:val="000000" w:themeColor="text1"/>
          <w:u w:val="none"/>
        </w:rPr>
        <w:t xml:space="preserve">(Figure </w:t>
      </w:r>
      <w:r w:rsidR="00C86F13">
        <w:rPr>
          <w:rStyle w:val="Hyperlink"/>
          <w:rFonts w:cs="Arial"/>
          <w:color w:val="000000" w:themeColor="text1"/>
          <w:u w:val="none"/>
        </w:rPr>
        <w:t>36</w:t>
      </w:r>
      <w:r>
        <w:rPr>
          <w:rStyle w:val="Hyperlink"/>
          <w:rFonts w:cs="Arial"/>
          <w:color w:val="000000" w:themeColor="text1"/>
          <w:u w:val="none"/>
        </w:rPr>
        <w:t>)</w:t>
      </w:r>
      <w:r w:rsidRPr="6E5FFF8F">
        <w:rPr>
          <w:rStyle w:val="Hyperlink"/>
          <w:rFonts w:cs="Arial"/>
          <w:color w:val="000000" w:themeColor="text1"/>
          <w:u w:val="none"/>
        </w:rPr>
        <w:t>.</w:t>
      </w:r>
      <w:r w:rsidRPr="00595FE6">
        <w:rPr>
          <w:rStyle w:val="Hyperlink"/>
          <w:rFonts w:cs="Arial"/>
          <w:color w:val="000000" w:themeColor="text1"/>
          <w:szCs w:val="24"/>
          <w:u w:val="none"/>
        </w:rPr>
        <w:t xml:space="preserve"> </w:t>
      </w:r>
      <w:r w:rsidRPr="00EE6437">
        <w:rPr>
          <w:rStyle w:val="Hyperlink"/>
          <w:rFonts w:cs="Arial"/>
          <w:b/>
          <w:bCs/>
          <w:color w:val="0079C2"/>
          <w:szCs w:val="24"/>
          <w:u w:val="none"/>
        </w:rPr>
        <w:t>The absolutely inequality gap between SEN pupils and no SEN pupils widened from 9 to 19 percentage points in the city.</w:t>
      </w:r>
    </w:p>
    <w:p w14:paraId="3D87FA00" w14:textId="4573EF4D" w:rsidR="00E15078" w:rsidRPr="00E15078" w:rsidRDefault="00E15078" w:rsidP="00D9246A">
      <w:pPr>
        <w:spacing w:line="240" w:lineRule="auto"/>
        <w:rPr>
          <w:lang w:eastAsia="en-GB"/>
        </w:rPr>
      </w:pPr>
      <w:r w:rsidRPr="00BA111C">
        <w:rPr>
          <w:b/>
          <w:color w:val="A65588"/>
        </w:rPr>
        <w:t xml:space="preserve">Figure </w:t>
      </w:r>
      <w:r w:rsidR="00CA2D43">
        <w:rPr>
          <w:b/>
          <w:color w:val="A65588"/>
        </w:rPr>
        <w:fldChar w:fldCharType="begin"/>
      </w:r>
      <w:r w:rsidR="00CA2D43">
        <w:rPr>
          <w:b/>
          <w:color w:val="A65588"/>
        </w:rPr>
        <w:instrText xml:space="preserve"> SEQ Figure \* ARABIC </w:instrText>
      </w:r>
      <w:r w:rsidR="00CA2D43">
        <w:rPr>
          <w:b/>
          <w:color w:val="A65588"/>
        </w:rPr>
        <w:fldChar w:fldCharType="separate"/>
      </w:r>
      <w:r w:rsidR="00CA2D43">
        <w:rPr>
          <w:b/>
          <w:noProof/>
          <w:color w:val="A65588"/>
        </w:rPr>
        <w:t>36</w:t>
      </w:r>
      <w:r w:rsidR="00CA2D43">
        <w:rPr>
          <w:b/>
          <w:color w:val="A65588"/>
        </w:rPr>
        <w:fldChar w:fldCharType="end"/>
      </w:r>
      <w:r w:rsidRPr="00BA111C">
        <w:rPr>
          <w:b/>
          <w:color w:val="A65588"/>
        </w:rPr>
        <w:t>: Progression to high tariff higher education by age 19, by SEN provision, Brighton &amp; Hove, 2009/10 to 2022/23</w:t>
      </w:r>
    </w:p>
    <w:p w14:paraId="0E8C5024" w14:textId="4841375E" w:rsidR="00D022FF" w:rsidRDefault="00D022FF" w:rsidP="00D9246A">
      <w:pPr>
        <w:spacing w:line="240" w:lineRule="auto"/>
        <w:rPr>
          <w:rFonts w:cs="Arial"/>
          <w:b/>
          <w:color w:val="086A76"/>
          <w:szCs w:val="24"/>
        </w:rPr>
      </w:pPr>
      <w:r w:rsidRPr="00D022FF">
        <w:rPr>
          <w:rFonts w:cs="Arial"/>
          <w:b/>
          <w:noProof/>
          <w:color w:val="086A76"/>
          <w:szCs w:val="24"/>
        </w:rPr>
        <w:lastRenderedPageBreak/>
        <w:drawing>
          <wp:inline distT="0" distB="0" distL="0" distR="0" wp14:anchorId="08F5DBA1" wp14:editId="09CAD2AB">
            <wp:extent cx="4867275" cy="2696931"/>
            <wp:effectExtent l="0" t="0" r="0" b="8255"/>
            <wp:docPr id="1436596248" name="Picture 1" descr="Line chart showing the progression rate (%) of students to high tariff higher education by age 19, by SEN provision in Brighton &amp; Hove, 2009/10 to 2022/23.&#10;&#10;In 2022/23, the progression rate for pupils with SEN was 3% compared to 22% for pupils without 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96248" name="Picture 1" descr="Line chart showing the progression rate (%) of students to high tariff higher education by age 19, by SEN provision in Brighton &amp; Hove, 2009/10 to 2022/23.&#10;&#10;In 2022/23, the progression rate for pupils with SEN was 3% compared to 22% for pupils without SEN."/>
                    <pic:cNvPicPr/>
                  </pic:nvPicPr>
                  <pic:blipFill>
                    <a:blip r:embed="rId115"/>
                    <a:stretch>
                      <a:fillRect/>
                    </a:stretch>
                  </pic:blipFill>
                  <pic:spPr>
                    <a:xfrm>
                      <a:off x="0" y="0"/>
                      <a:ext cx="4873168" cy="2700196"/>
                    </a:xfrm>
                    <a:prstGeom prst="rect">
                      <a:avLst/>
                    </a:prstGeom>
                  </pic:spPr>
                </pic:pic>
              </a:graphicData>
            </a:graphic>
          </wp:inline>
        </w:drawing>
      </w:r>
    </w:p>
    <w:p w14:paraId="60099080" w14:textId="28243A42" w:rsidR="009341D0" w:rsidRPr="009341D0" w:rsidRDefault="00E558C2" w:rsidP="00D9246A">
      <w:pPr>
        <w:spacing w:line="240" w:lineRule="auto"/>
        <w:rPr>
          <w:rStyle w:val="Hyperlink"/>
          <w:rFonts w:cs="Arial"/>
          <w:szCs w:val="24"/>
          <w:u w:val="none"/>
        </w:rPr>
      </w:pPr>
      <w:r w:rsidRPr="00BA111C">
        <w:rPr>
          <w:rStyle w:val="Hyperlink"/>
          <w:rFonts w:cs="Arial"/>
          <w:b/>
          <w:color w:val="0D0D0D" w:themeColor="text1" w:themeTint="F2"/>
          <w:szCs w:val="24"/>
          <w:u w:val="none"/>
        </w:rPr>
        <w:t>Source:</w:t>
      </w:r>
      <w:r w:rsidRPr="00D022FF">
        <w:rPr>
          <w:rStyle w:val="Hyperlink"/>
          <w:rFonts w:cs="Arial"/>
          <w:bCs/>
          <w:color w:val="0D0D0D" w:themeColor="text1" w:themeTint="F2"/>
          <w:szCs w:val="24"/>
          <w:u w:val="none"/>
        </w:rPr>
        <w:t xml:space="preserve"> Matched</w:t>
      </w:r>
      <w:r w:rsidRPr="005E4ABF">
        <w:rPr>
          <w:rStyle w:val="Hyperlink"/>
          <w:rFonts w:cs="Arial"/>
          <w:color w:val="0D0D0D" w:themeColor="text1" w:themeTint="F2"/>
          <w:szCs w:val="24"/>
          <w:u w:val="none"/>
        </w:rPr>
        <w:t xml:space="preserve"> data from the Department of Education National Pupil Database</w:t>
      </w:r>
      <w:r w:rsidR="009341D0" w:rsidRPr="009341D0">
        <w:rPr>
          <w:rStyle w:val="Hyperlink"/>
          <w:rFonts w:cs="Arial"/>
          <w:color w:val="0D0D0D" w:themeColor="text1" w:themeTint="F2"/>
          <w:szCs w:val="24"/>
          <w:u w:val="none"/>
        </w:rPr>
        <w:t>,</w:t>
      </w:r>
      <w:r w:rsidRPr="005E4ABF">
        <w:rPr>
          <w:rStyle w:val="Hyperlink"/>
          <w:rFonts w:cs="Arial"/>
          <w:color w:val="0D0D0D" w:themeColor="text1" w:themeTint="F2"/>
          <w:szCs w:val="24"/>
        </w:rPr>
        <w:t xml:space="preserve"> </w:t>
      </w:r>
      <w:r w:rsidRPr="009341D0">
        <w:rPr>
          <w:rStyle w:val="Hyperlink"/>
          <w:rFonts w:cs="Arial"/>
          <w:color w:val="0D0D0D" w:themeColor="text1" w:themeTint="F2"/>
          <w:szCs w:val="24"/>
          <w:u w:val="none"/>
        </w:rPr>
        <w:t>Widening participation in higher education, 2022/23</w:t>
      </w:r>
    </w:p>
    <w:p w14:paraId="5B45B7B3" w14:textId="07EF2887" w:rsidR="003A078D" w:rsidRPr="00876C52" w:rsidRDefault="003A078D" w:rsidP="00D9246A">
      <w:pPr>
        <w:spacing w:line="240" w:lineRule="auto"/>
        <w:rPr>
          <w:rFonts w:eastAsia="Calibri" w:cs="Arial"/>
          <w:b/>
          <w:color w:val="A13648"/>
          <w:kern w:val="28"/>
          <w:szCs w:val="24"/>
        </w:rPr>
      </w:pPr>
      <w:bookmarkStart w:id="199" w:name="_Toc20838495"/>
      <w:r w:rsidRPr="00595FE6">
        <w:rPr>
          <w:rFonts w:cs="Arial"/>
          <w:szCs w:val="24"/>
        </w:rPr>
        <w:br w:type="page"/>
      </w:r>
    </w:p>
    <w:p w14:paraId="003E15CB" w14:textId="0300D17E" w:rsidR="00941398" w:rsidRPr="00595FE6" w:rsidRDefault="00344128" w:rsidP="00D9246A">
      <w:pPr>
        <w:pStyle w:val="Heading1"/>
        <w:spacing w:before="0"/>
      </w:pPr>
      <w:bookmarkStart w:id="200" w:name="_Toc218690644"/>
      <w:r>
        <w:lastRenderedPageBreak/>
        <w:t>N</w:t>
      </w:r>
      <w:r w:rsidR="007C7ECA">
        <w:t>ational evidence review</w:t>
      </w:r>
      <w:r w:rsidR="009E0629">
        <w:t>s</w:t>
      </w:r>
      <w:r w:rsidR="00314FCF">
        <w:t xml:space="preserve"> on</w:t>
      </w:r>
      <w:r w:rsidR="00314FCF" w:rsidRPr="00314FCF">
        <w:t xml:space="preserve"> </w:t>
      </w:r>
      <w:r w:rsidR="00314FCF">
        <w:t>intersectionality</w:t>
      </w:r>
      <w:bookmarkEnd w:id="200"/>
    </w:p>
    <w:p w14:paraId="68D6B175" w14:textId="572AEA1C" w:rsidR="00941398" w:rsidRPr="00595FE6" w:rsidRDefault="004C5A5F" w:rsidP="00D9246A">
      <w:pPr>
        <w:pStyle w:val="Heading2"/>
        <w:spacing w:before="0" w:after="120"/>
      </w:pPr>
      <w:r>
        <w:t>Methods</w:t>
      </w:r>
    </w:p>
    <w:p w14:paraId="5DB3208D" w14:textId="7F25CDDE" w:rsidR="00941398" w:rsidRDefault="00941398" w:rsidP="00D9246A">
      <w:pPr>
        <w:spacing w:line="240" w:lineRule="auto"/>
      </w:pPr>
      <w:r>
        <w:t>Intersectionality refers to the way in which multiple aspects of a person’s identity</w:t>
      </w:r>
      <w:r w:rsidR="00D370A8">
        <w:t xml:space="preserve"> - </w:t>
      </w:r>
      <w:r>
        <w:t xml:space="preserve">such as ethnicity, </w:t>
      </w:r>
      <w:r w:rsidRPr="00FE47AB">
        <w:rPr>
          <w:rFonts w:cs="Arial"/>
          <w:szCs w:val="24"/>
        </w:rPr>
        <w:t>socio</w:t>
      </w:r>
      <w:r>
        <w:t>-economic status, sexual orientation, and other characteristic</w:t>
      </w:r>
      <w:r w:rsidR="00D370A8">
        <w:t xml:space="preserve"> - </w:t>
      </w:r>
      <w:r>
        <w:t>interact to shape their lived experiences. This approach is particularly important when considering access to services and the barriers individuals may face.</w:t>
      </w:r>
    </w:p>
    <w:p w14:paraId="49B6587F" w14:textId="6CF7DBED" w:rsidR="00DA60D2" w:rsidRDefault="00810DCC" w:rsidP="00D9246A">
      <w:pPr>
        <w:spacing w:line="240" w:lineRule="auto"/>
      </w:pPr>
      <w:r>
        <w:t>A</w:t>
      </w:r>
      <w:r w:rsidR="00941398">
        <w:t xml:space="preserve"> literature review focusing on SEND </w:t>
      </w:r>
      <w:r w:rsidR="00392663">
        <w:t xml:space="preserve">children and young people </w:t>
      </w:r>
      <w:r w:rsidR="00941398">
        <w:t>who also belong to one or more protected or vulnerable groups</w:t>
      </w:r>
      <w:r>
        <w:t xml:space="preserve"> was undertaken</w:t>
      </w:r>
      <w:r w:rsidR="00941398">
        <w:t>. The aim was to explore how intersecting factors</w:t>
      </w:r>
      <w:r w:rsidR="00DB71A8">
        <w:t xml:space="preserve"> -</w:t>
      </w:r>
      <w:r w:rsidR="00941398">
        <w:t xml:space="preserve"> ethnicity, socio-economic disadvantage, experience of care, gender identity and sexual orientation</w:t>
      </w:r>
      <w:r w:rsidR="00DB71A8">
        <w:t xml:space="preserve"> - </w:t>
      </w:r>
      <w:r w:rsidR="00941398">
        <w:t xml:space="preserve">may influence their access to education, health services, and overall support. </w:t>
      </w:r>
      <w:r w:rsidR="005D5C66">
        <w:t xml:space="preserve">Evidence search reports, </w:t>
      </w:r>
      <w:r w:rsidR="005D5C66" w:rsidRPr="00595FE6">
        <w:t>including search terms</w:t>
      </w:r>
      <w:r w:rsidR="005D5C66">
        <w:t xml:space="preserve"> used, are </w:t>
      </w:r>
      <w:r w:rsidR="00240A07">
        <w:t>available</w:t>
      </w:r>
      <w:r w:rsidR="005D5C66">
        <w:t xml:space="preserve"> </w:t>
      </w:r>
      <w:hyperlink r:id="rId116" w:history="1">
        <w:r w:rsidR="005D5C66" w:rsidRPr="005D7B59">
          <w:rPr>
            <w:rStyle w:val="Hyperlink"/>
            <w:rFonts w:cstheme="minorBidi"/>
          </w:rPr>
          <w:t>Evidence reviews</w:t>
        </w:r>
      </w:hyperlink>
      <w:r w:rsidR="005D5C66">
        <w:t xml:space="preserve">. </w:t>
      </w:r>
      <w:r w:rsidR="0024008B">
        <w:t>The</w:t>
      </w:r>
      <w:r w:rsidR="00941398">
        <w:t xml:space="preserve"> literature review methods</w:t>
      </w:r>
      <w:r w:rsidR="00CE5EEE">
        <w:t xml:space="preserve"> </w:t>
      </w:r>
      <w:r w:rsidR="00EA67FF">
        <w:t>are</w:t>
      </w:r>
      <w:r w:rsidR="00392663">
        <w:t xml:space="preserve"> provided in the Appendix </w:t>
      </w:r>
      <w:r w:rsidR="00863942">
        <w:t>4</w:t>
      </w:r>
      <w:r w:rsidR="00612303">
        <w:t>.</w:t>
      </w:r>
    </w:p>
    <w:p w14:paraId="1FB4D121" w14:textId="77777777" w:rsidR="00941398" w:rsidRPr="00595FE6" w:rsidRDefault="00941398" w:rsidP="00D9246A">
      <w:pPr>
        <w:pStyle w:val="Heading2"/>
        <w:spacing w:before="0" w:after="120"/>
      </w:pPr>
      <w:r w:rsidRPr="00595FE6">
        <w:t>Overview</w:t>
      </w:r>
      <w:r>
        <w:t xml:space="preserve"> of findings</w:t>
      </w:r>
    </w:p>
    <w:p w14:paraId="1D089985" w14:textId="0BB026C8" w:rsidR="00D065D8" w:rsidRDefault="008C24D3" w:rsidP="00D9246A">
      <w:pPr>
        <w:spacing w:line="240" w:lineRule="auto"/>
      </w:pPr>
      <w:r>
        <w:t>As show</w:t>
      </w:r>
      <w:r w:rsidR="00B129A1">
        <w:t>n</w:t>
      </w:r>
      <w:r>
        <w:t xml:space="preserve"> in </w:t>
      </w:r>
      <w:r w:rsidR="00B129A1">
        <w:t>T</w:t>
      </w:r>
      <w:r>
        <w:t xml:space="preserve">able </w:t>
      </w:r>
      <w:r w:rsidR="009A41AE">
        <w:t>14</w:t>
      </w:r>
      <w:r>
        <w:t>, t</w:t>
      </w:r>
      <w:r w:rsidR="003D6DD3" w:rsidRPr="003D6DD3">
        <w:t>he literature search that yielded the highest number of results focused on SEND and ethnicity</w:t>
      </w:r>
      <w:r w:rsidR="00596ADC">
        <w:t>. A</w:t>
      </w:r>
      <w:r w:rsidR="003D6DD3" w:rsidRPr="003D6DD3">
        <w:t>fter screening, 26 papers</w:t>
      </w:r>
      <w:r w:rsidR="006014E3">
        <w:t xml:space="preserve"> </w:t>
      </w:r>
      <w:r w:rsidR="004B1236">
        <w:t>were included</w:t>
      </w:r>
      <w:r w:rsidR="004F68DF">
        <w:t xml:space="preserve"> and</w:t>
      </w:r>
      <w:r w:rsidR="0098272F">
        <w:t xml:space="preserve"> a summary of the </w:t>
      </w:r>
      <w:r w:rsidR="006014E3">
        <w:t xml:space="preserve">synthesis </w:t>
      </w:r>
      <w:r w:rsidR="0098272F">
        <w:t>is provided below.</w:t>
      </w:r>
      <w:r w:rsidR="000D15D8">
        <w:t xml:space="preserve"> </w:t>
      </w:r>
      <w:r w:rsidR="003D6DD3" w:rsidRPr="003D6DD3">
        <w:t>In contrast, for deprivation (4 papers), sexual orientation or gender identity (2 papers), and care-experienced (7 papers), the number of studies was too small</w:t>
      </w:r>
      <w:r w:rsidR="001028EC">
        <w:t>, or</w:t>
      </w:r>
      <w:r w:rsidR="003D6DD3" w:rsidRPr="003D6DD3">
        <w:t xml:space="preserve"> the study types too </w:t>
      </w:r>
      <w:r w:rsidR="00B4781B">
        <w:t>varied</w:t>
      </w:r>
      <w:r w:rsidR="001028EC">
        <w:t xml:space="preserve">, </w:t>
      </w:r>
      <w:r w:rsidR="003D6DD3" w:rsidRPr="003D6DD3">
        <w:t>to allow meaningful synthesis across papers</w:t>
      </w:r>
      <w:r w:rsidR="00C32695">
        <w:t>. Therefore,</w:t>
      </w:r>
      <w:r w:rsidR="00240A07">
        <w:t xml:space="preserve"> </w:t>
      </w:r>
      <w:r w:rsidR="00B4781B">
        <w:t>papers have been summarised.</w:t>
      </w:r>
      <w:r w:rsidR="00C6130C">
        <w:t xml:space="preserve"> Sexual orientation and gender identity could not be considered separately</w:t>
      </w:r>
      <w:r w:rsidR="00B73AB1">
        <w:t xml:space="preserve">, </w:t>
      </w:r>
      <w:r w:rsidR="00C6130C">
        <w:t xml:space="preserve">as was </w:t>
      </w:r>
      <w:r w:rsidR="00B73AB1">
        <w:t xml:space="preserve">our intention, </w:t>
      </w:r>
      <w:r w:rsidR="00C6130C">
        <w:t xml:space="preserve">because the two papers covered both areas. </w:t>
      </w:r>
      <w:r w:rsidR="008A7623">
        <w:t>A list</w:t>
      </w:r>
      <w:r w:rsidR="00B20F43">
        <w:t xml:space="preserve"> </w:t>
      </w:r>
      <w:r w:rsidR="008A7623">
        <w:t xml:space="preserve">of </w:t>
      </w:r>
      <w:r w:rsidR="00D065D8">
        <w:t>all papers screened</w:t>
      </w:r>
      <w:r w:rsidR="0024316E">
        <w:t xml:space="preserve"> (</w:t>
      </w:r>
      <w:r w:rsidR="004273AD">
        <w:t>by</w:t>
      </w:r>
      <w:r w:rsidR="00D065D8">
        <w:t xml:space="preserve"> topic</w:t>
      </w:r>
      <w:r w:rsidR="0024316E">
        <w:t>)</w:t>
      </w:r>
      <w:r w:rsidR="00AF5122">
        <w:t>,</w:t>
      </w:r>
      <w:r w:rsidR="00B20F43">
        <w:t xml:space="preserve"> along with a summary of each paper</w:t>
      </w:r>
      <w:r w:rsidR="00D065D8">
        <w:t xml:space="preserve"> </w:t>
      </w:r>
      <w:r w:rsidR="00B20F43">
        <w:t>and</w:t>
      </w:r>
      <w:r w:rsidR="00D065D8">
        <w:t xml:space="preserve"> link to </w:t>
      </w:r>
      <w:r w:rsidR="00B20F43">
        <w:t xml:space="preserve">the </w:t>
      </w:r>
      <w:r w:rsidR="009D0B43">
        <w:t>publication:</w:t>
      </w:r>
      <w:r w:rsidR="00961EF2" w:rsidRPr="00961EF2">
        <w:t xml:space="preserve"> </w:t>
      </w:r>
      <w:hyperlink r:id="rId117" w:history="1">
        <w:r w:rsidR="00961EF2" w:rsidRPr="00961EF2">
          <w:rPr>
            <w:rStyle w:val="Hyperlink"/>
            <w:rFonts w:cstheme="minorBidi"/>
          </w:rPr>
          <w:t>SEND and intersectionality in children and young people.pdf</w:t>
        </w:r>
      </w:hyperlink>
      <w:r w:rsidR="00D065D8">
        <w:t>:</w:t>
      </w:r>
    </w:p>
    <w:p w14:paraId="584CF2D6" w14:textId="5199280C" w:rsidR="006223D9" w:rsidRPr="003873F6" w:rsidRDefault="006223D9" w:rsidP="009A41AE">
      <w:pPr>
        <w:spacing w:after="0" w:line="240" w:lineRule="auto"/>
        <w:rPr>
          <w:b/>
        </w:rPr>
      </w:pPr>
    </w:p>
    <w:p w14:paraId="434D9DAB" w14:textId="47BB61C3" w:rsidR="009A41AE" w:rsidRPr="009A41AE" w:rsidRDefault="009A41AE" w:rsidP="009A41AE">
      <w:pPr>
        <w:pStyle w:val="Caption"/>
        <w:spacing w:after="0"/>
        <w:rPr>
          <w:color w:val="A65588"/>
        </w:rPr>
      </w:pPr>
      <w:r w:rsidRPr="009A41AE">
        <w:rPr>
          <w:color w:val="A65588"/>
        </w:rPr>
        <w:t xml:space="preserve">Table </w:t>
      </w:r>
      <w:r w:rsidRPr="009A41AE">
        <w:rPr>
          <w:color w:val="A65588"/>
        </w:rPr>
        <w:fldChar w:fldCharType="begin"/>
      </w:r>
      <w:r w:rsidRPr="009A41AE">
        <w:rPr>
          <w:color w:val="A65588"/>
        </w:rPr>
        <w:instrText xml:space="preserve"> SEQ Table \* ARABIC </w:instrText>
      </w:r>
      <w:r w:rsidRPr="009A41AE">
        <w:rPr>
          <w:color w:val="A65588"/>
        </w:rPr>
        <w:fldChar w:fldCharType="separate"/>
      </w:r>
      <w:r w:rsidRPr="009A41AE">
        <w:rPr>
          <w:noProof/>
          <w:color w:val="A65588"/>
        </w:rPr>
        <w:t>14</w:t>
      </w:r>
      <w:r w:rsidRPr="009A41AE">
        <w:rPr>
          <w:color w:val="A65588"/>
        </w:rPr>
        <w:fldChar w:fldCharType="end"/>
      </w:r>
      <w:r w:rsidRPr="009A41AE">
        <w:rPr>
          <w:color w:val="A65588"/>
        </w:rPr>
        <w:t>: Number of papers included and excluded across intersectional topics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1270"/>
        <w:gridCol w:w="1279"/>
        <w:gridCol w:w="1417"/>
        <w:gridCol w:w="3532"/>
      </w:tblGrid>
      <w:tr w:rsidR="006C1F15" w:rsidRPr="00921757" w14:paraId="1A7B18A2" w14:textId="77777777" w:rsidTr="00BA111C">
        <w:tc>
          <w:tcPr>
            <w:tcW w:w="1846" w:type="dxa"/>
            <w:shd w:val="clear" w:color="auto" w:fill="086A76"/>
          </w:tcPr>
          <w:p w14:paraId="1B0CE10C" w14:textId="77777777" w:rsidR="006223D9" w:rsidRPr="00921757" w:rsidRDefault="006223D9" w:rsidP="00F76AE5">
            <w:pPr>
              <w:rPr>
                <w:rFonts w:cs="Arial"/>
                <w:b/>
                <w:bCs/>
                <w:color w:val="FFFFFF" w:themeColor="background1"/>
                <w:szCs w:val="24"/>
              </w:rPr>
            </w:pPr>
            <w:r w:rsidRPr="00921757">
              <w:rPr>
                <w:rFonts w:cs="Arial"/>
                <w:b/>
                <w:bCs/>
                <w:color w:val="FFFFFF" w:themeColor="background1"/>
                <w:szCs w:val="24"/>
              </w:rPr>
              <w:t>SEND and intersection</w:t>
            </w:r>
          </w:p>
        </w:tc>
        <w:tc>
          <w:tcPr>
            <w:tcW w:w="1270" w:type="dxa"/>
            <w:shd w:val="clear" w:color="auto" w:fill="086A76"/>
          </w:tcPr>
          <w:p w14:paraId="58225303" w14:textId="77777777" w:rsidR="006223D9" w:rsidRPr="00921757" w:rsidRDefault="006223D9" w:rsidP="00F76AE5">
            <w:pPr>
              <w:rPr>
                <w:rFonts w:cs="Arial"/>
                <w:b/>
                <w:bCs/>
                <w:color w:val="FFFFFF" w:themeColor="background1"/>
                <w:szCs w:val="24"/>
              </w:rPr>
            </w:pPr>
            <w:r w:rsidRPr="00921757">
              <w:rPr>
                <w:rFonts w:cs="Arial"/>
                <w:b/>
                <w:bCs/>
                <w:color w:val="FFFFFF" w:themeColor="background1"/>
                <w:szCs w:val="24"/>
              </w:rPr>
              <w:t>Papers screened</w:t>
            </w:r>
          </w:p>
        </w:tc>
        <w:tc>
          <w:tcPr>
            <w:tcW w:w="1279" w:type="dxa"/>
            <w:shd w:val="clear" w:color="auto" w:fill="086A76"/>
          </w:tcPr>
          <w:p w14:paraId="37D78922" w14:textId="77777777" w:rsidR="006223D9" w:rsidRPr="00921757" w:rsidRDefault="006223D9" w:rsidP="00F76AE5">
            <w:pPr>
              <w:rPr>
                <w:rFonts w:cs="Arial"/>
                <w:b/>
                <w:bCs/>
                <w:color w:val="FFFFFF" w:themeColor="background1"/>
                <w:szCs w:val="24"/>
              </w:rPr>
            </w:pPr>
            <w:r w:rsidRPr="00921757">
              <w:rPr>
                <w:rFonts w:cs="Arial"/>
                <w:b/>
                <w:bCs/>
                <w:color w:val="FFFFFF" w:themeColor="background1"/>
                <w:szCs w:val="24"/>
              </w:rPr>
              <w:t>Papers included</w:t>
            </w:r>
          </w:p>
        </w:tc>
        <w:tc>
          <w:tcPr>
            <w:tcW w:w="1417" w:type="dxa"/>
            <w:shd w:val="clear" w:color="auto" w:fill="086A76"/>
          </w:tcPr>
          <w:p w14:paraId="62B4BE88" w14:textId="77777777" w:rsidR="006223D9" w:rsidRPr="00921757" w:rsidRDefault="006223D9" w:rsidP="00F76AE5">
            <w:pPr>
              <w:rPr>
                <w:rFonts w:cs="Arial"/>
                <w:b/>
                <w:bCs/>
                <w:color w:val="FFFFFF" w:themeColor="background1"/>
                <w:szCs w:val="24"/>
              </w:rPr>
            </w:pPr>
            <w:r w:rsidRPr="00921757">
              <w:rPr>
                <w:rFonts w:cs="Arial"/>
                <w:b/>
                <w:bCs/>
                <w:color w:val="FFFFFF" w:themeColor="background1"/>
                <w:szCs w:val="24"/>
              </w:rPr>
              <w:t>Papers excluded</w:t>
            </w:r>
          </w:p>
        </w:tc>
        <w:tc>
          <w:tcPr>
            <w:tcW w:w="3532" w:type="dxa"/>
            <w:shd w:val="clear" w:color="auto" w:fill="086A76"/>
          </w:tcPr>
          <w:p w14:paraId="4AFE57CC" w14:textId="77777777" w:rsidR="006223D9" w:rsidRPr="00921757" w:rsidRDefault="006223D9" w:rsidP="00F76AE5">
            <w:pPr>
              <w:rPr>
                <w:rFonts w:cs="Arial"/>
                <w:b/>
                <w:bCs/>
                <w:color w:val="FFFFFF" w:themeColor="background1"/>
                <w:szCs w:val="24"/>
              </w:rPr>
            </w:pPr>
            <w:r w:rsidRPr="00921757">
              <w:rPr>
                <w:rFonts w:cs="Arial"/>
                <w:b/>
                <w:bCs/>
                <w:color w:val="FFFFFF" w:themeColor="background1"/>
                <w:szCs w:val="24"/>
              </w:rPr>
              <w:t>Reason for exclusion</w:t>
            </w:r>
          </w:p>
        </w:tc>
      </w:tr>
      <w:tr w:rsidR="006C1F15" w14:paraId="5309519F" w14:textId="77777777" w:rsidTr="00BA111C">
        <w:tc>
          <w:tcPr>
            <w:tcW w:w="1846" w:type="dxa"/>
          </w:tcPr>
          <w:p w14:paraId="7F6CCB6D" w14:textId="77777777" w:rsidR="006223D9" w:rsidRDefault="006223D9" w:rsidP="00D9246A">
            <w:pPr>
              <w:rPr>
                <w:rFonts w:cs="Arial"/>
                <w:color w:val="000000" w:themeColor="text1"/>
                <w:szCs w:val="24"/>
              </w:rPr>
            </w:pPr>
            <w:r>
              <w:rPr>
                <w:rFonts w:cs="Arial"/>
                <w:color w:val="000000" w:themeColor="text1"/>
                <w:szCs w:val="24"/>
              </w:rPr>
              <w:t>Ethnicity</w:t>
            </w:r>
          </w:p>
        </w:tc>
        <w:tc>
          <w:tcPr>
            <w:tcW w:w="1270" w:type="dxa"/>
          </w:tcPr>
          <w:p w14:paraId="0BC506DE" w14:textId="77777777" w:rsidR="006223D9" w:rsidRDefault="006223D9" w:rsidP="00D9246A">
            <w:pPr>
              <w:jc w:val="right"/>
              <w:rPr>
                <w:rFonts w:cs="Arial"/>
                <w:color w:val="000000" w:themeColor="text1"/>
                <w:szCs w:val="24"/>
              </w:rPr>
            </w:pPr>
            <w:r>
              <w:rPr>
                <w:rFonts w:cs="Arial"/>
                <w:color w:val="000000" w:themeColor="text1"/>
                <w:szCs w:val="24"/>
              </w:rPr>
              <w:t>47</w:t>
            </w:r>
          </w:p>
        </w:tc>
        <w:tc>
          <w:tcPr>
            <w:tcW w:w="1279" w:type="dxa"/>
          </w:tcPr>
          <w:p w14:paraId="20A52647" w14:textId="77777777" w:rsidR="006223D9" w:rsidRDefault="006223D9" w:rsidP="00D9246A">
            <w:pPr>
              <w:jc w:val="right"/>
              <w:rPr>
                <w:rFonts w:cs="Arial"/>
                <w:color w:val="000000" w:themeColor="text1"/>
                <w:szCs w:val="24"/>
              </w:rPr>
            </w:pPr>
            <w:r>
              <w:rPr>
                <w:rFonts w:cs="Arial"/>
                <w:color w:val="000000" w:themeColor="text1"/>
                <w:szCs w:val="24"/>
              </w:rPr>
              <w:t>26</w:t>
            </w:r>
          </w:p>
        </w:tc>
        <w:tc>
          <w:tcPr>
            <w:tcW w:w="1417" w:type="dxa"/>
          </w:tcPr>
          <w:p w14:paraId="7ABA2B09" w14:textId="77777777" w:rsidR="006223D9" w:rsidRDefault="006223D9" w:rsidP="00D9246A">
            <w:pPr>
              <w:jc w:val="right"/>
              <w:rPr>
                <w:rFonts w:cs="Arial"/>
                <w:color w:val="000000" w:themeColor="text1"/>
                <w:szCs w:val="24"/>
              </w:rPr>
            </w:pPr>
            <w:r>
              <w:rPr>
                <w:rFonts w:cs="Arial"/>
                <w:color w:val="000000" w:themeColor="text1"/>
                <w:szCs w:val="24"/>
              </w:rPr>
              <w:t>21</w:t>
            </w:r>
          </w:p>
        </w:tc>
        <w:tc>
          <w:tcPr>
            <w:tcW w:w="3532" w:type="dxa"/>
          </w:tcPr>
          <w:p w14:paraId="5311EFC8" w14:textId="34DE0C1F" w:rsidR="006223D9" w:rsidRDefault="006223D9" w:rsidP="009858E3">
            <w:pPr>
              <w:pStyle w:val="ListParagraph"/>
              <w:numPr>
                <w:ilvl w:val="0"/>
                <w:numId w:val="19"/>
              </w:numPr>
              <w:rPr>
                <w:rFonts w:cs="Arial"/>
                <w:color w:val="000000" w:themeColor="text1"/>
                <w:szCs w:val="24"/>
              </w:rPr>
            </w:pPr>
            <w:r w:rsidRPr="00354BBC">
              <w:rPr>
                <w:rFonts w:cs="Arial"/>
                <w:color w:val="000000" w:themeColor="text1"/>
                <w:szCs w:val="24"/>
              </w:rPr>
              <w:t xml:space="preserve">No </w:t>
            </w:r>
            <w:r>
              <w:rPr>
                <w:rFonts w:cs="Arial"/>
                <w:color w:val="000000" w:themeColor="text1"/>
                <w:szCs w:val="24"/>
              </w:rPr>
              <w:t xml:space="preserve">ethnicity </w:t>
            </w:r>
            <w:r w:rsidRPr="00354BBC">
              <w:rPr>
                <w:rFonts w:cs="Arial"/>
                <w:color w:val="000000" w:themeColor="text1"/>
                <w:szCs w:val="24"/>
              </w:rPr>
              <w:t>intersectional information</w:t>
            </w:r>
            <w:r w:rsidR="00ED7CDA">
              <w:rPr>
                <w:rFonts w:cs="Arial"/>
                <w:color w:val="000000" w:themeColor="text1"/>
                <w:szCs w:val="24"/>
              </w:rPr>
              <w:t xml:space="preserve"> with SEND</w:t>
            </w:r>
          </w:p>
          <w:p w14:paraId="72289AB4" w14:textId="77777777" w:rsidR="006223D9" w:rsidRDefault="006223D9" w:rsidP="009858E3">
            <w:pPr>
              <w:pStyle w:val="ListParagraph"/>
              <w:numPr>
                <w:ilvl w:val="0"/>
                <w:numId w:val="19"/>
              </w:numPr>
              <w:rPr>
                <w:rFonts w:cs="Arial"/>
                <w:color w:val="000000" w:themeColor="text1"/>
                <w:szCs w:val="24"/>
              </w:rPr>
            </w:pPr>
            <w:r>
              <w:rPr>
                <w:rFonts w:cs="Arial"/>
                <w:color w:val="000000" w:themeColor="text1"/>
                <w:szCs w:val="24"/>
              </w:rPr>
              <w:t>No UK data</w:t>
            </w:r>
          </w:p>
          <w:p w14:paraId="1AC3DD6F" w14:textId="77777777" w:rsidR="006223D9" w:rsidRDefault="006223D9" w:rsidP="009858E3">
            <w:pPr>
              <w:pStyle w:val="ListParagraph"/>
              <w:numPr>
                <w:ilvl w:val="0"/>
                <w:numId w:val="19"/>
              </w:numPr>
              <w:rPr>
                <w:rFonts w:cs="Arial"/>
                <w:color w:val="000000" w:themeColor="text1"/>
                <w:szCs w:val="24"/>
              </w:rPr>
            </w:pPr>
            <w:r>
              <w:rPr>
                <w:rFonts w:cs="Arial"/>
                <w:color w:val="000000" w:themeColor="text1"/>
                <w:szCs w:val="24"/>
              </w:rPr>
              <w:t>Only on adults</w:t>
            </w:r>
          </w:p>
          <w:p w14:paraId="6712B07B" w14:textId="450A31B6" w:rsidR="00812D92" w:rsidRPr="00812D92" w:rsidRDefault="006223D9" w:rsidP="009858E3">
            <w:pPr>
              <w:pStyle w:val="ListParagraph"/>
              <w:numPr>
                <w:ilvl w:val="0"/>
                <w:numId w:val="19"/>
              </w:numPr>
              <w:rPr>
                <w:rFonts w:cs="Arial"/>
                <w:color w:val="000000" w:themeColor="text1"/>
                <w:szCs w:val="24"/>
              </w:rPr>
            </w:pPr>
            <w:r>
              <w:rPr>
                <w:rFonts w:cs="Arial"/>
                <w:color w:val="000000" w:themeColor="text1"/>
                <w:szCs w:val="24"/>
              </w:rPr>
              <w:t xml:space="preserve">Advice or framework piece </w:t>
            </w:r>
          </w:p>
        </w:tc>
      </w:tr>
      <w:tr w:rsidR="006C1F15" w14:paraId="69B24AF7" w14:textId="77777777" w:rsidTr="00BA111C">
        <w:trPr>
          <w:trHeight w:val="580"/>
        </w:trPr>
        <w:tc>
          <w:tcPr>
            <w:tcW w:w="1846" w:type="dxa"/>
          </w:tcPr>
          <w:p w14:paraId="6862104D" w14:textId="77777777" w:rsidR="006223D9" w:rsidRDefault="006223D9" w:rsidP="00D9246A">
            <w:pPr>
              <w:rPr>
                <w:rFonts w:cs="Arial"/>
                <w:color w:val="000000" w:themeColor="text1"/>
                <w:szCs w:val="24"/>
              </w:rPr>
            </w:pPr>
            <w:r>
              <w:rPr>
                <w:rFonts w:cs="Arial"/>
                <w:color w:val="000000" w:themeColor="text1"/>
                <w:szCs w:val="24"/>
              </w:rPr>
              <w:t xml:space="preserve">Deprivation </w:t>
            </w:r>
          </w:p>
          <w:p w14:paraId="6111CFFC" w14:textId="77777777" w:rsidR="00BF77DF" w:rsidRDefault="00BF77DF" w:rsidP="00D9246A">
            <w:pPr>
              <w:rPr>
                <w:rFonts w:cs="Arial"/>
                <w:color w:val="000000" w:themeColor="text1"/>
                <w:szCs w:val="24"/>
              </w:rPr>
            </w:pPr>
          </w:p>
          <w:p w14:paraId="278D3307" w14:textId="77777777" w:rsidR="00BF77DF" w:rsidRDefault="00BF77DF" w:rsidP="00D9246A">
            <w:pPr>
              <w:rPr>
                <w:rFonts w:cs="Arial"/>
                <w:color w:val="000000" w:themeColor="text1"/>
                <w:szCs w:val="24"/>
              </w:rPr>
            </w:pPr>
          </w:p>
        </w:tc>
        <w:tc>
          <w:tcPr>
            <w:tcW w:w="1270" w:type="dxa"/>
          </w:tcPr>
          <w:p w14:paraId="6EEB6D74" w14:textId="77777777" w:rsidR="006223D9" w:rsidRDefault="006223D9" w:rsidP="00D9246A">
            <w:pPr>
              <w:jc w:val="right"/>
              <w:rPr>
                <w:rFonts w:cs="Arial"/>
                <w:color w:val="000000" w:themeColor="text1"/>
                <w:szCs w:val="24"/>
              </w:rPr>
            </w:pPr>
            <w:r>
              <w:rPr>
                <w:rFonts w:cs="Arial"/>
                <w:color w:val="000000" w:themeColor="text1"/>
                <w:szCs w:val="24"/>
              </w:rPr>
              <w:t>21</w:t>
            </w:r>
          </w:p>
        </w:tc>
        <w:tc>
          <w:tcPr>
            <w:tcW w:w="1279" w:type="dxa"/>
          </w:tcPr>
          <w:p w14:paraId="58D2FA25" w14:textId="77777777" w:rsidR="006223D9" w:rsidRDefault="006223D9" w:rsidP="00D9246A">
            <w:pPr>
              <w:jc w:val="right"/>
              <w:rPr>
                <w:rFonts w:cs="Arial"/>
                <w:color w:val="000000" w:themeColor="text1"/>
                <w:szCs w:val="24"/>
              </w:rPr>
            </w:pPr>
            <w:r>
              <w:rPr>
                <w:rFonts w:cs="Arial"/>
                <w:color w:val="000000" w:themeColor="text1"/>
                <w:szCs w:val="24"/>
              </w:rPr>
              <w:t>4</w:t>
            </w:r>
          </w:p>
        </w:tc>
        <w:tc>
          <w:tcPr>
            <w:tcW w:w="1417" w:type="dxa"/>
          </w:tcPr>
          <w:p w14:paraId="30D332C9" w14:textId="77777777" w:rsidR="006223D9" w:rsidRDefault="006223D9" w:rsidP="00D9246A">
            <w:pPr>
              <w:jc w:val="right"/>
              <w:rPr>
                <w:rFonts w:cs="Arial"/>
                <w:color w:val="000000" w:themeColor="text1"/>
                <w:szCs w:val="24"/>
              </w:rPr>
            </w:pPr>
            <w:r>
              <w:rPr>
                <w:rFonts w:cs="Arial"/>
                <w:color w:val="000000" w:themeColor="text1"/>
                <w:szCs w:val="24"/>
              </w:rPr>
              <w:t>17</w:t>
            </w:r>
          </w:p>
        </w:tc>
        <w:tc>
          <w:tcPr>
            <w:tcW w:w="3532" w:type="dxa"/>
          </w:tcPr>
          <w:p w14:paraId="31501E97" w14:textId="77777777" w:rsidR="006223D9" w:rsidRDefault="006223D9" w:rsidP="009858E3">
            <w:pPr>
              <w:pStyle w:val="ListParagraph"/>
              <w:numPr>
                <w:ilvl w:val="0"/>
                <w:numId w:val="24"/>
              </w:numPr>
              <w:rPr>
                <w:rFonts w:cs="Arial"/>
                <w:color w:val="000000" w:themeColor="text1"/>
                <w:szCs w:val="24"/>
              </w:rPr>
            </w:pPr>
            <w:r>
              <w:rPr>
                <w:rFonts w:cs="Arial"/>
                <w:color w:val="000000" w:themeColor="text1"/>
                <w:szCs w:val="24"/>
              </w:rPr>
              <w:t>No deprivation intersection directly with SEND</w:t>
            </w:r>
          </w:p>
        </w:tc>
      </w:tr>
      <w:tr w:rsidR="006C1F15" w14:paraId="1713BD0B" w14:textId="77777777" w:rsidTr="00BA111C">
        <w:tc>
          <w:tcPr>
            <w:tcW w:w="1846" w:type="dxa"/>
          </w:tcPr>
          <w:p w14:paraId="5D8512B6" w14:textId="77777777" w:rsidR="006223D9" w:rsidRDefault="006223D9" w:rsidP="00D9246A">
            <w:pPr>
              <w:rPr>
                <w:rFonts w:cs="Arial"/>
                <w:color w:val="000000" w:themeColor="text1"/>
                <w:szCs w:val="24"/>
              </w:rPr>
            </w:pPr>
            <w:r>
              <w:rPr>
                <w:rFonts w:cs="Arial"/>
                <w:color w:val="000000" w:themeColor="text1"/>
                <w:szCs w:val="24"/>
              </w:rPr>
              <w:t>Care experienced</w:t>
            </w:r>
          </w:p>
          <w:p w14:paraId="77F2C3D6" w14:textId="77777777" w:rsidR="00BF77DF" w:rsidRDefault="00BF77DF" w:rsidP="00D9246A">
            <w:pPr>
              <w:rPr>
                <w:rFonts w:cs="Arial"/>
                <w:color w:val="000000" w:themeColor="text1"/>
                <w:szCs w:val="24"/>
              </w:rPr>
            </w:pPr>
          </w:p>
        </w:tc>
        <w:tc>
          <w:tcPr>
            <w:tcW w:w="1270" w:type="dxa"/>
          </w:tcPr>
          <w:p w14:paraId="374FEE57" w14:textId="77777777" w:rsidR="006223D9" w:rsidRDefault="006223D9" w:rsidP="00D9246A">
            <w:pPr>
              <w:jc w:val="right"/>
              <w:rPr>
                <w:rFonts w:cs="Arial"/>
                <w:color w:val="000000" w:themeColor="text1"/>
                <w:szCs w:val="24"/>
              </w:rPr>
            </w:pPr>
            <w:r>
              <w:rPr>
                <w:rFonts w:cs="Arial"/>
                <w:color w:val="000000" w:themeColor="text1"/>
                <w:szCs w:val="24"/>
              </w:rPr>
              <w:t>12</w:t>
            </w:r>
          </w:p>
        </w:tc>
        <w:tc>
          <w:tcPr>
            <w:tcW w:w="1279" w:type="dxa"/>
          </w:tcPr>
          <w:p w14:paraId="1077545A" w14:textId="77777777" w:rsidR="006223D9" w:rsidRDefault="006223D9" w:rsidP="00D9246A">
            <w:pPr>
              <w:jc w:val="right"/>
              <w:rPr>
                <w:rFonts w:cs="Arial"/>
                <w:color w:val="000000" w:themeColor="text1"/>
                <w:szCs w:val="24"/>
              </w:rPr>
            </w:pPr>
            <w:r>
              <w:rPr>
                <w:rFonts w:cs="Arial"/>
                <w:color w:val="000000" w:themeColor="text1"/>
                <w:szCs w:val="24"/>
              </w:rPr>
              <w:t>7</w:t>
            </w:r>
          </w:p>
        </w:tc>
        <w:tc>
          <w:tcPr>
            <w:tcW w:w="1417" w:type="dxa"/>
          </w:tcPr>
          <w:p w14:paraId="4CEBC4E1" w14:textId="3573AD27" w:rsidR="006223D9" w:rsidRDefault="006223D9" w:rsidP="00D9246A">
            <w:pPr>
              <w:jc w:val="right"/>
              <w:rPr>
                <w:rFonts w:cs="Arial"/>
                <w:color w:val="000000" w:themeColor="text1"/>
                <w:szCs w:val="24"/>
              </w:rPr>
            </w:pPr>
            <w:r>
              <w:rPr>
                <w:rFonts w:cs="Arial"/>
                <w:color w:val="000000" w:themeColor="text1"/>
                <w:szCs w:val="24"/>
              </w:rPr>
              <w:t>5</w:t>
            </w:r>
          </w:p>
        </w:tc>
        <w:tc>
          <w:tcPr>
            <w:tcW w:w="3532" w:type="dxa"/>
          </w:tcPr>
          <w:p w14:paraId="0BECD0D2" w14:textId="19AA2676" w:rsidR="006223D9" w:rsidRDefault="006223D9" w:rsidP="009858E3">
            <w:pPr>
              <w:pStyle w:val="ListParagraph"/>
              <w:numPr>
                <w:ilvl w:val="0"/>
                <w:numId w:val="24"/>
              </w:numPr>
              <w:rPr>
                <w:rFonts w:cs="Arial"/>
                <w:color w:val="000000" w:themeColor="text1"/>
                <w:szCs w:val="24"/>
              </w:rPr>
            </w:pPr>
            <w:r>
              <w:rPr>
                <w:rFonts w:cs="Arial"/>
                <w:color w:val="000000" w:themeColor="text1"/>
                <w:szCs w:val="24"/>
              </w:rPr>
              <w:t>No social care experience intersection</w:t>
            </w:r>
            <w:r w:rsidR="00ED7CDA">
              <w:rPr>
                <w:rFonts w:cs="Arial"/>
                <w:color w:val="000000" w:themeColor="text1"/>
                <w:szCs w:val="24"/>
              </w:rPr>
              <w:t xml:space="preserve"> with SEND</w:t>
            </w:r>
          </w:p>
        </w:tc>
      </w:tr>
      <w:tr w:rsidR="006C1F15" w14:paraId="24CC3AEB" w14:textId="77777777" w:rsidTr="00BA111C">
        <w:tc>
          <w:tcPr>
            <w:tcW w:w="1846" w:type="dxa"/>
          </w:tcPr>
          <w:p w14:paraId="6B47FDAD" w14:textId="3096C972" w:rsidR="006223D9" w:rsidRDefault="006223D9" w:rsidP="00D9246A">
            <w:pPr>
              <w:rPr>
                <w:rFonts w:cs="Arial"/>
                <w:color w:val="000000" w:themeColor="text1"/>
                <w:szCs w:val="24"/>
              </w:rPr>
            </w:pPr>
            <w:r>
              <w:rPr>
                <w:rFonts w:cs="Arial"/>
                <w:color w:val="000000" w:themeColor="text1"/>
                <w:szCs w:val="24"/>
              </w:rPr>
              <w:t>Sexual orientation</w:t>
            </w:r>
            <w:r w:rsidR="00F07E4B">
              <w:rPr>
                <w:rFonts w:cs="Arial"/>
                <w:color w:val="000000" w:themeColor="text1"/>
                <w:szCs w:val="24"/>
              </w:rPr>
              <w:t>;</w:t>
            </w:r>
            <w:r>
              <w:rPr>
                <w:rFonts w:cs="Arial"/>
                <w:color w:val="000000" w:themeColor="text1"/>
                <w:szCs w:val="24"/>
              </w:rPr>
              <w:t xml:space="preserve"> </w:t>
            </w:r>
            <w:r w:rsidR="00F07E4B">
              <w:rPr>
                <w:rFonts w:cs="Arial"/>
                <w:color w:val="000000" w:themeColor="text1"/>
                <w:szCs w:val="24"/>
              </w:rPr>
              <w:t>G</w:t>
            </w:r>
            <w:r>
              <w:rPr>
                <w:rFonts w:cs="Arial"/>
                <w:color w:val="000000" w:themeColor="text1"/>
                <w:szCs w:val="24"/>
              </w:rPr>
              <w:t>ender identity</w:t>
            </w:r>
          </w:p>
        </w:tc>
        <w:tc>
          <w:tcPr>
            <w:tcW w:w="1270" w:type="dxa"/>
          </w:tcPr>
          <w:p w14:paraId="43DBB5E8" w14:textId="77777777" w:rsidR="006223D9" w:rsidRDefault="006223D9" w:rsidP="00D9246A">
            <w:pPr>
              <w:jc w:val="right"/>
              <w:rPr>
                <w:rFonts w:cs="Arial"/>
                <w:color w:val="000000" w:themeColor="text1"/>
                <w:szCs w:val="24"/>
              </w:rPr>
            </w:pPr>
            <w:r>
              <w:rPr>
                <w:rFonts w:cs="Arial"/>
                <w:color w:val="000000" w:themeColor="text1"/>
                <w:szCs w:val="24"/>
              </w:rPr>
              <w:t>6</w:t>
            </w:r>
          </w:p>
        </w:tc>
        <w:tc>
          <w:tcPr>
            <w:tcW w:w="1279" w:type="dxa"/>
          </w:tcPr>
          <w:p w14:paraId="5EDE5A06" w14:textId="77777777" w:rsidR="006223D9" w:rsidRDefault="006223D9" w:rsidP="00D9246A">
            <w:pPr>
              <w:jc w:val="right"/>
              <w:rPr>
                <w:rFonts w:cs="Arial"/>
                <w:color w:val="000000" w:themeColor="text1"/>
                <w:szCs w:val="24"/>
              </w:rPr>
            </w:pPr>
            <w:r>
              <w:rPr>
                <w:rFonts w:cs="Arial"/>
                <w:color w:val="000000" w:themeColor="text1"/>
                <w:szCs w:val="24"/>
              </w:rPr>
              <w:t>2</w:t>
            </w:r>
          </w:p>
        </w:tc>
        <w:tc>
          <w:tcPr>
            <w:tcW w:w="1417" w:type="dxa"/>
          </w:tcPr>
          <w:p w14:paraId="133082BB" w14:textId="77777777" w:rsidR="006223D9" w:rsidRDefault="006223D9" w:rsidP="00D9246A">
            <w:pPr>
              <w:jc w:val="right"/>
              <w:rPr>
                <w:rFonts w:cs="Arial"/>
                <w:color w:val="000000" w:themeColor="text1"/>
                <w:szCs w:val="24"/>
              </w:rPr>
            </w:pPr>
            <w:r>
              <w:rPr>
                <w:rFonts w:cs="Arial"/>
                <w:color w:val="000000" w:themeColor="text1"/>
                <w:szCs w:val="24"/>
              </w:rPr>
              <w:t>4</w:t>
            </w:r>
          </w:p>
        </w:tc>
        <w:tc>
          <w:tcPr>
            <w:tcW w:w="3532" w:type="dxa"/>
          </w:tcPr>
          <w:p w14:paraId="4713FEA6" w14:textId="108D928D" w:rsidR="006223D9" w:rsidRDefault="006223D9" w:rsidP="009858E3">
            <w:pPr>
              <w:pStyle w:val="ListParagraph"/>
              <w:numPr>
                <w:ilvl w:val="0"/>
                <w:numId w:val="19"/>
              </w:numPr>
              <w:rPr>
                <w:rFonts w:cs="Arial"/>
                <w:color w:val="000000" w:themeColor="text1"/>
                <w:szCs w:val="24"/>
              </w:rPr>
            </w:pPr>
            <w:r>
              <w:rPr>
                <w:rFonts w:cs="Arial"/>
                <w:color w:val="000000" w:themeColor="text1"/>
                <w:szCs w:val="24"/>
              </w:rPr>
              <w:t>No intersectional information</w:t>
            </w:r>
            <w:r w:rsidR="00ED7CDA">
              <w:rPr>
                <w:rFonts w:cs="Arial"/>
                <w:color w:val="000000" w:themeColor="text1"/>
                <w:szCs w:val="24"/>
              </w:rPr>
              <w:t xml:space="preserve"> with SEND</w:t>
            </w:r>
          </w:p>
          <w:p w14:paraId="651D016A" w14:textId="77777777" w:rsidR="006223D9" w:rsidRPr="00B20AAD" w:rsidRDefault="006223D9" w:rsidP="009858E3">
            <w:pPr>
              <w:pStyle w:val="ListParagraph"/>
              <w:numPr>
                <w:ilvl w:val="0"/>
                <w:numId w:val="19"/>
              </w:numPr>
              <w:rPr>
                <w:rFonts w:cs="Arial"/>
                <w:color w:val="000000" w:themeColor="text1"/>
                <w:szCs w:val="24"/>
              </w:rPr>
            </w:pPr>
            <w:r>
              <w:rPr>
                <w:rFonts w:cs="Arial"/>
                <w:color w:val="000000" w:themeColor="text1"/>
                <w:szCs w:val="24"/>
              </w:rPr>
              <w:t>Opinion piece</w:t>
            </w:r>
          </w:p>
        </w:tc>
      </w:tr>
    </w:tbl>
    <w:p w14:paraId="1CE36234" w14:textId="77777777" w:rsidR="00BB71B4" w:rsidRDefault="00BB71B4" w:rsidP="00D9246A">
      <w:pPr>
        <w:spacing w:line="240" w:lineRule="auto"/>
        <w:rPr>
          <w:rFonts w:cs="Arial"/>
          <w:b/>
          <w:color w:val="0079C2"/>
          <w:szCs w:val="24"/>
        </w:rPr>
      </w:pPr>
    </w:p>
    <w:p w14:paraId="0B2C84B5" w14:textId="36411DBA" w:rsidR="00B634BD" w:rsidRPr="00860516" w:rsidRDefault="00B634BD" w:rsidP="00D9246A">
      <w:pPr>
        <w:spacing w:line="240" w:lineRule="auto"/>
        <w:rPr>
          <w:rFonts w:cs="Arial"/>
          <w:b/>
          <w:color w:val="0079C2"/>
          <w:szCs w:val="24"/>
        </w:rPr>
      </w:pPr>
      <w:r w:rsidRPr="00860516">
        <w:rPr>
          <w:rFonts w:cs="Arial"/>
          <w:b/>
          <w:color w:val="0079C2"/>
          <w:szCs w:val="24"/>
        </w:rPr>
        <w:t>Overall summary of findings</w:t>
      </w:r>
    </w:p>
    <w:p w14:paraId="64726C8F" w14:textId="19965659" w:rsidR="00941398" w:rsidRPr="009E54A3" w:rsidRDefault="00941398" w:rsidP="00D9246A">
      <w:pPr>
        <w:spacing w:line="240" w:lineRule="auto"/>
        <w:rPr>
          <w:rFonts w:cs="Arial"/>
          <w:szCs w:val="24"/>
        </w:rPr>
      </w:pPr>
      <w:r w:rsidRPr="00595FE6">
        <w:rPr>
          <w:rFonts w:cs="Arial"/>
          <w:szCs w:val="24"/>
        </w:rPr>
        <w:lastRenderedPageBreak/>
        <w:t xml:space="preserve">Children most affected by inequalities in SEND provision </w:t>
      </w:r>
      <w:r w:rsidRPr="00166C72">
        <w:rPr>
          <w:rFonts w:cs="Arial"/>
          <w:szCs w:val="24"/>
        </w:rPr>
        <w:t>are often those who also belong to other groups that are treated unfairly</w:t>
      </w:r>
      <w:r>
        <w:rPr>
          <w:rFonts w:cs="Arial"/>
          <w:szCs w:val="24"/>
        </w:rPr>
        <w:t>.</w:t>
      </w:r>
      <w:r w:rsidRPr="00595FE6">
        <w:rPr>
          <w:rFonts w:cs="Arial"/>
          <w:szCs w:val="24"/>
        </w:rPr>
        <w:t xml:space="preserve"> </w:t>
      </w:r>
      <w:r>
        <w:rPr>
          <w:rFonts w:cs="Arial"/>
          <w:szCs w:val="24"/>
        </w:rPr>
        <w:t xml:space="preserve">The literature highlighted that this is true for </w:t>
      </w:r>
      <w:r w:rsidRPr="00595FE6">
        <w:rPr>
          <w:rFonts w:cs="Arial"/>
          <w:szCs w:val="24"/>
        </w:rPr>
        <w:t xml:space="preserve">children </w:t>
      </w:r>
      <w:r w:rsidRPr="003179FC">
        <w:t>from</w:t>
      </w:r>
      <w:r w:rsidRPr="00595FE6">
        <w:rPr>
          <w:rFonts w:cs="Arial"/>
          <w:szCs w:val="24"/>
        </w:rPr>
        <w:t xml:space="preserve"> </w:t>
      </w:r>
      <w:r w:rsidR="007E0225">
        <w:rPr>
          <w:rFonts w:cs="Arial"/>
          <w:szCs w:val="24"/>
        </w:rPr>
        <w:t>Black and racially minoritised</w:t>
      </w:r>
      <w:r w:rsidRPr="00595FE6">
        <w:rPr>
          <w:rFonts w:cs="Arial"/>
          <w:szCs w:val="24"/>
        </w:rPr>
        <w:t xml:space="preserve"> or migrant backgrounds</w:t>
      </w:r>
      <w:r>
        <w:rPr>
          <w:rFonts w:cs="Arial"/>
          <w:szCs w:val="24"/>
        </w:rPr>
        <w:t>,</w:t>
      </w:r>
      <w:r w:rsidRPr="00595FE6">
        <w:rPr>
          <w:rFonts w:cs="Arial"/>
          <w:szCs w:val="24"/>
        </w:rPr>
        <w:t xml:space="preserve"> those in</w:t>
      </w:r>
      <w:r>
        <w:rPr>
          <w:rFonts w:cs="Arial"/>
          <w:szCs w:val="24"/>
        </w:rPr>
        <w:t xml:space="preserve"> care </w:t>
      </w:r>
      <w:r w:rsidR="00EA14BA">
        <w:rPr>
          <w:rFonts w:cs="Arial"/>
          <w:szCs w:val="24"/>
        </w:rPr>
        <w:t xml:space="preserve">or </w:t>
      </w:r>
      <w:r>
        <w:rPr>
          <w:rFonts w:cs="Arial"/>
          <w:szCs w:val="24"/>
        </w:rPr>
        <w:t>care experienced</w:t>
      </w:r>
      <w:r w:rsidRPr="00595FE6">
        <w:rPr>
          <w:rFonts w:cs="Arial"/>
          <w:szCs w:val="24"/>
        </w:rPr>
        <w:t xml:space="preserve"> </w:t>
      </w:r>
      <w:r>
        <w:rPr>
          <w:rFonts w:cs="Arial"/>
          <w:szCs w:val="24"/>
        </w:rPr>
        <w:t>and those living in families experiencing financial hardship.</w:t>
      </w:r>
      <w:r w:rsidR="005A60F3">
        <w:rPr>
          <w:rFonts w:cs="Arial"/>
          <w:szCs w:val="24"/>
        </w:rPr>
        <w:t xml:space="preserve"> </w:t>
      </w:r>
      <w:r w:rsidR="0002603B">
        <w:rPr>
          <w:rFonts w:cs="Arial"/>
          <w:szCs w:val="24"/>
        </w:rPr>
        <w:t>It</w:t>
      </w:r>
      <w:r>
        <w:rPr>
          <w:rFonts w:cs="Arial"/>
          <w:szCs w:val="24"/>
        </w:rPr>
        <w:t xml:space="preserve"> also highlighted that </w:t>
      </w:r>
      <w:r w:rsidRPr="00595FE6">
        <w:rPr>
          <w:rFonts w:cs="Arial"/>
          <w:szCs w:val="24"/>
        </w:rPr>
        <w:t xml:space="preserve">boys </w:t>
      </w:r>
      <w:r w:rsidRPr="009E54A3">
        <w:rPr>
          <w:rFonts w:cs="Arial"/>
          <w:szCs w:val="24"/>
        </w:rPr>
        <w:t>are disproportionately represented in certain SEND categories</w:t>
      </w:r>
      <w:r w:rsidR="002352F6">
        <w:rPr>
          <w:rFonts w:cs="Arial"/>
          <w:szCs w:val="24"/>
        </w:rPr>
        <w:t xml:space="preserve"> - </w:t>
      </w:r>
      <w:r>
        <w:rPr>
          <w:rFonts w:cs="Arial"/>
          <w:szCs w:val="24"/>
        </w:rPr>
        <w:t>such as social, emotional and mental health</w:t>
      </w:r>
      <w:r w:rsidRPr="009E54A3">
        <w:rPr>
          <w:rFonts w:cs="Arial"/>
          <w:szCs w:val="24"/>
        </w:rPr>
        <w:t xml:space="preserve"> </w:t>
      </w:r>
      <w:r>
        <w:rPr>
          <w:rFonts w:cs="Arial"/>
          <w:szCs w:val="24"/>
        </w:rPr>
        <w:t>disorders</w:t>
      </w:r>
      <w:r w:rsidR="002352F6">
        <w:rPr>
          <w:rFonts w:cs="Arial"/>
          <w:szCs w:val="24"/>
        </w:rPr>
        <w:t xml:space="preserve"> - </w:t>
      </w:r>
      <w:r w:rsidRPr="009E54A3">
        <w:rPr>
          <w:rFonts w:cs="Arial"/>
          <w:szCs w:val="24"/>
        </w:rPr>
        <w:t>and may face gendered assumptions about behaviour and learning.</w:t>
      </w:r>
    </w:p>
    <w:p w14:paraId="14BBA2A9" w14:textId="5B697D8A" w:rsidR="00941398" w:rsidRPr="00595FE6" w:rsidRDefault="00630837" w:rsidP="00D9246A">
      <w:pPr>
        <w:spacing w:line="240" w:lineRule="auto"/>
        <w:rPr>
          <w:rFonts w:cs="Arial"/>
          <w:szCs w:val="24"/>
        </w:rPr>
      </w:pPr>
      <w:r>
        <w:rPr>
          <w:rFonts w:cs="Arial"/>
          <w:szCs w:val="24"/>
        </w:rPr>
        <w:t>C</w:t>
      </w:r>
      <w:r w:rsidR="00941398">
        <w:rPr>
          <w:rFonts w:cs="Arial"/>
          <w:szCs w:val="24"/>
        </w:rPr>
        <w:t xml:space="preserve">hildren </w:t>
      </w:r>
      <w:r>
        <w:rPr>
          <w:rFonts w:cs="Arial"/>
          <w:szCs w:val="24"/>
        </w:rPr>
        <w:t>experienc</w:t>
      </w:r>
      <w:r w:rsidR="002008F1">
        <w:rPr>
          <w:rFonts w:cs="Arial"/>
          <w:szCs w:val="24"/>
        </w:rPr>
        <w:t>ing</w:t>
      </w:r>
      <w:r>
        <w:rPr>
          <w:rFonts w:cs="Arial"/>
          <w:szCs w:val="24"/>
        </w:rPr>
        <w:t xml:space="preserve"> </w:t>
      </w:r>
      <w:r w:rsidR="001A427D">
        <w:rPr>
          <w:rFonts w:cs="Arial"/>
          <w:szCs w:val="24"/>
        </w:rPr>
        <w:t xml:space="preserve">compounding </w:t>
      </w:r>
      <w:r>
        <w:rPr>
          <w:rFonts w:cs="Arial"/>
          <w:szCs w:val="24"/>
        </w:rPr>
        <w:t>intersectional inequalities</w:t>
      </w:r>
      <w:r w:rsidR="00243AED">
        <w:rPr>
          <w:rFonts w:cs="Arial"/>
          <w:szCs w:val="24"/>
        </w:rPr>
        <w:t xml:space="preserve"> </w:t>
      </w:r>
      <w:r w:rsidR="00941398">
        <w:rPr>
          <w:rFonts w:cs="Arial"/>
          <w:szCs w:val="24"/>
        </w:rPr>
        <w:t xml:space="preserve">are </w:t>
      </w:r>
      <w:r w:rsidR="00941398" w:rsidRPr="00595FE6">
        <w:rPr>
          <w:rFonts w:cs="Arial"/>
          <w:szCs w:val="24"/>
        </w:rPr>
        <w:t xml:space="preserve">less likely to </w:t>
      </w:r>
      <w:r>
        <w:rPr>
          <w:rFonts w:cs="Arial"/>
          <w:szCs w:val="24"/>
        </w:rPr>
        <w:t>have their needs</w:t>
      </w:r>
      <w:r w:rsidR="00941398" w:rsidRPr="00595FE6">
        <w:rPr>
          <w:rFonts w:cs="Arial"/>
          <w:szCs w:val="24"/>
        </w:rPr>
        <w:t xml:space="preserve"> identified early, less likely to receive appropriate support, and </w:t>
      </w:r>
      <w:r w:rsidR="00941398">
        <w:rPr>
          <w:rFonts w:cs="Arial"/>
          <w:szCs w:val="24"/>
        </w:rPr>
        <w:t xml:space="preserve">therefore </w:t>
      </w:r>
      <w:r w:rsidR="0001129F">
        <w:rPr>
          <w:rFonts w:cs="Arial"/>
          <w:szCs w:val="24"/>
        </w:rPr>
        <w:t xml:space="preserve">may be </w:t>
      </w:r>
      <w:r w:rsidR="00941398" w:rsidRPr="00595FE6">
        <w:rPr>
          <w:rFonts w:cs="Arial"/>
          <w:szCs w:val="24"/>
        </w:rPr>
        <w:t xml:space="preserve">more likely </w:t>
      </w:r>
      <w:r w:rsidR="00941398" w:rsidRPr="003179FC">
        <w:t>to</w:t>
      </w:r>
      <w:r w:rsidR="00941398" w:rsidRPr="00595FE6">
        <w:rPr>
          <w:rFonts w:cs="Arial"/>
          <w:szCs w:val="24"/>
        </w:rPr>
        <w:t xml:space="preserve"> experience exclusion, </w:t>
      </w:r>
      <w:r w:rsidR="00941398">
        <w:rPr>
          <w:rFonts w:cs="Arial"/>
          <w:szCs w:val="24"/>
        </w:rPr>
        <w:t>not do as well as expected</w:t>
      </w:r>
      <w:r w:rsidR="00941398" w:rsidRPr="00595FE6">
        <w:rPr>
          <w:rFonts w:cs="Arial"/>
          <w:szCs w:val="24"/>
        </w:rPr>
        <w:t>, and</w:t>
      </w:r>
      <w:r w:rsidR="00EC1570">
        <w:rPr>
          <w:rFonts w:cs="Arial"/>
          <w:szCs w:val="24"/>
        </w:rPr>
        <w:t xml:space="preserve"> experience </w:t>
      </w:r>
      <w:r w:rsidR="00941398" w:rsidRPr="00595FE6">
        <w:rPr>
          <w:rFonts w:cs="Arial"/>
          <w:szCs w:val="24"/>
        </w:rPr>
        <w:t>long-term</w:t>
      </w:r>
      <w:r w:rsidR="00584E9D">
        <w:rPr>
          <w:rFonts w:cs="Arial"/>
          <w:szCs w:val="24"/>
        </w:rPr>
        <w:t xml:space="preserve"> compounding</w:t>
      </w:r>
      <w:r w:rsidR="00941398" w:rsidRPr="00595FE6">
        <w:rPr>
          <w:rFonts w:cs="Arial"/>
          <w:szCs w:val="24"/>
        </w:rPr>
        <w:t xml:space="preserve"> disadvantage.</w:t>
      </w:r>
    </w:p>
    <w:p w14:paraId="7D5BF8C5" w14:textId="2F0221D5" w:rsidR="00941398" w:rsidRPr="00595FE6" w:rsidRDefault="00941398" w:rsidP="00D9246A">
      <w:pPr>
        <w:spacing w:line="240" w:lineRule="auto"/>
        <w:rPr>
          <w:rFonts w:cs="Arial"/>
          <w:szCs w:val="24"/>
        </w:rPr>
      </w:pPr>
      <w:r>
        <w:rPr>
          <w:rFonts w:cs="Arial"/>
          <w:szCs w:val="24"/>
        </w:rPr>
        <w:t>Challenges identified in the literature include</w:t>
      </w:r>
      <w:r w:rsidRPr="00595FE6">
        <w:rPr>
          <w:rFonts w:cs="Arial"/>
          <w:szCs w:val="24"/>
        </w:rPr>
        <w:t xml:space="preserve"> lack of multilingual assessments, mislabelling</w:t>
      </w:r>
      <w:r w:rsidR="006203F4">
        <w:rPr>
          <w:rFonts w:cs="Arial"/>
          <w:szCs w:val="24"/>
        </w:rPr>
        <w:t xml:space="preserve"> </w:t>
      </w:r>
      <w:r w:rsidRPr="00595FE6">
        <w:rPr>
          <w:rFonts w:cs="Arial"/>
          <w:szCs w:val="24"/>
        </w:rPr>
        <w:t>/</w:t>
      </w:r>
      <w:r w:rsidR="006203F4">
        <w:rPr>
          <w:rFonts w:cs="Arial"/>
          <w:szCs w:val="24"/>
        </w:rPr>
        <w:t xml:space="preserve"> </w:t>
      </w:r>
      <w:r w:rsidRPr="00595FE6">
        <w:rPr>
          <w:rFonts w:cs="Arial"/>
          <w:szCs w:val="24"/>
        </w:rPr>
        <w:t>misdiagnosing due to language barriers</w:t>
      </w:r>
      <w:r>
        <w:rPr>
          <w:rFonts w:cs="Arial"/>
          <w:szCs w:val="24"/>
        </w:rPr>
        <w:t>;</w:t>
      </w:r>
      <w:r w:rsidRPr="00595FE6">
        <w:rPr>
          <w:rFonts w:cs="Arial"/>
          <w:szCs w:val="24"/>
        </w:rPr>
        <w:t xml:space="preserve"> </w:t>
      </w:r>
      <w:r>
        <w:rPr>
          <w:rFonts w:cs="Arial"/>
          <w:szCs w:val="24"/>
        </w:rPr>
        <w:t>professionals having low</w:t>
      </w:r>
      <w:r w:rsidRPr="00595FE6">
        <w:rPr>
          <w:rFonts w:cs="Arial"/>
          <w:szCs w:val="24"/>
        </w:rPr>
        <w:t xml:space="preserve"> expectations</w:t>
      </w:r>
      <w:r>
        <w:rPr>
          <w:rFonts w:cs="Arial"/>
          <w:szCs w:val="24"/>
        </w:rPr>
        <w:t>;</w:t>
      </w:r>
      <w:r w:rsidRPr="00595FE6">
        <w:rPr>
          <w:rFonts w:cs="Arial"/>
          <w:szCs w:val="24"/>
        </w:rPr>
        <w:t xml:space="preserve"> and school accountability pressures</w:t>
      </w:r>
      <w:r>
        <w:rPr>
          <w:rFonts w:cs="Arial"/>
          <w:szCs w:val="24"/>
        </w:rPr>
        <w:t xml:space="preserve"> such as meeting OFSTED standards</w:t>
      </w:r>
      <w:r w:rsidR="006F1A48">
        <w:rPr>
          <w:rFonts w:cs="Arial"/>
          <w:szCs w:val="24"/>
        </w:rPr>
        <w:t xml:space="preserve"> leading to </w:t>
      </w:r>
      <w:r w:rsidR="00405C06">
        <w:rPr>
          <w:rFonts w:cs="Arial"/>
          <w:szCs w:val="24"/>
        </w:rPr>
        <w:t>off-rolling</w:t>
      </w:r>
      <w:r w:rsidR="005470B2">
        <w:rPr>
          <w:rFonts w:cs="Arial"/>
          <w:szCs w:val="24"/>
        </w:rPr>
        <w:t xml:space="preserve"> </w:t>
      </w:r>
      <w:r w:rsidR="003E7325">
        <w:rPr>
          <w:rFonts w:cs="Arial"/>
          <w:szCs w:val="24"/>
        </w:rPr>
        <w:t xml:space="preserve">practices </w:t>
      </w:r>
      <w:r w:rsidR="005470B2">
        <w:rPr>
          <w:rFonts w:cs="Arial"/>
          <w:szCs w:val="24"/>
        </w:rPr>
        <w:t>of pupils</w:t>
      </w:r>
      <w:r>
        <w:rPr>
          <w:rFonts w:cs="Arial"/>
          <w:szCs w:val="24"/>
        </w:rPr>
        <w:t>.</w:t>
      </w:r>
      <w:r w:rsidR="00976FD9">
        <w:rPr>
          <w:rFonts w:cs="Arial"/>
          <w:szCs w:val="24"/>
        </w:rPr>
        <w:t xml:space="preserve"> </w:t>
      </w:r>
      <w:r w:rsidR="00976FD9" w:rsidRPr="00B91451">
        <w:t>Off-rolling is the practice of removing a pupil from the school roll without a formal, permanent exclusion or by encouraging a parent to remove their child from the school roll, when the removal is primarily in the interests of the school rather than in the best interests of the pupil.</w:t>
      </w:r>
      <w:r w:rsidR="00AB061D">
        <w:rPr>
          <w:rStyle w:val="EndnoteReference"/>
        </w:rPr>
        <w:endnoteReference w:id="72"/>
      </w:r>
    </w:p>
    <w:p w14:paraId="4C63936E" w14:textId="657E95BD" w:rsidR="00941398" w:rsidRPr="00595FE6" w:rsidRDefault="00941398" w:rsidP="00D9246A">
      <w:pPr>
        <w:pStyle w:val="Heading2"/>
        <w:spacing w:before="0" w:after="120"/>
      </w:pPr>
      <w:r w:rsidRPr="00595FE6">
        <w:t xml:space="preserve">SEND and ethnicity </w:t>
      </w:r>
    </w:p>
    <w:p w14:paraId="4DD4FE8F" w14:textId="5DD156A7" w:rsidR="000D15D8" w:rsidRDefault="00B61508" w:rsidP="00D9246A">
      <w:pPr>
        <w:spacing w:line="240" w:lineRule="auto"/>
      </w:pPr>
      <w:r>
        <w:t>A total of 26 papers w</w:t>
      </w:r>
      <w:r w:rsidR="000D15D8" w:rsidRPr="003D6DD3">
        <w:t xml:space="preserve">ere included and synthesised by study type: 10 qualitative, 3 reviews, 2 </w:t>
      </w:r>
      <w:r w:rsidR="000D15D8" w:rsidRPr="00A3080F">
        <w:rPr>
          <w:rFonts w:cs="Arial"/>
          <w:szCs w:val="24"/>
        </w:rPr>
        <w:t>mixed</w:t>
      </w:r>
      <w:r w:rsidR="000D15D8" w:rsidRPr="003D6DD3">
        <w:t>-methods, and 11 quantitative studies</w:t>
      </w:r>
      <w:r w:rsidR="008A7623">
        <w:t>.</w:t>
      </w:r>
      <w:r w:rsidR="001E401E">
        <w:t xml:space="preserve"> </w:t>
      </w:r>
      <w:r w:rsidR="001E401E">
        <w:rPr>
          <w:rFonts w:cs="Arial"/>
        </w:rPr>
        <w:t>Voices from children and young people, parent/carers, and teachers/</w:t>
      </w:r>
      <w:r w:rsidR="00F84B94">
        <w:rPr>
          <w:rFonts w:cs="Arial"/>
        </w:rPr>
        <w:t xml:space="preserve"> </w:t>
      </w:r>
      <w:r w:rsidR="001E401E">
        <w:rPr>
          <w:rFonts w:cs="Arial"/>
        </w:rPr>
        <w:t>professionals were captured in the qualitative studies. Almost all were set in educational settings</w:t>
      </w:r>
      <w:r w:rsidR="008A7623">
        <w:rPr>
          <w:rFonts w:cs="Arial"/>
        </w:rPr>
        <w:t>.</w:t>
      </w:r>
    </w:p>
    <w:p w14:paraId="0AAD27FB" w14:textId="1735F626" w:rsidR="003C0E05" w:rsidRPr="002C2C6E" w:rsidRDefault="00C92C0D" w:rsidP="00805803">
      <w:pPr>
        <w:pStyle w:val="Heading3"/>
      </w:pPr>
      <w:r w:rsidRPr="002C2C6E">
        <w:t>O</w:t>
      </w:r>
      <w:r w:rsidR="003C0E05" w:rsidRPr="002C2C6E">
        <w:t>verarching themes</w:t>
      </w:r>
    </w:p>
    <w:p w14:paraId="1628C22A" w14:textId="55555FA6" w:rsidR="005404C9" w:rsidRDefault="005404C9" w:rsidP="00D9246A">
      <w:pPr>
        <w:spacing w:line="240" w:lineRule="auto"/>
        <w:rPr>
          <w:rFonts w:cs="Arial"/>
        </w:rPr>
      </w:pPr>
      <w:r w:rsidRPr="005404C9">
        <w:rPr>
          <w:rFonts w:cs="Arial"/>
        </w:rPr>
        <w:t>The literature highlights several recurring themes that represent challenges faced by Black and racially minoritised SEND children and young people, as well as their parent</w:t>
      </w:r>
      <w:r w:rsidR="001E401E">
        <w:rPr>
          <w:rFonts w:cs="Arial"/>
        </w:rPr>
        <w:t>/</w:t>
      </w:r>
      <w:r w:rsidRPr="005404C9">
        <w:rPr>
          <w:rFonts w:cs="Arial"/>
        </w:rPr>
        <w:t xml:space="preserve"> carers</w:t>
      </w:r>
      <w:r w:rsidR="00891B45">
        <w:rPr>
          <w:rFonts w:cs="Arial"/>
        </w:rPr>
        <w:t>,</w:t>
      </w:r>
      <w:r w:rsidR="005664AB">
        <w:rPr>
          <w:rFonts w:cs="Arial"/>
        </w:rPr>
        <w:t xml:space="preserve"> </w:t>
      </w:r>
      <w:r w:rsidRPr="005404C9">
        <w:rPr>
          <w:rFonts w:cs="Arial"/>
        </w:rPr>
        <w:t>challenges that compound inequalities in assessment, diagnosis, access to support</w:t>
      </w:r>
      <w:r w:rsidR="00F21C0F">
        <w:rPr>
          <w:rFonts w:cs="Arial"/>
        </w:rPr>
        <w:t xml:space="preserve">, education </w:t>
      </w:r>
      <w:r w:rsidR="003B04A0">
        <w:rPr>
          <w:rFonts w:cs="Arial"/>
        </w:rPr>
        <w:t xml:space="preserve">outcomes and </w:t>
      </w:r>
      <w:r w:rsidR="003B04A0" w:rsidRPr="003873F6">
        <w:rPr>
          <w:rFonts w:cs="Arial"/>
          <w:szCs w:val="24"/>
        </w:rPr>
        <w:t>transitions</w:t>
      </w:r>
      <w:r w:rsidR="001E401E">
        <w:rPr>
          <w:rFonts w:cs="Arial"/>
        </w:rPr>
        <w:t>:</w:t>
      </w:r>
    </w:p>
    <w:p w14:paraId="2FE385B3" w14:textId="0BCEC358" w:rsidR="003C0E05" w:rsidRPr="003C0E05" w:rsidRDefault="003C0E05" w:rsidP="009858E3">
      <w:pPr>
        <w:pStyle w:val="ListParagraph"/>
        <w:numPr>
          <w:ilvl w:val="0"/>
          <w:numId w:val="35"/>
        </w:numPr>
        <w:spacing w:line="240" w:lineRule="auto"/>
        <w:rPr>
          <w:rFonts w:cs="Arial"/>
        </w:rPr>
      </w:pPr>
      <w:r w:rsidRPr="003C0E05">
        <w:rPr>
          <w:rFonts w:cs="Arial"/>
        </w:rPr>
        <w:t>Disparities in diagnosis and support</w:t>
      </w:r>
    </w:p>
    <w:p w14:paraId="468D02BD" w14:textId="77777777" w:rsidR="003C0E05" w:rsidRPr="003C0E05" w:rsidRDefault="003C0E05" w:rsidP="009858E3">
      <w:pPr>
        <w:pStyle w:val="ListParagraph"/>
        <w:numPr>
          <w:ilvl w:val="0"/>
          <w:numId w:val="35"/>
        </w:numPr>
        <w:spacing w:line="240" w:lineRule="auto"/>
        <w:rPr>
          <w:rFonts w:cs="Arial"/>
        </w:rPr>
      </w:pPr>
      <w:r w:rsidRPr="003C0E05">
        <w:rPr>
          <w:rFonts w:cs="Arial"/>
        </w:rPr>
        <w:t xml:space="preserve">Power </w:t>
      </w:r>
      <w:r w:rsidRPr="00562B5B">
        <w:rPr>
          <w:rFonts w:cs="Arial"/>
          <w:szCs w:val="24"/>
        </w:rPr>
        <w:t>imbalances</w:t>
      </w:r>
      <w:r w:rsidRPr="003C0E05">
        <w:rPr>
          <w:rFonts w:cs="Arial"/>
        </w:rPr>
        <w:t xml:space="preserve"> and systemic bias </w:t>
      </w:r>
    </w:p>
    <w:p w14:paraId="2AAED6EA" w14:textId="77777777" w:rsidR="003C0E05" w:rsidRPr="003C0E05" w:rsidRDefault="003C0E05" w:rsidP="009858E3">
      <w:pPr>
        <w:pStyle w:val="ListParagraph"/>
        <w:numPr>
          <w:ilvl w:val="0"/>
          <w:numId w:val="35"/>
        </w:numPr>
        <w:spacing w:line="240" w:lineRule="auto"/>
        <w:rPr>
          <w:rFonts w:cs="Arial"/>
        </w:rPr>
      </w:pPr>
      <w:r w:rsidRPr="003C0E05">
        <w:rPr>
          <w:rFonts w:cs="Arial"/>
        </w:rPr>
        <w:t xml:space="preserve">Cultural </w:t>
      </w:r>
      <w:r w:rsidRPr="00562B5B">
        <w:rPr>
          <w:rFonts w:cs="Arial"/>
          <w:szCs w:val="24"/>
        </w:rPr>
        <w:t>attitudes</w:t>
      </w:r>
      <w:r w:rsidRPr="003C0E05">
        <w:rPr>
          <w:rFonts w:cs="Arial"/>
        </w:rPr>
        <w:t xml:space="preserve"> towards SEND </w:t>
      </w:r>
    </w:p>
    <w:p w14:paraId="1077A913" w14:textId="77777777" w:rsidR="003C0E05" w:rsidRPr="003C0E05" w:rsidRDefault="003C0E05" w:rsidP="009858E3">
      <w:pPr>
        <w:pStyle w:val="ListParagraph"/>
        <w:numPr>
          <w:ilvl w:val="0"/>
          <w:numId w:val="35"/>
        </w:numPr>
        <w:spacing w:line="240" w:lineRule="auto"/>
        <w:rPr>
          <w:rFonts w:cs="Arial"/>
        </w:rPr>
      </w:pPr>
      <w:r w:rsidRPr="003C0E05">
        <w:rPr>
          <w:rFonts w:cs="Arial"/>
        </w:rPr>
        <w:t xml:space="preserve">Barriers to </w:t>
      </w:r>
      <w:r w:rsidRPr="00562B5B">
        <w:rPr>
          <w:rFonts w:cs="Arial"/>
          <w:szCs w:val="24"/>
        </w:rPr>
        <w:t>access</w:t>
      </w:r>
      <w:r w:rsidRPr="003C0E05">
        <w:rPr>
          <w:rFonts w:cs="Arial"/>
        </w:rPr>
        <w:t xml:space="preserve"> and inclusion</w:t>
      </w:r>
    </w:p>
    <w:p w14:paraId="599DFE1D" w14:textId="71D96E52" w:rsidR="003C0E05" w:rsidRDefault="003C0E05" w:rsidP="009858E3">
      <w:pPr>
        <w:pStyle w:val="ListParagraph"/>
        <w:numPr>
          <w:ilvl w:val="0"/>
          <w:numId w:val="35"/>
        </w:numPr>
        <w:spacing w:line="240" w:lineRule="auto"/>
        <w:rPr>
          <w:rFonts w:cs="Arial"/>
        </w:rPr>
      </w:pPr>
      <w:r w:rsidRPr="003C0E05">
        <w:rPr>
          <w:rFonts w:cs="Arial"/>
        </w:rPr>
        <w:t xml:space="preserve">Over- and </w:t>
      </w:r>
      <w:r w:rsidRPr="00562B5B">
        <w:rPr>
          <w:rFonts w:cs="Arial"/>
          <w:szCs w:val="24"/>
        </w:rPr>
        <w:t>under</w:t>
      </w:r>
      <w:r w:rsidRPr="003C0E05">
        <w:rPr>
          <w:rFonts w:cs="Arial"/>
        </w:rPr>
        <w:t>-representation in SEND categories</w:t>
      </w:r>
      <w:r w:rsidR="00562B5B">
        <w:rPr>
          <w:rFonts w:cs="Arial"/>
        </w:rPr>
        <w:t>.</w:t>
      </w:r>
    </w:p>
    <w:p w14:paraId="55E36EE3" w14:textId="77777777" w:rsidR="005522E9" w:rsidRPr="005C48E3" w:rsidRDefault="005522E9" w:rsidP="00315F43">
      <w:pPr>
        <w:pStyle w:val="Heading3"/>
      </w:pPr>
      <w:r w:rsidRPr="005C48E3">
        <w:t>Quantitative papers</w:t>
      </w:r>
    </w:p>
    <w:p w14:paraId="32A10714" w14:textId="7310CD46" w:rsidR="00827A5C" w:rsidRDefault="005522E9" w:rsidP="00D9246A">
      <w:pPr>
        <w:spacing w:line="240" w:lineRule="auto"/>
        <w:rPr>
          <w:rFonts w:cs="Arial"/>
          <w:szCs w:val="24"/>
        </w:rPr>
      </w:pPr>
      <w:r w:rsidRPr="00404F37">
        <w:rPr>
          <w:rFonts w:cs="Arial"/>
          <w:b/>
          <w:color w:val="0079C2"/>
          <w:szCs w:val="24"/>
        </w:rPr>
        <w:t xml:space="preserve">Black Caribbean, Pakistani, and Roma children were more likely to be overrepresented in </w:t>
      </w:r>
      <w:r w:rsidR="00F84B94">
        <w:rPr>
          <w:rFonts w:cs="Arial"/>
          <w:b/>
          <w:bCs/>
          <w:color w:val="0079C2"/>
          <w:szCs w:val="24"/>
        </w:rPr>
        <w:t>some</w:t>
      </w:r>
      <w:r>
        <w:rPr>
          <w:rFonts w:cs="Arial"/>
          <w:b/>
          <w:color w:val="0079C2"/>
          <w:szCs w:val="24"/>
        </w:rPr>
        <w:t xml:space="preserve"> </w:t>
      </w:r>
      <w:r w:rsidRPr="00404F37">
        <w:rPr>
          <w:rFonts w:cs="Arial"/>
          <w:b/>
          <w:color w:val="0079C2"/>
          <w:szCs w:val="24"/>
        </w:rPr>
        <w:t>SEND categories such as social, emotional, and mental health (SEMH), often due to cultural misinterpretations and systemic biases.</w:t>
      </w:r>
      <w:r w:rsidRPr="00404F37">
        <w:rPr>
          <w:rFonts w:cs="Arial"/>
          <w:color w:val="0079C2"/>
          <w:szCs w:val="24"/>
        </w:rPr>
        <w:t xml:space="preserve"> </w:t>
      </w:r>
      <w:r w:rsidRPr="005C48E3">
        <w:rPr>
          <w:rFonts w:cs="Arial"/>
          <w:szCs w:val="24"/>
        </w:rPr>
        <w:t>Black Caribbean and Black Caribbean/Mixed White and Black Caribbean pupils were more likely than their White British peers to be identified with SEMH needs even after controlling for other factors such as socioeconomic status.</w:t>
      </w:r>
      <w:r w:rsidRPr="005C48E3">
        <w:rPr>
          <w:rStyle w:val="EndnoteReference"/>
          <w:rFonts w:cs="Arial"/>
          <w:szCs w:val="24"/>
        </w:rPr>
        <w:endnoteReference w:id="73"/>
      </w:r>
      <w:r w:rsidRPr="005C48E3">
        <w:rPr>
          <w:rFonts w:cs="Arial"/>
          <w:szCs w:val="24"/>
        </w:rPr>
        <w:t xml:space="preserve"> Roma/Irish Traveller children were least likely to receive formal autism diagnoses or Education Health and Care Plans (</w:t>
      </w:r>
      <w:r w:rsidR="001572D3">
        <w:rPr>
          <w:rFonts w:cs="Arial"/>
          <w:szCs w:val="24"/>
        </w:rPr>
        <w:t>EHC Plan</w:t>
      </w:r>
      <w:r w:rsidRPr="005C48E3">
        <w:rPr>
          <w:rFonts w:cs="Arial"/>
          <w:szCs w:val="24"/>
        </w:rPr>
        <w:t>s) despite high need.</w:t>
      </w:r>
      <w:r w:rsidRPr="005C48E3">
        <w:rPr>
          <w:rStyle w:val="EndnoteReference"/>
          <w:rFonts w:cs="Arial"/>
          <w:szCs w:val="24"/>
        </w:rPr>
        <w:endnoteReference w:id="74"/>
      </w:r>
      <w:r w:rsidRPr="005C48E3">
        <w:rPr>
          <w:rFonts w:cs="Arial"/>
          <w:szCs w:val="24"/>
        </w:rPr>
        <w:t xml:space="preserve"> </w:t>
      </w:r>
    </w:p>
    <w:p w14:paraId="51D7A818" w14:textId="5AFE6949" w:rsidR="005522E9" w:rsidRPr="005C48E3" w:rsidRDefault="005522E9" w:rsidP="00D9246A">
      <w:pPr>
        <w:spacing w:line="240" w:lineRule="auto"/>
        <w:rPr>
          <w:rFonts w:cs="Arial"/>
          <w:szCs w:val="24"/>
        </w:rPr>
      </w:pPr>
      <w:r w:rsidRPr="005C48E3">
        <w:rPr>
          <w:rFonts w:cs="Arial"/>
          <w:szCs w:val="24"/>
        </w:rPr>
        <w:t xml:space="preserve">Being identified with extra needs may be useful in </w:t>
      </w:r>
      <w:r w:rsidR="00F114FD">
        <w:rPr>
          <w:rFonts w:cs="Arial"/>
          <w:szCs w:val="24"/>
        </w:rPr>
        <w:t>terms of</w:t>
      </w:r>
      <w:r w:rsidRPr="005C48E3">
        <w:rPr>
          <w:rFonts w:cs="Arial"/>
          <w:szCs w:val="24"/>
        </w:rPr>
        <w:t xml:space="preserve"> additional support, however, there are negatives to some labels such as </w:t>
      </w:r>
      <w:r w:rsidR="00033590" w:rsidRPr="00033590">
        <w:rPr>
          <w:rFonts w:cs="Arial"/>
          <w:szCs w:val="24"/>
        </w:rPr>
        <w:t>Moderate Learning Difficulties</w:t>
      </w:r>
      <w:r w:rsidRPr="005C48E3">
        <w:rPr>
          <w:rFonts w:cs="Arial"/>
          <w:szCs w:val="24"/>
        </w:rPr>
        <w:t xml:space="preserve"> or SEMH</w:t>
      </w:r>
      <w:r w:rsidR="004479F0">
        <w:rPr>
          <w:rFonts w:cs="Arial"/>
          <w:szCs w:val="24"/>
        </w:rPr>
        <w:t>, which</w:t>
      </w:r>
      <w:r w:rsidRPr="005C48E3">
        <w:rPr>
          <w:rFonts w:cs="Arial"/>
          <w:szCs w:val="24"/>
        </w:rPr>
        <w:t xml:space="preserve"> may result </w:t>
      </w:r>
      <w:r w:rsidR="004B3C40">
        <w:rPr>
          <w:rFonts w:cs="Arial"/>
          <w:szCs w:val="24"/>
        </w:rPr>
        <w:t>in</w:t>
      </w:r>
      <w:r w:rsidRPr="005C48E3">
        <w:rPr>
          <w:rFonts w:cs="Arial"/>
          <w:szCs w:val="24"/>
        </w:rPr>
        <w:t xml:space="preserve"> reduced opportunities because of lowered expectations or continue harmful stereotypes.</w:t>
      </w:r>
      <w:r w:rsidRPr="005C48E3">
        <w:rPr>
          <w:rStyle w:val="EndnoteReference"/>
          <w:rFonts w:cs="Arial"/>
          <w:szCs w:val="24"/>
        </w:rPr>
        <w:endnoteReference w:id="75"/>
      </w:r>
      <w:r w:rsidRPr="005C48E3">
        <w:rPr>
          <w:rFonts w:cs="Arial"/>
          <w:szCs w:val="24"/>
        </w:rPr>
        <w:t xml:space="preserve"> </w:t>
      </w:r>
    </w:p>
    <w:p w14:paraId="46111784" w14:textId="47167F25" w:rsidR="003C0E05" w:rsidRPr="00E472EB" w:rsidRDefault="00316F0F" w:rsidP="009E62FA">
      <w:pPr>
        <w:pStyle w:val="Heading3"/>
      </w:pPr>
      <w:r w:rsidRPr="00E472EB">
        <w:lastRenderedPageBreak/>
        <w:t>Qualitative papers</w:t>
      </w:r>
    </w:p>
    <w:p w14:paraId="6CA83908" w14:textId="658EB2A5" w:rsidR="000A5F48" w:rsidRPr="005C48E3" w:rsidRDefault="000A5F48" w:rsidP="00D9246A">
      <w:pPr>
        <w:spacing w:line="240" w:lineRule="auto"/>
        <w:rPr>
          <w:rFonts w:cs="Arial"/>
          <w:szCs w:val="24"/>
        </w:rPr>
      </w:pPr>
      <w:r w:rsidRPr="005C48E3">
        <w:rPr>
          <w:rFonts w:cs="Arial"/>
          <w:szCs w:val="24"/>
        </w:rPr>
        <w:t xml:space="preserve">Figure </w:t>
      </w:r>
      <w:r w:rsidR="00876CB1">
        <w:rPr>
          <w:rFonts w:cs="Arial"/>
          <w:szCs w:val="24"/>
        </w:rPr>
        <w:t>37</w:t>
      </w:r>
      <w:r w:rsidRPr="005C48E3">
        <w:rPr>
          <w:rFonts w:cs="Arial"/>
          <w:szCs w:val="24"/>
        </w:rPr>
        <w:t xml:space="preserve"> summarises the themes identified across the qualitative papers</w:t>
      </w:r>
      <w:r w:rsidR="005D0263">
        <w:rPr>
          <w:rFonts w:cs="Arial"/>
          <w:szCs w:val="24"/>
        </w:rPr>
        <w:t xml:space="preserve"> followed by </w:t>
      </w:r>
      <w:r w:rsidRPr="005C48E3">
        <w:rPr>
          <w:rFonts w:cs="Arial"/>
          <w:szCs w:val="24"/>
        </w:rPr>
        <w:t xml:space="preserve">an overview, </w:t>
      </w:r>
      <w:r w:rsidR="005D0263">
        <w:rPr>
          <w:rFonts w:cs="Arial"/>
          <w:szCs w:val="24"/>
        </w:rPr>
        <w:t>with</w:t>
      </w:r>
      <w:r w:rsidRPr="005C48E3">
        <w:rPr>
          <w:rFonts w:cs="Arial"/>
          <w:szCs w:val="24"/>
        </w:rPr>
        <w:t xml:space="preserve"> illustrative quotes from the reviewed papers.</w:t>
      </w:r>
    </w:p>
    <w:p w14:paraId="2235C4ED" w14:textId="7BF84454" w:rsidR="00CA2D43" w:rsidRPr="0092412A" w:rsidRDefault="00CA2D43" w:rsidP="00CA2D43">
      <w:pPr>
        <w:pStyle w:val="Caption"/>
        <w:rPr>
          <w:color w:val="A65588"/>
        </w:rPr>
      </w:pPr>
      <w:r w:rsidRPr="0092412A">
        <w:rPr>
          <w:color w:val="A65588"/>
        </w:rPr>
        <w:t xml:space="preserve">Figure </w:t>
      </w:r>
      <w:r w:rsidRPr="003F7586">
        <w:rPr>
          <w:color w:val="A65588"/>
        </w:rPr>
        <w:fldChar w:fldCharType="begin"/>
      </w:r>
      <w:r w:rsidRPr="005032FB">
        <w:rPr>
          <w:color w:val="A65588"/>
        </w:rPr>
        <w:instrText xml:space="preserve"> SEQ Figure \* ARABIC </w:instrText>
      </w:r>
      <w:r w:rsidRPr="003F7586">
        <w:rPr>
          <w:color w:val="A65588"/>
        </w:rPr>
        <w:fldChar w:fldCharType="separate"/>
      </w:r>
      <w:r w:rsidRPr="0092412A">
        <w:rPr>
          <w:noProof/>
          <w:color w:val="A65588"/>
        </w:rPr>
        <w:t>37</w:t>
      </w:r>
      <w:r w:rsidRPr="003F7586">
        <w:rPr>
          <w:color w:val="A65588"/>
        </w:rPr>
        <w:fldChar w:fldCharType="end"/>
      </w:r>
      <w:r w:rsidRPr="0092412A">
        <w:rPr>
          <w:color w:val="A65588"/>
        </w:rPr>
        <w:t>: Summary of themes across qualitative papers reviewed</w:t>
      </w:r>
    </w:p>
    <w:p w14:paraId="4CC42AC7" w14:textId="10C307F9" w:rsidR="00193450" w:rsidRPr="005C48E3" w:rsidRDefault="00193450" w:rsidP="00D9246A">
      <w:pPr>
        <w:spacing w:line="240" w:lineRule="auto"/>
        <w:rPr>
          <w:rFonts w:cs="Arial"/>
          <w:szCs w:val="24"/>
        </w:rPr>
      </w:pPr>
      <w:r w:rsidRPr="005C48E3">
        <w:rPr>
          <w:rFonts w:cs="Arial"/>
          <w:noProof/>
          <w:szCs w:val="24"/>
        </w:rPr>
        <w:drawing>
          <wp:inline distT="0" distB="0" distL="0" distR="0" wp14:anchorId="11F54282" wp14:editId="07BB8F51">
            <wp:extent cx="5480050" cy="4781550"/>
            <wp:effectExtent l="0" t="0" r="25400" b="0"/>
            <wp:docPr id="567804594" name="Diagram 1" descr="List summarising themes across qualitative papers reviewed. The four key themes were support; power imbalance and professional relationships; attitude and perception; and delivering education.">
              <a:extLst xmlns:a="http://schemas.openxmlformats.org/drawingml/2006/main">
                <a:ext uri="{FF2B5EF4-FFF2-40B4-BE49-F238E27FC236}">
                  <a16:creationId xmlns:a16="http://schemas.microsoft.com/office/drawing/2014/main" id="{19749C1C-086B-78E8-654D-8F2D0895DD0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14:paraId="02BCFE5C" w14:textId="4C9C4729" w:rsidR="00A27F15" w:rsidRPr="005C48E3" w:rsidRDefault="007404E7" w:rsidP="00E472EB">
      <w:pPr>
        <w:pStyle w:val="Heading4"/>
      </w:pPr>
      <w:r w:rsidRPr="005C48E3">
        <w:t>Support</w:t>
      </w:r>
    </w:p>
    <w:p w14:paraId="52B6018F" w14:textId="5823A9A9" w:rsidR="005A6BEF" w:rsidRPr="005C48E3" w:rsidRDefault="00D727F2" w:rsidP="00D9246A">
      <w:pPr>
        <w:spacing w:line="240" w:lineRule="auto"/>
        <w:rPr>
          <w:rFonts w:cs="Arial"/>
          <w:szCs w:val="24"/>
        </w:rPr>
      </w:pPr>
      <w:r w:rsidRPr="005C48E3">
        <w:rPr>
          <w:rFonts w:cs="Arial"/>
          <w:szCs w:val="24"/>
        </w:rPr>
        <w:t>A recurring</w:t>
      </w:r>
      <w:r w:rsidR="009914A9" w:rsidRPr="005C48E3">
        <w:rPr>
          <w:rFonts w:cs="Arial"/>
          <w:szCs w:val="24"/>
        </w:rPr>
        <w:t xml:space="preserve"> theme</w:t>
      </w:r>
      <w:r w:rsidRPr="005C48E3">
        <w:rPr>
          <w:rFonts w:cs="Arial"/>
          <w:szCs w:val="24"/>
        </w:rPr>
        <w:t xml:space="preserve"> reported across the studies is the inadequacy of support systems, particularly for migrant pupils and those from </w:t>
      </w:r>
      <w:r w:rsidR="006C346D">
        <w:rPr>
          <w:rFonts w:cs="Arial"/>
          <w:szCs w:val="24"/>
        </w:rPr>
        <w:t>Black and racially minoritised</w:t>
      </w:r>
      <w:r w:rsidRPr="005C48E3">
        <w:rPr>
          <w:rFonts w:cs="Arial"/>
          <w:szCs w:val="24"/>
        </w:rPr>
        <w:t xml:space="preserve"> backgrounds.</w:t>
      </w:r>
      <w:r w:rsidR="00E7774F" w:rsidRPr="005C48E3">
        <w:rPr>
          <w:rFonts w:cs="Arial"/>
          <w:szCs w:val="24"/>
        </w:rPr>
        <w:t xml:space="preserve"> </w:t>
      </w:r>
      <w:r w:rsidR="00150EF5">
        <w:rPr>
          <w:rFonts w:cs="Arial"/>
          <w:szCs w:val="24"/>
        </w:rPr>
        <w:t>P</w:t>
      </w:r>
      <w:r w:rsidR="00ED1827" w:rsidRPr="005C48E3">
        <w:rPr>
          <w:rFonts w:cs="Arial"/>
          <w:szCs w:val="24"/>
        </w:rPr>
        <w:t>upils experienc</w:t>
      </w:r>
      <w:r w:rsidR="0088245D" w:rsidRPr="005C48E3">
        <w:rPr>
          <w:rFonts w:cs="Arial"/>
          <w:szCs w:val="24"/>
        </w:rPr>
        <w:t>e</w:t>
      </w:r>
      <w:r w:rsidR="00ED1827" w:rsidRPr="005C48E3">
        <w:rPr>
          <w:rFonts w:cs="Arial"/>
          <w:szCs w:val="24"/>
        </w:rPr>
        <w:t xml:space="preserve"> social isolation due to insufficient peer interactions and cultural stigmas</w:t>
      </w:r>
      <w:bookmarkStart w:id="201" w:name="_Ref196906906"/>
      <w:r w:rsidR="00317ED1" w:rsidRPr="005C48E3">
        <w:rPr>
          <w:rFonts w:cs="Arial"/>
          <w:szCs w:val="24"/>
        </w:rPr>
        <w:t xml:space="preserve"> within educational settings</w:t>
      </w:r>
      <w:r w:rsidR="00D90B67" w:rsidRPr="005C48E3">
        <w:rPr>
          <w:rFonts w:cs="Arial"/>
          <w:szCs w:val="24"/>
        </w:rPr>
        <w:t>.</w:t>
      </w:r>
      <w:r w:rsidR="007F2532" w:rsidRPr="005C48E3">
        <w:rPr>
          <w:rStyle w:val="EndnoteReference"/>
          <w:rFonts w:cs="Arial"/>
          <w:szCs w:val="24"/>
        </w:rPr>
        <w:endnoteReference w:id="76"/>
      </w:r>
      <w:bookmarkEnd w:id="201"/>
      <w:r w:rsidR="007F2532" w:rsidRPr="005D0263">
        <w:rPr>
          <w:rFonts w:cs="Arial"/>
          <w:szCs w:val="24"/>
          <w:vertAlign w:val="superscript"/>
        </w:rPr>
        <w:t>,</w:t>
      </w:r>
      <w:bookmarkStart w:id="202" w:name="_Ref196907205"/>
      <w:r w:rsidR="007F2532" w:rsidRPr="005C48E3">
        <w:rPr>
          <w:rStyle w:val="EndnoteReference"/>
          <w:rFonts w:cs="Arial"/>
          <w:szCs w:val="24"/>
        </w:rPr>
        <w:endnoteReference w:id="77"/>
      </w:r>
      <w:bookmarkEnd w:id="202"/>
      <w:r w:rsidR="007F2532" w:rsidRPr="005D0263">
        <w:rPr>
          <w:rFonts w:cs="Arial"/>
          <w:szCs w:val="24"/>
          <w:vertAlign w:val="superscript"/>
        </w:rPr>
        <w:t>,</w:t>
      </w:r>
      <w:bookmarkStart w:id="203" w:name="_Ref196908984"/>
      <w:r w:rsidR="007F2532" w:rsidRPr="005C48E3">
        <w:rPr>
          <w:rStyle w:val="EndnoteReference"/>
          <w:rFonts w:cs="Arial"/>
          <w:szCs w:val="24"/>
        </w:rPr>
        <w:endnoteReference w:id="78"/>
      </w:r>
      <w:bookmarkEnd w:id="203"/>
      <w:r w:rsidR="007F2532" w:rsidRPr="005D0263">
        <w:rPr>
          <w:rFonts w:cs="Arial"/>
          <w:szCs w:val="24"/>
          <w:vertAlign w:val="superscript"/>
        </w:rPr>
        <w:t>,</w:t>
      </w:r>
      <w:bookmarkStart w:id="204" w:name="_Ref196909946"/>
      <w:r w:rsidR="007F2532" w:rsidRPr="005C48E3">
        <w:rPr>
          <w:rStyle w:val="EndnoteReference"/>
          <w:rFonts w:cs="Arial"/>
          <w:szCs w:val="24"/>
        </w:rPr>
        <w:endnoteReference w:id="79"/>
      </w:r>
      <w:bookmarkEnd w:id="204"/>
      <w:r w:rsidR="007F2532" w:rsidRPr="005D0263">
        <w:rPr>
          <w:rFonts w:cs="Arial"/>
          <w:szCs w:val="24"/>
          <w:vertAlign w:val="superscript"/>
        </w:rPr>
        <w:t>,</w:t>
      </w:r>
      <w:r w:rsidR="007F2532" w:rsidRPr="005C48E3">
        <w:rPr>
          <w:rStyle w:val="EndnoteReference"/>
          <w:rFonts w:cs="Arial"/>
          <w:szCs w:val="24"/>
        </w:rPr>
        <w:endnoteReference w:id="80"/>
      </w:r>
      <w:r w:rsidR="007F2532" w:rsidRPr="005D0263">
        <w:rPr>
          <w:rFonts w:cs="Arial"/>
          <w:szCs w:val="24"/>
          <w:vertAlign w:val="superscript"/>
        </w:rPr>
        <w:t>,</w:t>
      </w:r>
      <w:bookmarkStart w:id="205" w:name="_Ref196914914"/>
      <w:r w:rsidR="007F2532" w:rsidRPr="005C48E3">
        <w:rPr>
          <w:rStyle w:val="EndnoteReference"/>
          <w:rFonts w:cs="Arial"/>
          <w:szCs w:val="24"/>
        </w:rPr>
        <w:endnoteReference w:id="81"/>
      </w:r>
      <w:bookmarkEnd w:id="205"/>
      <w:r w:rsidR="00EF7737" w:rsidRPr="005C48E3">
        <w:rPr>
          <w:rFonts w:cs="Arial"/>
          <w:szCs w:val="24"/>
        </w:rPr>
        <w:t xml:space="preserve"> </w:t>
      </w:r>
      <w:r w:rsidR="00A278BC" w:rsidRPr="005C48E3">
        <w:rPr>
          <w:rFonts w:cs="Arial"/>
          <w:szCs w:val="24"/>
        </w:rPr>
        <w:t xml:space="preserve">In addition, </w:t>
      </w:r>
      <w:r w:rsidR="00C31607">
        <w:rPr>
          <w:rFonts w:cs="Arial"/>
          <w:szCs w:val="24"/>
        </w:rPr>
        <w:t>Black and racially minoritised</w:t>
      </w:r>
      <w:r w:rsidR="00850C97" w:rsidRPr="005C48E3">
        <w:rPr>
          <w:rFonts w:cs="Arial"/>
          <w:szCs w:val="24"/>
        </w:rPr>
        <w:t xml:space="preserve"> families often reported a lack of local or community-based resources tailored to their needs</w:t>
      </w:r>
      <w:r w:rsidR="00FE35FE">
        <w:rPr>
          <w:rStyle w:val="EndnoteReference"/>
          <w:rFonts w:cs="Arial"/>
          <w:szCs w:val="24"/>
        </w:rPr>
        <w:endnoteReference w:id="82"/>
      </w:r>
      <w:r w:rsidR="00FE35FE" w:rsidRPr="00664F96">
        <w:rPr>
          <w:rFonts w:cs="Arial"/>
          <w:szCs w:val="24"/>
          <w:vertAlign w:val="superscript"/>
        </w:rPr>
        <w:t>,</w:t>
      </w:r>
      <w:r w:rsidR="00FE35FE">
        <w:rPr>
          <w:rStyle w:val="EndnoteReference"/>
          <w:rFonts w:cs="Arial"/>
          <w:szCs w:val="24"/>
        </w:rPr>
        <w:endnoteReference w:id="83"/>
      </w:r>
      <w:r w:rsidR="005A6BEF" w:rsidRPr="005D0263">
        <w:rPr>
          <w:rFonts w:cs="Arial"/>
          <w:szCs w:val="24"/>
          <w:vertAlign w:val="superscript"/>
        </w:rPr>
        <w:t>,</w:t>
      </w:r>
      <w:bookmarkStart w:id="206" w:name="_Ref196915210"/>
      <w:r w:rsidR="005A6BEF" w:rsidRPr="005C48E3">
        <w:rPr>
          <w:rStyle w:val="EndnoteReference"/>
          <w:rFonts w:cs="Arial"/>
          <w:szCs w:val="24"/>
        </w:rPr>
        <w:endnoteReference w:id="84"/>
      </w:r>
      <w:bookmarkEnd w:id="206"/>
      <w:r w:rsidR="005A6BEF" w:rsidRPr="005D0263">
        <w:rPr>
          <w:rFonts w:cs="Arial"/>
          <w:szCs w:val="24"/>
          <w:vertAlign w:val="superscript"/>
        </w:rPr>
        <w:t>,</w:t>
      </w:r>
      <w:bookmarkStart w:id="207" w:name="_Ref196915926"/>
      <w:r w:rsidR="005A6BEF" w:rsidRPr="005C48E3">
        <w:rPr>
          <w:rStyle w:val="EndnoteReference"/>
          <w:rFonts w:cs="Arial"/>
          <w:szCs w:val="24"/>
        </w:rPr>
        <w:endnoteReference w:id="85"/>
      </w:r>
      <w:bookmarkEnd w:id="207"/>
    </w:p>
    <w:p w14:paraId="0CBFFBD1" w14:textId="2E8BB605" w:rsidR="00636E1B" w:rsidRPr="00802967" w:rsidRDefault="00AC52F4" w:rsidP="00D9246A">
      <w:pPr>
        <w:spacing w:line="240" w:lineRule="auto"/>
        <w:rPr>
          <w:rFonts w:cs="Arial"/>
          <w:color w:val="A65588"/>
          <w:szCs w:val="24"/>
        </w:rPr>
      </w:pPr>
      <w:r w:rsidRPr="00AC52F4">
        <w:rPr>
          <w:rFonts w:cs="Arial"/>
          <w:color w:val="A65588"/>
          <w:szCs w:val="24"/>
        </w:rPr>
        <w:t>“All my support network had zero understanding […] they have no clue about special needs […] I was so frustrated; I have nobody to talk [to] about my son.” (parent</w:t>
      </w:r>
      <w:r>
        <w:rPr>
          <w:rFonts w:cs="Arial"/>
          <w:color w:val="A65588"/>
          <w:szCs w:val="24"/>
        </w:rPr>
        <w:t>)</w:t>
      </w:r>
      <w:r w:rsidR="008D46D2" w:rsidRPr="000E3120">
        <w:rPr>
          <w:rStyle w:val="EndnoteReference"/>
          <w:rFonts w:cs="Arial"/>
          <w:szCs w:val="24"/>
        </w:rPr>
        <w:endnoteReference w:id="86"/>
      </w:r>
    </w:p>
    <w:p w14:paraId="11FC25AC" w14:textId="2F93B310" w:rsidR="00244DF6" w:rsidRPr="00E472EB" w:rsidRDefault="000A66B8" w:rsidP="00D9246A">
      <w:pPr>
        <w:spacing w:line="240" w:lineRule="auto"/>
        <w:rPr>
          <w:rFonts w:cs="Arial"/>
          <w:b/>
          <w:bCs/>
          <w:szCs w:val="24"/>
        </w:rPr>
      </w:pPr>
      <w:r>
        <w:rPr>
          <w:rFonts w:cs="Arial"/>
          <w:szCs w:val="24"/>
        </w:rPr>
        <w:t>T</w:t>
      </w:r>
      <w:r w:rsidR="00244DF6" w:rsidRPr="005C48E3">
        <w:rPr>
          <w:rFonts w:cs="Arial"/>
          <w:szCs w:val="24"/>
        </w:rPr>
        <w:t>he absence of adequate multilingual learning resources and interpretation services adds barriers for non-native English speakers. Educators report that it also complicates assessing children’s needs adequately.</w:t>
      </w:r>
      <w:r w:rsidR="003E1B53">
        <w:rPr>
          <w:rStyle w:val="EndnoteReference"/>
          <w:rFonts w:cs="Arial"/>
          <w:szCs w:val="24"/>
        </w:rPr>
        <w:endnoteReference w:id="87"/>
      </w:r>
      <w:r w:rsidR="003E1B53" w:rsidRPr="003E1B53">
        <w:rPr>
          <w:rFonts w:cs="Arial"/>
          <w:szCs w:val="24"/>
          <w:vertAlign w:val="superscript"/>
        </w:rPr>
        <w:t>,</w:t>
      </w:r>
      <w:r w:rsidR="003E1B53">
        <w:rPr>
          <w:rStyle w:val="EndnoteReference"/>
          <w:rFonts w:cs="Arial"/>
          <w:szCs w:val="24"/>
        </w:rPr>
        <w:endnoteReference w:id="88"/>
      </w:r>
      <w:r w:rsidR="00244DF6" w:rsidRPr="00F80ADE">
        <w:rPr>
          <w:rFonts w:cs="Arial"/>
          <w:szCs w:val="24"/>
          <w:vertAlign w:val="superscript"/>
        </w:rPr>
        <w:t>,</w:t>
      </w:r>
      <w:bookmarkStart w:id="208" w:name="_Ref196916405"/>
      <w:r w:rsidR="00244DF6" w:rsidRPr="005C48E3">
        <w:rPr>
          <w:rStyle w:val="EndnoteReference"/>
          <w:rFonts w:cs="Arial"/>
          <w:szCs w:val="24"/>
        </w:rPr>
        <w:endnoteReference w:id="89"/>
      </w:r>
      <w:bookmarkEnd w:id="208"/>
      <w:r w:rsidR="00244DF6" w:rsidRPr="00F80ADE">
        <w:rPr>
          <w:rFonts w:cs="Arial"/>
          <w:szCs w:val="24"/>
          <w:vertAlign w:val="superscript"/>
        </w:rPr>
        <w:t>,</w:t>
      </w:r>
      <w:bookmarkStart w:id="209" w:name="_Ref196917686"/>
      <w:r w:rsidR="00244DF6" w:rsidRPr="005C48E3">
        <w:rPr>
          <w:rStyle w:val="EndnoteReference"/>
          <w:rFonts w:cs="Arial"/>
          <w:szCs w:val="24"/>
        </w:rPr>
        <w:endnoteReference w:id="90"/>
      </w:r>
      <w:bookmarkEnd w:id="209"/>
    </w:p>
    <w:p w14:paraId="0E9057ED" w14:textId="130F7CD9" w:rsidR="00C029EF" w:rsidRPr="00E472EB" w:rsidRDefault="00C029EF" w:rsidP="00D9246A">
      <w:pPr>
        <w:spacing w:line="240" w:lineRule="auto"/>
        <w:rPr>
          <w:rFonts w:cs="Arial"/>
        </w:rPr>
      </w:pPr>
      <w:r w:rsidRPr="00802967">
        <w:rPr>
          <w:rFonts w:cs="Arial"/>
          <w:color w:val="A65588"/>
          <w:szCs w:val="24"/>
        </w:rPr>
        <w:t>"We’re very conscious of the issue that … what would be really wrong is if a child was in a special school because it was a language issue and not a learning issue</w:t>
      </w:r>
      <w:r w:rsidR="00734615">
        <w:rPr>
          <w:rFonts w:cs="Arial"/>
          <w:color w:val="A65588"/>
          <w:szCs w:val="24"/>
        </w:rPr>
        <w:t>…</w:t>
      </w:r>
      <w:r w:rsidRPr="00802967">
        <w:rPr>
          <w:rFonts w:cs="Arial"/>
          <w:color w:val="A65588"/>
          <w:szCs w:val="24"/>
        </w:rPr>
        <w:t>. we’ve had the odd child that has been wrongly placed that we’ve moved out very quickly because it became very quickly apparent that they haven’t had a special need." (headteacher of special school)</w:t>
      </w:r>
      <w:r w:rsidR="00E66A49">
        <w:rPr>
          <w:rStyle w:val="EndnoteReference"/>
          <w:rFonts w:cs="Arial"/>
          <w:szCs w:val="24"/>
        </w:rPr>
        <w:endnoteReference w:id="91"/>
      </w:r>
    </w:p>
    <w:p w14:paraId="45998C45" w14:textId="105ADDEC" w:rsidR="00244DF6" w:rsidRPr="005C48E3" w:rsidRDefault="00394830" w:rsidP="00E472EB">
      <w:pPr>
        <w:pStyle w:val="Heading4"/>
      </w:pPr>
      <w:r w:rsidRPr="005C48E3">
        <w:lastRenderedPageBreak/>
        <w:t xml:space="preserve">Power imbalance and professional relationships </w:t>
      </w:r>
    </w:p>
    <w:p w14:paraId="45BFA521" w14:textId="24363FC8" w:rsidR="007047C0" w:rsidRPr="005C48E3" w:rsidRDefault="00700A41" w:rsidP="00D9246A">
      <w:pPr>
        <w:spacing w:line="240" w:lineRule="auto"/>
        <w:rPr>
          <w:rFonts w:cs="Arial"/>
          <w:szCs w:val="24"/>
        </w:rPr>
      </w:pPr>
      <w:r w:rsidRPr="005C48E3">
        <w:rPr>
          <w:rFonts w:cs="Arial"/>
          <w:szCs w:val="24"/>
        </w:rPr>
        <w:t xml:space="preserve">Families from </w:t>
      </w:r>
      <w:r w:rsidR="00F76159">
        <w:rPr>
          <w:rFonts w:cs="Arial"/>
          <w:szCs w:val="24"/>
        </w:rPr>
        <w:t>Black and racially minoritised</w:t>
      </w:r>
      <w:r w:rsidRPr="005C48E3">
        <w:rPr>
          <w:rFonts w:cs="Arial"/>
          <w:szCs w:val="24"/>
        </w:rPr>
        <w:t xml:space="preserve"> backgrounds reported widespread experiences of discrimination, dismissal by school professionals, and lack of accessible information -especially those with limited English proficiency. </w:t>
      </w:r>
    </w:p>
    <w:p w14:paraId="021F13C1" w14:textId="11462D11" w:rsidR="00A4344A" w:rsidRPr="005C48E3" w:rsidRDefault="003A55D4" w:rsidP="00D9246A">
      <w:pPr>
        <w:spacing w:line="240" w:lineRule="auto"/>
        <w:rPr>
          <w:rFonts w:cs="Arial"/>
          <w:b/>
        </w:rPr>
      </w:pPr>
      <w:r w:rsidRPr="00802967">
        <w:rPr>
          <w:rFonts w:cs="Arial"/>
          <w:b/>
          <w:color w:val="0079C2"/>
        </w:rPr>
        <w:t>Lack of recognition of parent</w:t>
      </w:r>
      <w:r w:rsidR="00411BEE" w:rsidRPr="00802967">
        <w:rPr>
          <w:rFonts w:cs="Arial"/>
          <w:b/>
          <w:color w:val="0079C2"/>
        </w:rPr>
        <w:t xml:space="preserve"> </w:t>
      </w:r>
      <w:r w:rsidRPr="00802967">
        <w:rPr>
          <w:rFonts w:cs="Arial"/>
          <w:b/>
          <w:color w:val="0079C2"/>
        </w:rPr>
        <w:t>carer as an expert</w:t>
      </w:r>
      <w:r w:rsidR="00F27E62" w:rsidRPr="00802967">
        <w:rPr>
          <w:rFonts w:cs="Arial"/>
          <w:b/>
          <w:color w:val="0079C2"/>
        </w:rPr>
        <w:t xml:space="preserve">: </w:t>
      </w:r>
      <w:r w:rsidR="007047C0" w:rsidRPr="005C48E3">
        <w:rPr>
          <w:rFonts w:cs="Arial"/>
        </w:rPr>
        <w:t>The lack of culturally competent services, socioeconomic disadvantage and lack of flexibility left many parents feeling alienated and powerless in advocating for their child’s needs</w:t>
      </w:r>
      <w:r w:rsidR="003B73B3" w:rsidRPr="005C48E3">
        <w:rPr>
          <w:rFonts w:cs="Arial"/>
        </w:rPr>
        <w:t>.</w:t>
      </w:r>
      <w:r w:rsidR="006141D6" w:rsidRPr="005C48E3">
        <w:rPr>
          <w:rFonts w:cs="Arial"/>
        </w:rPr>
        <w:t xml:space="preserve"> </w:t>
      </w:r>
      <w:r w:rsidR="00BE5BB1" w:rsidRPr="00E472EB">
        <w:rPr>
          <w:rFonts w:cs="Arial"/>
        </w:rPr>
        <w:t xml:space="preserve">Families often </w:t>
      </w:r>
      <w:r w:rsidR="00BE5BB1" w:rsidRPr="00A3080F">
        <w:rPr>
          <w:rFonts w:cs="Arial"/>
          <w:szCs w:val="24"/>
        </w:rPr>
        <w:t>reported</w:t>
      </w:r>
      <w:r w:rsidR="00BE5BB1" w:rsidRPr="00E472EB">
        <w:rPr>
          <w:rFonts w:cs="Arial"/>
        </w:rPr>
        <w:t xml:space="preserve"> feeling </w:t>
      </w:r>
      <w:r w:rsidR="00BE5BB1" w:rsidRPr="00A3080F">
        <w:rPr>
          <w:rFonts w:cs="Arial"/>
          <w:szCs w:val="24"/>
        </w:rPr>
        <w:t>unsupported</w:t>
      </w:r>
      <w:r w:rsidR="00BE5BB1" w:rsidRPr="00E472EB">
        <w:rPr>
          <w:rFonts w:cs="Arial"/>
        </w:rPr>
        <w:t xml:space="preserve"> by professionals who lack cultural understanding or fail to provide tailored guidance.</w:t>
      </w:r>
      <w:r w:rsidR="009E5A13" w:rsidRPr="00E472EB">
        <w:rPr>
          <w:rFonts w:cs="Arial"/>
        </w:rPr>
        <w:t xml:space="preserve"> </w:t>
      </w:r>
      <w:r w:rsidR="00CF4031" w:rsidRPr="005C48E3">
        <w:rPr>
          <w:rFonts w:cs="Arial"/>
        </w:rPr>
        <w:t>T</w:t>
      </w:r>
      <w:r w:rsidR="00CF4031" w:rsidRPr="00E472EB">
        <w:rPr>
          <w:rFonts w:cs="Arial"/>
        </w:rPr>
        <w:t>he lack of accessible interpreted information meant families could not ask schools how to get their children assessed for educational help.</w:t>
      </w:r>
      <w:r w:rsidR="004B6738">
        <w:rPr>
          <w:rStyle w:val="EndnoteReference"/>
          <w:rFonts w:cs="Arial"/>
          <w:szCs w:val="24"/>
        </w:rPr>
        <w:endnoteReference w:id="92"/>
      </w:r>
      <w:r w:rsidR="004B6738" w:rsidRPr="003B7DD3">
        <w:rPr>
          <w:rFonts w:cs="Arial"/>
          <w:szCs w:val="24"/>
          <w:vertAlign w:val="superscript"/>
        </w:rPr>
        <w:t>,</w:t>
      </w:r>
      <w:r w:rsidR="004B6738">
        <w:rPr>
          <w:rStyle w:val="EndnoteReference"/>
          <w:rFonts w:cs="Arial"/>
          <w:szCs w:val="24"/>
        </w:rPr>
        <w:endnoteReference w:id="93"/>
      </w:r>
      <w:r w:rsidR="004B6738" w:rsidRPr="003B7DD3">
        <w:rPr>
          <w:rFonts w:cs="Arial"/>
          <w:szCs w:val="24"/>
          <w:vertAlign w:val="superscript"/>
        </w:rPr>
        <w:t>,</w:t>
      </w:r>
      <w:r w:rsidR="006F18F8">
        <w:rPr>
          <w:rStyle w:val="EndnoteReference"/>
          <w:rFonts w:cs="Arial"/>
          <w:szCs w:val="24"/>
        </w:rPr>
        <w:endnoteReference w:id="94"/>
      </w:r>
      <w:r w:rsidR="00CF4031" w:rsidRPr="00691540">
        <w:rPr>
          <w:rFonts w:cs="Arial"/>
          <w:vertAlign w:val="superscript"/>
        </w:rPr>
        <w:t>,</w:t>
      </w:r>
      <w:r w:rsidR="00114E29">
        <w:rPr>
          <w:rStyle w:val="EndnoteReference"/>
          <w:rFonts w:cs="Arial"/>
          <w:szCs w:val="24"/>
        </w:rPr>
        <w:endnoteReference w:id="95"/>
      </w:r>
      <w:r w:rsidR="00CF4031" w:rsidRPr="00691540">
        <w:rPr>
          <w:rFonts w:cs="Arial"/>
          <w:vertAlign w:val="superscript"/>
        </w:rPr>
        <w:t>,</w:t>
      </w:r>
      <w:r w:rsidR="003B7DD3">
        <w:rPr>
          <w:rStyle w:val="EndnoteReference"/>
          <w:rFonts w:cs="Arial"/>
          <w:szCs w:val="24"/>
        </w:rPr>
        <w:endnoteReference w:id="96"/>
      </w:r>
      <w:r w:rsidR="00CF4031" w:rsidRPr="00E472EB">
        <w:rPr>
          <w:rFonts w:cs="Arial"/>
          <w:iCs/>
        </w:rPr>
        <w:t xml:space="preserve"> </w:t>
      </w:r>
    </w:p>
    <w:p w14:paraId="678E9A31" w14:textId="2DA88165" w:rsidR="00A4344A" w:rsidRPr="00802967" w:rsidRDefault="00A4344A" w:rsidP="00D9246A">
      <w:pPr>
        <w:spacing w:line="240" w:lineRule="auto"/>
        <w:rPr>
          <w:rFonts w:cs="Arial"/>
          <w:color w:val="A65588"/>
          <w:szCs w:val="24"/>
        </w:rPr>
      </w:pPr>
      <w:r w:rsidRPr="00802967">
        <w:rPr>
          <w:rFonts w:cs="Arial"/>
          <w:color w:val="A65588"/>
          <w:szCs w:val="24"/>
        </w:rPr>
        <w:t>“Even if you can’t speak English, there’s no reason to marginalise the parent.” (</w:t>
      </w:r>
      <w:r w:rsidR="001E2EDB">
        <w:rPr>
          <w:rFonts w:cs="Arial"/>
          <w:color w:val="A65588"/>
          <w:szCs w:val="24"/>
        </w:rPr>
        <w:t>p</w:t>
      </w:r>
      <w:r w:rsidRPr="00802967">
        <w:rPr>
          <w:rFonts w:cs="Arial"/>
          <w:color w:val="A65588"/>
          <w:szCs w:val="24"/>
        </w:rPr>
        <w:t>arent)</w:t>
      </w:r>
      <w:r w:rsidR="008662B3">
        <w:rPr>
          <w:rStyle w:val="EndnoteReference"/>
          <w:rFonts w:cs="Arial"/>
          <w:szCs w:val="24"/>
        </w:rPr>
        <w:endnoteReference w:id="97"/>
      </w:r>
      <w:r w:rsidR="008662B3">
        <w:rPr>
          <w:rFonts w:cs="Arial"/>
          <w:szCs w:val="24"/>
        </w:rPr>
        <w:t xml:space="preserve"> </w:t>
      </w:r>
    </w:p>
    <w:p w14:paraId="25CF3AD0" w14:textId="5755C3EE" w:rsidR="00981065" w:rsidRPr="00E472EB" w:rsidRDefault="00B65607" w:rsidP="00D9246A">
      <w:pPr>
        <w:spacing w:line="240" w:lineRule="auto"/>
        <w:rPr>
          <w:rFonts w:cs="Arial"/>
          <w:b/>
          <w:bCs/>
        </w:rPr>
      </w:pPr>
      <w:r w:rsidRPr="00802967">
        <w:rPr>
          <w:rFonts w:cs="Arial"/>
          <w:b/>
          <w:color w:val="0079C2"/>
        </w:rPr>
        <w:t>Socioeconomic disadvantage and prejudice</w:t>
      </w:r>
      <w:r w:rsidR="00F27E62" w:rsidRPr="005C48E3">
        <w:rPr>
          <w:rFonts w:cs="Arial"/>
          <w:b/>
        </w:rPr>
        <w:t xml:space="preserve">: </w:t>
      </w:r>
      <w:r w:rsidR="00981065" w:rsidRPr="00E472EB">
        <w:rPr>
          <w:rFonts w:cs="Arial"/>
        </w:rPr>
        <w:t xml:space="preserve">Many of the studies reported the barrier </w:t>
      </w:r>
      <w:r w:rsidR="00981065" w:rsidRPr="00A3080F">
        <w:rPr>
          <w:rFonts w:cs="Arial"/>
          <w:szCs w:val="24"/>
        </w:rPr>
        <w:t>created</w:t>
      </w:r>
      <w:r w:rsidR="00981065" w:rsidRPr="00E472EB">
        <w:rPr>
          <w:rFonts w:cs="Arial"/>
        </w:rPr>
        <w:t xml:space="preserve"> by lack of resources</w:t>
      </w:r>
      <w:r w:rsidR="00AA2630" w:rsidRPr="005C48E3">
        <w:rPr>
          <w:rFonts w:cs="Arial"/>
        </w:rPr>
        <w:t xml:space="preserve"> and prejudice</w:t>
      </w:r>
      <w:r w:rsidR="00691540">
        <w:rPr>
          <w:rFonts w:cs="Arial"/>
        </w:rPr>
        <w:t>, with f</w:t>
      </w:r>
      <w:r w:rsidR="00981065" w:rsidRPr="00E472EB">
        <w:rPr>
          <w:rFonts w:cs="Arial"/>
        </w:rPr>
        <w:t>amilies from lower socioeconomic backgrounds facing compounded barriers, limiting their access to services.</w:t>
      </w:r>
      <w:r w:rsidR="00606E5D">
        <w:rPr>
          <w:rStyle w:val="EndnoteReference"/>
          <w:rFonts w:cs="Arial"/>
          <w:szCs w:val="24"/>
        </w:rPr>
        <w:endnoteReference w:id="98"/>
      </w:r>
      <w:r w:rsidR="00844536" w:rsidRPr="00FA06BC">
        <w:rPr>
          <w:rFonts w:cs="Arial"/>
          <w:szCs w:val="24"/>
          <w:vertAlign w:val="superscript"/>
        </w:rPr>
        <w:t>,</w:t>
      </w:r>
      <w:r w:rsidR="00844536">
        <w:rPr>
          <w:rStyle w:val="EndnoteReference"/>
          <w:rFonts w:cs="Arial"/>
          <w:szCs w:val="24"/>
        </w:rPr>
        <w:endnoteReference w:id="99"/>
      </w:r>
      <w:r w:rsidR="00981065" w:rsidRPr="00734615">
        <w:rPr>
          <w:rFonts w:cs="Arial"/>
          <w:vertAlign w:val="superscript"/>
        </w:rPr>
        <w:t>,</w:t>
      </w:r>
      <w:r w:rsidR="0056345C">
        <w:rPr>
          <w:rStyle w:val="EndnoteReference"/>
          <w:rFonts w:cs="Arial"/>
          <w:szCs w:val="24"/>
        </w:rPr>
        <w:endnoteReference w:id="100"/>
      </w:r>
      <w:r w:rsidR="00981065" w:rsidRPr="00734615">
        <w:rPr>
          <w:rFonts w:cs="Arial"/>
          <w:vertAlign w:val="superscript"/>
        </w:rPr>
        <w:t>,</w:t>
      </w:r>
      <w:r w:rsidR="00FA06BC">
        <w:rPr>
          <w:rStyle w:val="EndnoteReference"/>
          <w:rFonts w:cs="Arial"/>
          <w:szCs w:val="24"/>
        </w:rPr>
        <w:endnoteReference w:id="101"/>
      </w:r>
      <w:r w:rsidR="00981065" w:rsidRPr="00734615">
        <w:rPr>
          <w:rFonts w:cs="Arial"/>
          <w:vertAlign w:val="superscript"/>
        </w:rPr>
        <w:t>,</w:t>
      </w:r>
      <w:bookmarkStart w:id="210" w:name="_Ref196919031"/>
      <w:r w:rsidR="00981065" w:rsidRPr="00827A5C">
        <w:rPr>
          <w:rStyle w:val="EndnoteReference"/>
          <w:rFonts w:cs="Arial"/>
        </w:rPr>
        <w:endnoteReference w:id="102"/>
      </w:r>
      <w:bookmarkEnd w:id="210"/>
    </w:p>
    <w:p w14:paraId="5382F6D6" w14:textId="1D6C388C" w:rsidR="005C058B" w:rsidRPr="00802967" w:rsidRDefault="007605C8" w:rsidP="00D9246A">
      <w:pPr>
        <w:spacing w:line="240" w:lineRule="auto"/>
        <w:rPr>
          <w:rFonts w:cs="Arial"/>
          <w:color w:val="A65588"/>
          <w:szCs w:val="24"/>
        </w:rPr>
      </w:pPr>
      <w:r w:rsidRPr="00802967">
        <w:rPr>
          <w:rFonts w:cs="Arial"/>
          <w:color w:val="A65588"/>
          <w:szCs w:val="24"/>
        </w:rPr>
        <w:t>“</w:t>
      </w:r>
      <w:r w:rsidR="0034429E">
        <w:rPr>
          <w:rFonts w:cs="Arial"/>
          <w:color w:val="A65588"/>
          <w:szCs w:val="24"/>
        </w:rPr>
        <w:t>…</w:t>
      </w:r>
      <w:r w:rsidRPr="00802967">
        <w:rPr>
          <w:rFonts w:cs="Arial"/>
          <w:color w:val="A65588"/>
          <w:szCs w:val="24"/>
        </w:rPr>
        <w:t>mum gets up at 4.30am to go out cleaning, then she walks to school and is a midday supervisor. Parents working long hours; we have no experience of this culture where people say</w:t>
      </w:r>
      <w:r w:rsidR="00987806">
        <w:rPr>
          <w:rFonts w:cs="Arial"/>
          <w:color w:val="A65588"/>
          <w:szCs w:val="24"/>
        </w:rPr>
        <w:t>….</w:t>
      </w:r>
      <w:r w:rsidRPr="00802967">
        <w:rPr>
          <w:rFonts w:cs="Arial"/>
          <w:color w:val="A65588"/>
          <w:szCs w:val="24"/>
        </w:rPr>
        <w:t>come here to live off benefits; that’s not our experience.” (headteacher)</w:t>
      </w:r>
      <w:r w:rsidR="00085235">
        <w:rPr>
          <w:rStyle w:val="EndnoteReference"/>
          <w:rFonts w:cs="Arial"/>
          <w:szCs w:val="24"/>
        </w:rPr>
        <w:endnoteReference w:id="103"/>
      </w:r>
    </w:p>
    <w:p w14:paraId="068CABF8" w14:textId="5198D3E1" w:rsidR="00B631EF" w:rsidRPr="00E472EB" w:rsidRDefault="0034429E" w:rsidP="00D9246A">
      <w:pPr>
        <w:spacing w:line="240" w:lineRule="auto"/>
        <w:rPr>
          <w:rFonts w:cs="Arial"/>
        </w:rPr>
      </w:pPr>
      <w:r>
        <w:rPr>
          <w:rFonts w:cs="Arial"/>
        </w:rPr>
        <w:t>There were</w:t>
      </w:r>
      <w:r w:rsidR="00B631EF" w:rsidRPr="00E472EB">
        <w:rPr>
          <w:rFonts w:cs="Arial"/>
        </w:rPr>
        <w:t xml:space="preserve"> cases where parents reported racist bullying,</w:t>
      </w:r>
      <w:r w:rsidR="00BC1A27" w:rsidRPr="005C48E3">
        <w:rPr>
          <w:rFonts w:cs="Arial"/>
        </w:rPr>
        <w:t xml:space="preserve"> and</w:t>
      </w:r>
      <w:r w:rsidR="00B631EF" w:rsidRPr="00E472EB">
        <w:rPr>
          <w:rFonts w:cs="Arial"/>
        </w:rPr>
        <w:t xml:space="preserve"> the schools initiated a SEND assessment</w:t>
      </w:r>
      <w:r w:rsidR="00B631EF" w:rsidRPr="00E472EB">
        <w:rPr>
          <w:rFonts w:cs="Arial"/>
          <w:iCs/>
        </w:rPr>
        <w:t>.</w:t>
      </w:r>
      <w:r w:rsidR="006374E5" w:rsidRPr="006374E5">
        <w:rPr>
          <w:rFonts w:asciiTheme="minorHAnsi" w:hAnsiTheme="minorHAnsi" w:cs="Arial"/>
        </w:rPr>
        <w:t xml:space="preserve"> </w:t>
      </w:r>
      <w:r w:rsidR="006374E5" w:rsidRPr="007516B9">
        <w:rPr>
          <w:rStyle w:val="EndnoteReference"/>
          <w:rFonts w:cs="Arial"/>
        </w:rPr>
        <w:endnoteReference w:id="104"/>
      </w:r>
      <w:r w:rsidR="00827A5C">
        <w:rPr>
          <w:rFonts w:cs="Arial"/>
          <w:iCs/>
          <w:vertAlign w:val="superscript"/>
        </w:rPr>
        <w:t>,</w:t>
      </w:r>
      <w:bookmarkStart w:id="211" w:name="_Ref196919532"/>
      <w:r w:rsidR="000779E4" w:rsidRPr="007516B9">
        <w:rPr>
          <w:rStyle w:val="EndnoteReference"/>
          <w:rFonts w:cs="Arial"/>
        </w:rPr>
        <w:endnoteReference w:id="105"/>
      </w:r>
      <w:bookmarkEnd w:id="211"/>
    </w:p>
    <w:p w14:paraId="2DCC3E06" w14:textId="07A2884F" w:rsidR="00365553" w:rsidRPr="00691540" w:rsidRDefault="00365553" w:rsidP="00D9246A">
      <w:pPr>
        <w:spacing w:line="240" w:lineRule="auto"/>
        <w:rPr>
          <w:rFonts w:cs="Arial"/>
          <w:color w:val="A65588"/>
          <w:szCs w:val="24"/>
        </w:rPr>
      </w:pPr>
      <w:r w:rsidRPr="00802967">
        <w:rPr>
          <w:rFonts w:cs="Arial"/>
          <w:color w:val="A65588"/>
          <w:szCs w:val="24"/>
        </w:rPr>
        <w:t>“…I got this telephone call out of the blue one Sunday afternoon, from his class teacher, suggesting that he have some test—I can’t remember exactly</w:t>
      </w:r>
      <w:r w:rsidR="00667371">
        <w:rPr>
          <w:rFonts w:cs="Arial"/>
          <w:color w:val="A65588"/>
          <w:szCs w:val="24"/>
        </w:rPr>
        <w:t>...</w:t>
      </w:r>
      <w:r w:rsidRPr="00802967">
        <w:rPr>
          <w:rFonts w:cs="Arial"/>
          <w:color w:val="A65588"/>
          <w:szCs w:val="24"/>
        </w:rPr>
        <w:t>because it was such a shock</w:t>
      </w:r>
      <w:r w:rsidR="00C8310D">
        <w:rPr>
          <w:rFonts w:cs="Arial"/>
          <w:color w:val="A65588"/>
          <w:szCs w:val="24"/>
        </w:rPr>
        <w:t>…</w:t>
      </w:r>
      <w:r w:rsidRPr="00802967">
        <w:rPr>
          <w:rFonts w:cs="Arial"/>
          <w:color w:val="A65588"/>
          <w:szCs w:val="24"/>
        </w:rPr>
        <w:t xml:space="preserve">—that there might be some reason for his under-performing: not the racism at the school that I told them about, but there might </w:t>
      </w:r>
      <w:r w:rsidRPr="00CF359B">
        <w:rPr>
          <w:rFonts w:cs="Arial"/>
          <w:color w:val="A65588"/>
          <w:szCs w:val="24"/>
        </w:rPr>
        <w:t>be some reason, that he might have some learning difficulties.” (parent)</w:t>
      </w:r>
      <w:r w:rsidRPr="00691540">
        <w:rPr>
          <w:rFonts w:cs="Arial"/>
          <w:color w:val="A65588"/>
          <w:szCs w:val="24"/>
          <w:vertAlign w:val="superscript"/>
        </w:rPr>
        <w:fldChar w:fldCharType="begin"/>
      </w:r>
      <w:r w:rsidRPr="00691540">
        <w:rPr>
          <w:rFonts w:cs="Arial"/>
          <w:color w:val="A65588"/>
          <w:szCs w:val="24"/>
          <w:vertAlign w:val="superscript"/>
        </w:rPr>
        <w:instrText xml:space="preserve"> NOTEREF _Ref196919532 \f \h  \* MERGEFORMAT </w:instrText>
      </w:r>
      <w:r w:rsidRPr="00691540">
        <w:rPr>
          <w:rFonts w:cs="Arial"/>
          <w:color w:val="A65588"/>
          <w:szCs w:val="24"/>
          <w:vertAlign w:val="superscript"/>
        </w:rPr>
      </w:r>
      <w:r w:rsidRPr="00691540">
        <w:rPr>
          <w:rFonts w:cs="Arial"/>
          <w:color w:val="A65588"/>
          <w:szCs w:val="24"/>
          <w:vertAlign w:val="superscript"/>
        </w:rPr>
        <w:fldChar w:fldCharType="separate"/>
      </w:r>
      <w:r w:rsidR="00ED5C7E">
        <w:rPr>
          <w:rStyle w:val="EndnoteReference"/>
          <w:rFonts w:asciiTheme="minorHAnsi" w:hAnsiTheme="minorHAnsi" w:cs="Arial"/>
        </w:rPr>
        <w:endnoteReference w:id="106"/>
      </w:r>
      <w:r w:rsidR="00ED5C7E" w:rsidRPr="0061658B">
        <w:rPr>
          <w:rFonts w:asciiTheme="minorHAnsi" w:hAnsiTheme="minorHAnsi" w:cs="Arial"/>
        </w:rPr>
        <w:t xml:space="preserve"> </w:t>
      </w:r>
      <w:r w:rsidRPr="00691540">
        <w:rPr>
          <w:rFonts w:cs="Arial"/>
          <w:color w:val="A65588"/>
          <w:szCs w:val="24"/>
          <w:vertAlign w:val="superscript"/>
        </w:rPr>
        <w:fldChar w:fldCharType="end"/>
      </w:r>
    </w:p>
    <w:p w14:paraId="4440C948" w14:textId="72867D90" w:rsidR="00155D83" w:rsidRPr="00E472EB" w:rsidRDefault="001F3FAD" w:rsidP="00D9246A">
      <w:pPr>
        <w:spacing w:line="240" w:lineRule="auto"/>
        <w:rPr>
          <w:rFonts w:cs="Arial"/>
          <w:b/>
        </w:rPr>
      </w:pPr>
      <w:r w:rsidRPr="00802967">
        <w:rPr>
          <w:rFonts w:cs="Arial"/>
          <w:b/>
          <w:color w:val="0079C2"/>
        </w:rPr>
        <w:t>Communication</w:t>
      </w:r>
      <w:r w:rsidR="000E2564" w:rsidRPr="00802967">
        <w:rPr>
          <w:rFonts w:cs="Arial"/>
          <w:b/>
          <w:color w:val="0079C2"/>
        </w:rPr>
        <w:t>/</w:t>
      </w:r>
      <w:r w:rsidRPr="00802967">
        <w:rPr>
          <w:rFonts w:cs="Arial"/>
          <w:b/>
          <w:color w:val="0079C2"/>
        </w:rPr>
        <w:t>language barrier and discrimination</w:t>
      </w:r>
      <w:r w:rsidR="00F27E62" w:rsidRPr="00802967">
        <w:rPr>
          <w:rFonts w:cs="Arial"/>
          <w:b/>
          <w:color w:val="0079C2"/>
        </w:rPr>
        <w:t>:</w:t>
      </w:r>
      <w:r w:rsidR="00F27E62" w:rsidRPr="005C48E3">
        <w:rPr>
          <w:rFonts w:cs="Arial"/>
          <w:b/>
        </w:rPr>
        <w:t xml:space="preserve"> </w:t>
      </w:r>
      <w:r w:rsidR="00772BD3" w:rsidRPr="00E472EB">
        <w:rPr>
          <w:rFonts w:cs="Arial"/>
        </w:rPr>
        <w:t>P</w:t>
      </w:r>
      <w:r w:rsidR="004C66BA" w:rsidRPr="00E472EB">
        <w:rPr>
          <w:rFonts w:cs="Arial"/>
        </w:rPr>
        <w:t xml:space="preserve">arents felt they were 'talked down to' </w:t>
      </w:r>
      <w:r w:rsidR="00772BD3" w:rsidRPr="00E472EB">
        <w:rPr>
          <w:rFonts w:cs="Arial"/>
        </w:rPr>
        <w:t xml:space="preserve">due to their lack of fluency in English, </w:t>
      </w:r>
      <w:r w:rsidR="004C66BA" w:rsidRPr="00E472EB">
        <w:rPr>
          <w:rFonts w:cs="Arial"/>
        </w:rPr>
        <w:t xml:space="preserve">or </w:t>
      </w:r>
      <w:r w:rsidR="00F71243">
        <w:rPr>
          <w:rFonts w:cs="Arial"/>
        </w:rPr>
        <w:t xml:space="preserve">unfamiliar </w:t>
      </w:r>
      <w:r w:rsidR="004C66BA" w:rsidRPr="00E472EB">
        <w:rPr>
          <w:rFonts w:cs="Arial"/>
        </w:rPr>
        <w:t>jargon used.</w:t>
      </w:r>
      <w:r w:rsidR="00B51337">
        <w:rPr>
          <w:rStyle w:val="EndnoteReference"/>
          <w:rFonts w:cs="Arial"/>
          <w:szCs w:val="24"/>
        </w:rPr>
        <w:endnoteReference w:id="107"/>
      </w:r>
      <w:r w:rsidR="004C66BA" w:rsidRPr="00734615">
        <w:rPr>
          <w:rFonts w:cs="Arial"/>
          <w:vertAlign w:val="superscript"/>
        </w:rPr>
        <w:t>,</w:t>
      </w:r>
      <w:r w:rsidR="00325E7D">
        <w:rPr>
          <w:rStyle w:val="EndnoteReference"/>
          <w:rFonts w:cs="Arial"/>
          <w:szCs w:val="24"/>
        </w:rPr>
        <w:endnoteReference w:id="108"/>
      </w:r>
      <w:r w:rsidR="00325E7D" w:rsidRPr="004F4B96">
        <w:rPr>
          <w:rFonts w:cs="Arial"/>
          <w:szCs w:val="24"/>
          <w:vertAlign w:val="superscript"/>
        </w:rPr>
        <w:t>,</w:t>
      </w:r>
      <w:r w:rsidR="00325E7D">
        <w:rPr>
          <w:rStyle w:val="EndnoteReference"/>
          <w:rFonts w:cs="Arial"/>
          <w:szCs w:val="24"/>
        </w:rPr>
        <w:endnoteReference w:id="109"/>
      </w:r>
      <w:r w:rsidR="004C66BA" w:rsidRPr="00734615">
        <w:rPr>
          <w:rFonts w:cs="Arial"/>
          <w:vertAlign w:val="superscript"/>
        </w:rPr>
        <w:t>,</w:t>
      </w:r>
      <w:r w:rsidR="00330A49">
        <w:rPr>
          <w:rStyle w:val="EndnoteReference"/>
          <w:rFonts w:cs="Arial"/>
          <w:szCs w:val="24"/>
        </w:rPr>
        <w:endnoteReference w:id="110"/>
      </w:r>
    </w:p>
    <w:p w14:paraId="0CBCE198" w14:textId="656755E2" w:rsidR="00FA7D28" w:rsidRPr="00802967" w:rsidRDefault="00AC31B7" w:rsidP="00D9246A">
      <w:pPr>
        <w:spacing w:line="240" w:lineRule="auto"/>
        <w:rPr>
          <w:rFonts w:cs="Arial"/>
          <w:color w:val="A65588"/>
          <w:szCs w:val="24"/>
        </w:rPr>
      </w:pPr>
      <w:r w:rsidRPr="00802967">
        <w:rPr>
          <w:rFonts w:cs="Arial"/>
          <w:color w:val="A65588"/>
          <w:szCs w:val="24"/>
        </w:rPr>
        <w:t>“[the SENCO] had never heard me speak that way … something tells me that she didn’t even know that I was intelligent or educated … if I wasn’t half as articulate as I was, I would be buried under the avalanche of the no[s] and the rejections…” (parent)</w:t>
      </w:r>
      <w:r w:rsidR="0041617A">
        <w:rPr>
          <w:rStyle w:val="EndnoteReference"/>
          <w:rFonts w:cs="Arial"/>
          <w:szCs w:val="24"/>
        </w:rPr>
        <w:endnoteReference w:id="111"/>
      </w:r>
    </w:p>
    <w:p w14:paraId="15DDFE39" w14:textId="5C734DB8" w:rsidR="008F65C6" w:rsidRPr="005C48E3" w:rsidRDefault="008F65C6" w:rsidP="00D9246A">
      <w:pPr>
        <w:spacing w:line="240" w:lineRule="auto"/>
        <w:rPr>
          <w:rFonts w:cs="Arial"/>
        </w:rPr>
      </w:pPr>
      <w:r w:rsidRPr="00E472EB">
        <w:rPr>
          <w:rFonts w:cs="Arial"/>
        </w:rPr>
        <w:t>When a child is also deaf or hard of hearing (DHH) effective communication is even more important as the child may not know/understand their home language, making communication and therefore correctly assessing their needs, very difficult.</w:t>
      </w:r>
      <w:r w:rsidR="007067DF">
        <w:rPr>
          <w:rStyle w:val="EndnoteReference"/>
          <w:rFonts w:cs="Arial"/>
          <w:szCs w:val="24"/>
        </w:rPr>
        <w:endnoteReference w:id="112"/>
      </w:r>
      <w:r w:rsidRPr="00A50D30">
        <w:rPr>
          <w:rFonts w:cs="Arial"/>
          <w:vertAlign w:val="superscript"/>
        </w:rPr>
        <w:t>,</w:t>
      </w:r>
      <w:bookmarkStart w:id="212" w:name="_Ref196920574"/>
      <w:r w:rsidRPr="00E472EB">
        <w:rPr>
          <w:rStyle w:val="EndnoteReference"/>
          <w:rFonts w:cs="Arial"/>
        </w:rPr>
        <w:endnoteReference w:id="113"/>
      </w:r>
      <w:bookmarkEnd w:id="212"/>
    </w:p>
    <w:p w14:paraId="54E6E3E0" w14:textId="496641B6" w:rsidR="00E053D6" w:rsidRPr="00E472EB" w:rsidRDefault="00D20D41" w:rsidP="00E472EB">
      <w:pPr>
        <w:pStyle w:val="Heading4"/>
        <w:rPr>
          <w:rFonts w:cs="Arial"/>
        </w:rPr>
      </w:pPr>
      <w:r w:rsidRPr="00E472EB">
        <w:t>Attitude and perception</w:t>
      </w:r>
    </w:p>
    <w:p w14:paraId="67163739" w14:textId="0BF9C270" w:rsidR="009E6801" w:rsidRPr="00E472EB" w:rsidRDefault="009E6801" w:rsidP="00D9246A">
      <w:pPr>
        <w:spacing w:line="240" w:lineRule="auto"/>
        <w:rPr>
          <w:rFonts w:cs="Arial"/>
        </w:rPr>
      </w:pPr>
      <w:r w:rsidRPr="00E472EB">
        <w:rPr>
          <w:rFonts w:cs="Arial"/>
        </w:rPr>
        <w:t>This theme explore</w:t>
      </w:r>
      <w:r w:rsidR="005D2B15">
        <w:rPr>
          <w:rFonts w:cs="Arial"/>
        </w:rPr>
        <w:t>d</w:t>
      </w:r>
      <w:r w:rsidRPr="00E472EB">
        <w:rPr>
          <w:rFonts w:cs="Arial"/>
        </w:rPr>
        <w:t xml:space="preserve"> the attitudes and perceptions toward SEND and ethnic diversity.</w:t>
      </w:r>
    </w:p>
    <w:p w14:paraId="33D47B00" w14:textId="336AA41D" w:rsidR="00F50A2E" w:rsidRPr="00E472EB" w:rsidRDefault="008C008B" w:rsidP="00D9246A">
      <w:pPr>
        <w:spacing w:line="240" w:lineRule="auto"/>
        <w:rPr>
          <w:rFonts w:cs="Arial"/>
        </w:rPr>
      </w:pPr>
      <w:r w:rsidRPr="00802967">
        <w:rPr>
          <w:rFonts w:cs="Arial"/>
          <w:b/>
          <w:color w:val="0079C2"/>
          <w:szCs w:val="24"/>
        </w:rPr>
        <w:t>Cultural stigmas</w:t>
      </w:r>
      <w:r w:rsidR="00F27E62" w:rsidRPr="00802967">
        <w:rPr>
          <w:rFonts w:cs="Arial"/>
          <w:b/>
          <w:color w:val="0079C2"/>
          <w:szCs w:val="24"/>
        </w:rPr>
        <w:t xml:space="preserve">: </w:t>
      </w:r>
      <w:r w:rsidR="003543B2" w:rsidRPr="005C48E3">
        <w:rPr>
          <w:rFonts w:cs="Arial"/>
          <w:szCs w:val="24"/>
        </w:rPr>
        <w:t xml:space="preserve">Studies reported that </w:t>
      </w:r>
      <w:r w:rsidR="00A0313C">
        <w:rPr>
          <w:rFonts w:cs="Arial"/>
          <w:szCs w:val="24"/>
        </w:rPr>
        <w:t>Black and racially minoritised</w:t>
      </w:r>
      <w:r w:rsidR="00F50A2E" w:rsidRPr="00E472EB">
        <w:rPr>
          <w:rFonts w:cs="Arial"/>
          <w:szCs w:val="24"/>
        </w:rPr>
        <w:t xml:space="preserve"> communities </w:t>
      </w:r>
      <w:r w:rsidR="0042439E" w:rsidRPr="005C48E3">
        <w:rPr>
          <w:rFonts w:cs="Arial"/>
          <w:szCs w:val="24"/>
        </w:rPr>
        <w:t xml:space="preserve">may </w:t>
      </w:r>
      <w:r w:rsidR="00F50A2E" w:rsidRPr="00E472EB">
        <w:rPr>
          <w:rFonts w:cs="Arial"/>
          <w:szCs w:val="24"/>
        </w:rPr>
        <w:t>harbour cultural stigmas around SEND diagnoses, creating barriers to seeking help or engaging with services.</w:t>
      </w:r>
      <w:r w:rsidR="00353ABB">
        <w:rPr>
          <w:rStyle w:val="EndnoteReference"/>
          <w:rFonts w:cs="Arial"/>
          <w:szCs w:val="24"/>
        </w:rPr>
        <w:endnoteReference w:id="114"/>
      </w:r>
      <w:r w:rsidR="00353ABB" w:rsidRPr="00A94AB9">
        <w:rPr>
          <w:rFonts w:cs="Arial"/>
          <w:szCs w:val="24"/>
          <w:vertAlign w:val="superscript"/>
        </w:rPr>
        <w:t>,</w:t>
      </w:r>
      <w:r w:rsidR="00353ABB">
        <w:rPr>
          <w:rStyle w:val="EndnoteReference"/>
          <w:rFonts w:cs="Arial"/>
          <w:szCs w:val="24"/>
        </w:rPr>
        <w:endnoteReference w:id="115"/>
      </w:r>
      <w:r w:rsidR="00F50A2E" w:rsidRPr="00014762">
        <w:rPr>
          <w:rFonts w:cs="Arial"/>
          <w:szCs w:val="24"/>
          <w:vertAlign w:val="superscript"/>
        </w:rPr>
        <w:t>,</w:t>
      </w:r>
      <w:r w:rsidR="00534896">
        <w:rPr>
          <w:rStyle w:val="EndnoteReference"/>
          <w:rFonts w:cs="Arial"/>
          <w:szCs w:val="24"/>
        </w:rPr>
        <w:endnoteReference w:id="116"/>
      </w:r>
      <w:r w:rsidR="00534896" w:rsidRPr="00A94AB9">
        <w:rPr>
          <w:rFonts w:cs="Arial"/>
          <w:szCs w:val="24"/>
          <w:vertAlign w:val="superscript"/>
        </w:rPr>
        <w:t>,</w:t>
      </w:r>
      <w:r w:rsidR="00534896">
        <w:rPr>
          <w:rStyle w:val="EndnoteReference"/>
          <w:rFonts w:cs="Arial"/>
          <w:szCs w:val="24"/>
        </w:rPr>
        <w:endnoteReference w:id="117"/>
      </w:r>
      <w:r w:rsidR="00F50A2E" w:rsidRPr="00014762">
        <w:rPr>
          <w:rFonts w:cs="Arial"/>
          <w:szCs w:val="24"/>
          <w:vertAlign w:val="superscript"/>
        </w:rPr>
        <w:t>,</w:t>
      </w:r>
      <w:r w:rsidR="00EF4D7E">
        <w:rPr>
          <w:rStyle w:val="EndnoteReference"/>
          <w:rFonts w:cs="Arial"/>
          <w:szCs w:val="24"/>
        </w:rPr>
        <w:endnoteReference w:id="118"/>
      </w:r>
      <w:r w:rsidR="00F50A2E" w:rsidRPr="00014762">
        <w:rPr>
          <w:rFonts w:cs="Arial"/>
          <w:szCs w:val="24"/>
          <w:vertAlign w:val="superscript"/>
        </w:rPr>
        <w:t>,</w:t>
      </w:r>
      <w:r w:rsidR="00A94AB9" w:rsidRPr="00A0313C">
        <w:rPr>
          <w:rStyle w:val="EndnoteReference"/>
          <w:rFonts w:cs="Arial"/>
        </w:rPr>
        <w:endnoteReference w:id="119"/>
      </w:r>
    </w:p>
    <w:p w14:paraId="3210CB27" w14:textId="42E96DE8" w:rsidR="00A50275" w:rsidRPr="00802967" w:rsidRDefault="00064BBE" w:rsidP="00D9246A">
      <w:pPr>
        <w:spacing w:line="240" w:lineRule="auto"/>
        <w:rPr>
          <w:rFonts w:cs="Arial"/>
          <w:color w:val="A65588"/>
          <w:szCs w:val="24"/>
        </w:rPr>
      </w:pPr>
      <w:r w:rsidRPr="00802967">
        <w:rPr>
          <w:rFonts w:cs="Arial"/>
          <w:color w:val="A65588"/>
          <w:szCs w:val="24"/>
        </w:rPr>
        <w:t>“</w:t>
      </w:r>
      <w:r w:rsidR="00A50275" w:rsidRPr="00802967">
        <w:rPr>
          <w:rFonts w:cs="Arial"/>
          <w:color w:val="A65588"/>
          <w:szCs w:val="24"/>
        </w:rPr>
        <w:t>Oh, my god, (deep breath) that was very difficult … Yes! … when I came to the UK, I thought my son will be going to Oxford University, not to a special school. That was very difficult to tell people</w:t>
      </w:r>
      <w:r w:rsidRPr="00802967">
        <w:rPr>
          <w:rFonts w:cs="Arial"/>
          <w:color w:val="A65588"/>
          <w:szCs w:val="24"/>
        </w:rPr>
        <w:t>”</w:t>
      </w:r>
      <w:r w:rsidR="00684CEC">
        <w:rPr>
          <w:rFonts w:cs="Arial"/>
          <w:color w:val="A65588"/>
          <w:szCs w:val="24"/>
        </w:rPr>
        <w:t>.</w:t>
      </w:r>
      <w:r w:rsidR="00A50275" w:rsidRPr="00802967">
        <w:rPr>
          <w:rFonts w:cs="Arial"/>
          <w:color w:val="A65588"/>
          <w:szCs w:val="24"/>
        </w:rPr>
        <w:t xml:space="preserve"> (parent</w:t>
      </w:r>
      <w:r w:rsidR="00A50275" w:rsidRPr="00F4767A">
        <w:rPr>
          <w:rFonts w:cs="Arial"/>
          <w:color w:val="A65588"/>
          <w:szCs w:val="24"/>
        </w:rPr>
        <w:t>)</w:t>
      </w:r>
      <w:r w:rsidR="00F269F0">
        <w:rPr>
          <w:rStyle w:val="EndnoteReference"/>
          <w:rFonts w:cs="Arial"/>
          <w:szCs w:val="24"/>
        </w:rPr>
        <w:endnoteReference w:id="120"/>
      </w:r>
    </w:p>
    <w:p w14:paraId="3B2041CC" w14:textId="2C19F4E9" w:rsidR="008C008B" w:rsidRPr="00E472EB" w:rsidRDefault="008C008B" w:rsidP="00D9246A">
      <w:pPr>
        <w:spacing w:line="240" w:lineRule="auto"/>
        <w:rPr>
          <w:rFonts w:cs="Arial"/>
        </w:rPr>
      </w:pPr>
      <w:r w:rsidRPr="00802967">
        <w:rPr>
          <w:rFonts w:cs="Arial"/>
          <w:b/>
          <w:color w:val="0079C2"/>
          <w:szCs w:val="24"/>
        </w:rPr>
        <w:t>Teacher bias and assumptions</w:t>
      </w:r>
      <w:r w:rsidR="00F27E62" w:rsidRPr="00802967">
        <w:rPr>
          <w:rFonts w:cs="Arial"/>
          <w:b/>
          <w:color w:val="0079C2"/>
          <w:szCs w:val="24"/>
        </w:rPr>
        <w:t xml:space="preserve">: </w:t>
      </w:r>
      <w:r w:rsidRPr="00E472EB">
        <w:rPr>
          <w:rFonts w:cs="Arial"/>
          <w:szCs w:val="24"/>
        </w:rPr>
        <w:t xml:space="preserve">Educators may unconsciously or consciously hold biases that affect their interactions with </w:t>
      </w:r>
      <w:r w:rsidR="00A642B5">
        <w:rPr>
          <w:rFonts w:cs="Arial"/>
          <w:szCs w:val="24"/>
        </w:rPr>
        <w:t xml:space="preserve">Black and </w:t>
      </w:r>
      <w:r w:rsidR="00C65E62">
        <w:rPr>
          <w:rFonts w:cs="Arial"/>
          <w:szCs w:val="24"/>
        </w:rPr>
        <w:t>R</w:t>
      </w:r>
      <w:r w:rsidR="00A642B5">
        <w:rPr>
          <w:rFonts w:cs="Arial"/>
          <w:szCs w:val="24"/>
        </w:rPr>
        <w:t>a</w:t>
      </w:r>
      <w:r w:rsidR="00335109">
        <w:rPr>
          <w:rFonts w:cs="Arial"/>
          <w:szCs w:val="24"/>
        </w:rPr>
        <w:t>ciall</w:t>
      </w:r>
      <w:r w:rsidR="00A642B5">
        <w:rPr>
          <w:rFonts w:cs="Arial"/>
          <w:szCs w:val="24"/>
        </w:rPr>
        <w:t xml:space="preserve">y </w:t>
      </w:r>
      <w:r w:rsidR="00C65E62">
        <w:rPr>
          <w:rFonts w:cs="Arial"/>
          <w:szCs w:val="24"/>
        </w:rPr>
        <w:t>Mi</w:t>
      </w:r>
      <w:r w:rsidR="00A642B5">
        <w:rPr>
          <w:rFonts w:cs="Arial"/>
          <w:szCs w:val="24"/>
        </w:rPr>
        <w:t>noritised</w:t>
      </w:r>
      <w:r w:rsidRPr="00E472EB">
        <w:rPr>
          <w:rFonts w:cs="Arial"/>
          <w:szCs w:val="24"/>
        </w:rPr>
        <w:t xml:space="preserve"> pupils, such as underestimating their abilities or misinterpreting behaviours.</w:t>
      </w:r>
      <w:r w:rsidR="00596D01">
        <w:rPr>
          <w:rStyle w:val="EndnoteReference"/>
          <w:rFonts w:cs="Arial"/>
          <w:szCs w:val="24"/>
        </w:rPr>
        <w:endnoteReference w:id="121"/>
      </w:r>
      <w:r w:rsidR="00596D01" w:rsidRPr="00596D01">
        <w:rPr>
          <w:rFonts w:cs="Arial"/>
          <w:szCs w:val="24"/>
          <w:vertAlign w:val="superscript"/>
        </w:rPr>
        <w:t>,</w:t>
      </w:r>
      <w:r w:rsidR="00596D01">
        <w:rPr>
          <w:rStyle w:val="EndnoteReference"/>
          <w:rFonts w:cs="Arial"/>
          <w:szCs w:val="24"/>
        </w:rPr>
        <w:endnoteReference w:id="122"/>
      </w:r>
      <w:r w:rsidR="00596D01" w:rsidRPr="00596D01">
        <w:rPr>
          <w:rFonts w:cs="Arial"/>
          <w:szCs w:val="24"/>
          <w:vertAlign w:val="superscript"/>
        </w:rPr>
        <w:t>,</w:t>
      </w:r>
      <w:r w:rsidR="00596D01">
        <w:rPr>
          <w:rStyle w:val="EndnoteReference"/>
          <w:rFonts w:cs="Arial"/>
          <w:szCs w:val="24"/>
        </w:rPr>
        <w:endnoteReference w:id="123"/>
      </w:r>
      <w:r w:rsidRPr="00014762">
        <w:rPr>
          <w:rFonts w:cs="Arial"/>
          <w:szCs w:val="24"/>
          <w:vertAlign w:val="superscript"/>
        </w:rPr>
        <w:t>,</w:t>
      </w:r>
      <w:r w:rsidR="001E743A">
        <w:rPr>
          <w:rStyle w:val="EndnoteReference"/>
          <w:rFonts w:cs="Arial"/>
          <w:szCs w:val="24"/>
        </w:rPr>
        <w:endnoteReference w:id="124"/>
      </w:r>
      <w:r w:rsidRPr="00014762">
        <w:rPr>
          <w:rFonts w:cs="Arial"/>
          <w:szCs w:val="24"/>
          <w:vertAlign w:val="superscript"/>
        </w:rPr>
        <w:t>,</w:t>
      </w:r>
      <w:r w:rsidR="00F5756A" w:rsidRPr="00A0313C">
        <w:rPr>
          <w:rStyle w:val="EndnoteReference"/>
          <w:rFonts w:cs="Arial"/>
        </w:rPr>
        <w:endnoteReference w:id="125"/>
      </w:r>
      <w:r w:rsidR="00F5756A">
        <w:rPr>
          <w:rFonts w:cs="Arial"/>
          <w:szCs w:val="24"/>
          <w:vertAlign w:val="superscript"/>
        </w:rPr>
        <w:t xml:space="preserve"> </w:t>
      </w:r>
      <w:r w:rsidR="003319F9" w:rsidRPr="005C48E3">
        <w:rPr>
          <w:rFonts w:cs="Arial"/>
          <w:szCs w:val="24"/>
        </w:rPr>
        <w:t>Boys, especially those from Black or mixed ethnic backgrounds, were consistently highlighted as worst affected by</w:t>
      </w:r>
      <w:r w:rsidR="003319F9" w:rsidRPr="00E472EB">
        <w:rPr>
          <w:rFonts w:cs="Arial"/>
          <w:szCs w:val="24"/>
        </w:rPr>
        <w:t xml:space="preserve"> low expectation</w:t>
      </w:r>
      <w:r w:rsidR="003319F9" w:rsidRPr="005C48E3">
        <w:rPr>
          <w:rFonts w:cs="Arial"/>
          <w:szCs w:val="24"/>
        </w:rPr>
        <w:t>s from teachers and professionals.</w:t>
      </w:r>
      <w:r w:rsidR="00607620" w:rsidRPr="000E3120">
        <w:rPr>
          <w:rStyle w:val="EndnoteReference"/>
          <w:rFonts w:cs="Arial"/>
          <w:szCs w:val="24"/>
        </w:rPr>
        <w:endnoteReference w:id="126"/>
      </w:r>
      <w:r w:rsidR="002E3057" w:rsidRPr="00A15773">
        <w:rPr>
          <w:rFonts w:cs="Arial"/>
          <w:szCs w:val="24"/>
          <w:vertAlign w:val="superscript"/>
        </w:rPr>
        <w:t>,</w:t>
      </w:r>
      <w:r w:rsidR="00A15773" w:rsidRPr="00A15773">
        <w:rPr>
          <w:rStyle w:val="EndnoteReference"/>
          <w:rFonts w:cs="Arial"/>
        </w:rPr>
        <w:endnoteReference w:id="127"/>
      </w:r>
    </w:p>
    <w:p w14:paraId="21C10C40" w14:textId="6DF53F5B" w:rsidR="001679BB" w:rsidRPr="00802967" w:rsidRDefault="001679BB" w:rsidP="00D9246A">
      <w:pPr>
        <w:spacing w:line="240" w:lineRule="auto"/>
        <w:rPr>
          <w:rFonts w:cs="Arial"/>
          <w:color w:val="A65588"/>
          <w:szCs w:val="24"/>
        </w:rPr>
      </w:pPr>
      <w:r w:rsidRPr="00802967">
        <w:rPr>
          <w:rFonts w:cs="Arial"/>
          <w:color w:val="A65588"/>
          <w:szCs w:val="24"/>
        </w:rPr>
        <w:lastRenderedPageBreak/>
        <w:t>“Alongside low expectations, I’ve heard young Black boys say ‘…Our teacher has no expectation for us to do well in our life.” (</w:t>
      </w:r>
      <w:r w:rsidR="001E2EDB">
        <w:rPr>
          <w:rFonts w:cs="Arial"/>
          <w:color w:val="A65588"/>
          <w:szCs w:val="24"/>
        </w:rPr>
        <w:t>m</w:t>
      </w:r>
      <w:r w:rsidRPr="00802967">
        <w:rPr>
          <w:rFonts w:cs="Arial"/>
          <w:color w:val="A65588"/>
          <w:szCs w:val="24"/>
        </w:rPr>
        <w:t>entor)</w:t>
      </w:r>
      <w:r w:rsidR="00A05078">
        <w:rPr>
          <w:rStyle w:val="EndnoteReference"/>
          <w:rFonts w:cs="Arial"/>
          <w:szCs w:val="24"/>
        </w:rPr>
        <w:endnoteReference w:id="128"/>
      </w:r>
    </w:p>
    <w:p w14:paraId="224BC705" w14:textId="7162739A" w:rsidR="009971AD" w:rsidRPr="00E472EB" w:rsidRDefault="009971AD" w:rsidP="00D9246A">
      <w:pPr>
        <w:spacing w:line="240" w:lineRule="auto"/>
        <w:rPr>
          <w:rFonts w:cs="Arial"/>
        </w:rPr>
      </w:pPr>
      <w:r w:rsidRPr="00802967">
        <w:rPr>
          <w:rFonts w:cs="Arial"/>
          <w:b/>
          <w:color w:val="0079C2"/>
        </w:rPr>
        <w:t>Disciplinary actions</w:t>
      </w:r>
      <w:r w:rsidR="0022509A" w:rsidRPr="00802967">
        <w:rPr>
          <w:rFonts w:cs="Arial"/>
          <w:b/>
          <w:color w:val="0079C2"/>
        </w:rPr>
        <w:t xml:space="preserve"> and </w:t>
      </w:r>
      <w:r w:rsidR="00CF17F6" w:rsidRPr="00802967">
        <w:rPr>
          <w:rFonts w:cs="Arial"/>
          <w:b/>
          <w:color w:val="0079C2"/>
        </w:rPr>
        <w:t>racial discrimination</w:t>
      </w:r>
      <w:r w:rsidR="00F27E62" w:rsidRPr="00802967">
        <w:rPr>
          <w:rFonts w:cs="Arial"/>
          <w:color w:val="0079C2"/>
        </w:rPr>
        <w:t xml:space="preserve">: </w:t>
      </w:r>
      <w:r w:rsidR="00B81723">
        <w:rPr>
          <w:rFonts w:cs="Arial"/>
          <w:szCs w:val="24"/>
        </w:rPr>
        <w:t>Black and racially minoritised</w:t>
      </w:r>
      <w:r w:rsidRPr="00E472EB">
        <w:rPr>
          <w:rFonts w:cs="Arial"/>
          <w:szCs w:val="24"/>
        </w:rPr>
        <w:t xml:space="preserve"> </w:t>
      </w:r>
      <w:r w:rsidRPr="00E472EB">
        <w:rPr>
          <w:rFonts w:cs="Arial"/>
        </w:rPr>
        <w:t>pupils and SEND pupils</w:t>
      </w:r>
      <w:r w:rsidR="003A7896" w:rsidRPr="005C48E3">
        <w:rPr>
          <w:rFonts w:cs="Arial"/>
        </w:rPr>
        <w:t xml:space="preserve">, </w:t>
      </w:r>
      <w:r w:rsidRPr="00E472EB">
        <w:rPr>
          <w:rFonts w:cs="Arial"/>
        </w:rPr>
        <w:t>especially boys</w:t>
      </w:r>
      <w:r w:rsidR="007008E9" w:rsidRPr="005C48E3">
        <w:rPr>
          <w:rFonts w:cs="Arial"/>
        </w:rPr>
        <w:t>,</w:t>
      </w:r>
      <w:r w:rsidRPr="00E472EB">
        <w:rPr>
          <w:rFonts w:cs="Arial"/>
        </w:rPr>
        <w:t xml:space="preserve"> are disproportionately subjected to disciplinary measures, often </w:t>
      </w:r>
      <w:r w:rsidR="00A560BD" w:rsidRPr="00E472EB">
        <w:rPr>
          <w:rFonts w:cs="Arial"/>
        </w:rPr>
        <w:t>stem</w:t>
      </w:r>
      <w:r w:rsidR="00A560BD">
        <w:rPr>
          <w:rFonts w:cs="Arial"/>
        </w:rPr>
        <w:t>ming</w:t>
      </w:r>
      <w:r w:rsidRPr="00E472EB">
        <w:rPr>
          <w:rFonts w:cs="Arial"/>
        </w:rPr>
        <w:t xml:space="preserve"> from misinterpreting behaviour as defiance or ‘disruptive behaviour’ rather than as an expression of their needs or </w:t>
      </w:r>
      <w:r w:rsidR="00593F06" w:rsidRPr="00E472EB">
        <w:rPr>
          <w:rFonts w:cs="Arial"/>
        </w:rPr>
        <w:t>considering</w:t>
      </w:r>
      <w:r w:rsidRPr="00E472EB">
        <w:rPr>
          <w:rFonts w:cs="Arial"/>
        </w:rPr>
        <w:t xml:space="preserve"> pupils' experiences. This contributes to exclusion and alienation</w:t>
      </w:r>
      <w:r w:rsidR="00A560BD">
        <w:rPr>
          <w:rFonts w:cs="Arial"/>
        </w:rPr>
        <w:t>,</w:t>
      </w:r>
      <w:r w:rsidR="006C43AB">
        <w:rPr>
          <w:rStyle w:val="EndnoteReference"/>
          <w:rFonts w:cs="Arial"/>
          <w:szCs w:val="24"/>
        </w:rPr>
        <w:endnoteReference w:id="129"/>
      </w:r>
      <w:r w:rsidR="006C43AB" w:rsidRPr="009F53EA">
        <w:rPr>
          <w:rFonts w:cs="Arial"/>
          <w:szCs w:val="24"/>
          <w:vertAlign w:val="superscript"/>
        </w:rPr>
        <w:t>,</w:t>
      </w:r>
      <w:r w:rsidR="006C43AB">
        <w:rPr>
          <w:rStyle w:val="EndnoteReference"/>
          <w:rFonts w:cs="Arial"/>
          <w:szCs w:val="24"/>
        </w:rPr>
        <w:endnoteReference w:id="130"/>
      </w:r>
      <w:r w:rsidR="006C43AB" w:rsidRPr="009F53EA">
        <w:rPr>
          <w:rFonts w:cs="Arial"/>
          <w:szCs w:val="24"/>
          <w:vertAlign w:val="superscript"/>
        </w:rPr>
        <w:t>,</w:t>
      </w:r>
      <w:r w:rsidR="006C43AB">
        <w:rPr>
          <w:rStyle w:val="EndnoteReference"/>
          <w:rFonts w:cs="Arial"/>
          <w:szCs w:val="24"/>
        </w:rPr>
        <w:endnoteReference w:id="131"/>
      </w:r>
      <w:r w:rsidRPr="00A560BD">
        <w:rPr>
          <w:rFonts w:cs="Arial"/>
          <w:vertAlign w:val="superscript"/>
        </w:rPr>
        <w:t>,</w:t>
      </w:r>
      <w:r w:rsidR="00C476B3">
        <w:rPr>
          <w:rStyle w:val="EndnoteReference"/>
          <w:rFonts w:cs="Arial"/>
          <w:szCs w:val="24"/>
        </w:rPr>
        <w:endnoteReference w:id="132"/>
      </w:r>
      <w:r w:rsidRPr="00A560BD">
        <w:rPr>
          <w:rFonts w:cs="Arial"/>
          <w:vertAlign w:val="superscript"/>
        </w:rPr>
        <w:t>,</w:t>
      </w:r>
      <w:r w:rsidR="009F53EA">
        <w:rPr>
          <w:rStyle w:val="EndnoteReference"/>
          <w:rFonts w:asciiTheme="minorHAnsi" w:hAnsiTheme="minorHAnsi" w:cs="Arial"/>
        </w:rPr>
        <w:endnoteReference w:id="133"/>
      </w:r>
      <w:r w:rsidRPr="00A560BD">
        <w:rPr>
          <w:rFonts w:cs="Arial"/>
          <w:vertAlign w:val="superscript"/>
        </w:rPr>
        <w:t>,</w:t>
      </w:r>
      <w:r w:rsidR="006C43AB" w:rsidRPr="006C43AB">
        <w:rPr>
          <w:rStyle w:val="EndnoteReference"/>
          <w:rFonts w:asciiTheme="minorHAnsi" w:hAnsiTheme="minorHAnsi" w:cs="Arial"/>
        </w:rPr>
        <w:t xml:space="preserve"> </w:t>
      </w:r>
      <w:r w:rsidR="006C43AB">
        <w:rPr>
          <w:rStyle w:val="EndnoteReference"/>
          <w:rFonts w:asciiTheme="minorHAnsi" w:hAnsiTheme="minorHAnsi" w:cs="Arial"/>
        </w:rPr>
        <w:endnoteReference w:id="134"/>
      </w:r>
      <w:r w:rsidR="006C43AB">
        <w:rPr>
          <w:rFonts w:cs="Arial"/>
          <w:szCs w:val="24"/>
          <w:vertAlign w:val="superscript"/>
        </w:rPr>
        <w:t xml:space="preserve"> </w:t>
      </w:r>
      <w:r w:rsidR="00A560BD">
        <w:rPr>
          <w:rFonts w:cs="Arial"/>
        </w:rPr>
        <w:t>and being</w:t>
      </w:r>
      <w:r w:rsidR="00E90077" w:rsidRPr="00654EFA">
        <w:rPr>
          <w:rFonts w:cs="Arial"/>
        </w:rPr>
        <w:t xml:space="preserve"> more likely to be labelled as having behavioural issues </w:t>
      </w:r>
      <w:r w:rsidR="008E4C18">
        <w:rPr>
          <w:rFonts w:cs="Arial"/>
        </w:rPr>
        <w:t>instead of</w:t>
      </w:r>
      <w:r w:rsidR="00E90077" w:rsidRPr="00654EFA">
        <w:rPr>
          <w:rFonts w:cs="Arial"/>
        </w:rPr>
        <w:t xml:space="preserve"> assessed appropriately</w:t>
      </w:r>
      <w:r w:rsidR="004C1141">
        <w:rPr>
          <w:rFonts w:cs="Arial"/>
        </w:rPr>
        <w:t>,</w:t>
      </w:r>
      <w:r w:rsidR="00E90077" w:rsidRPr="00654EFA">
        <w:rPr>
          <w:rFonts w:cs="Arial"/>
        </w:rPr>
        <w:t xml:space="preserve"> leading to misdiagnosis. </w:t>
      </w:r>
      <w:r w:rsidR="00AE2C43">
        <w:rPr>
          <w:rFonts w:cs="Arial"/>
        </w:rPr>
        <w:t>P</w:t>
      </w:r>
      <w:r w:rsidR="00E90077" w:rsidRPr="00E472EB">
        <w:rPr>
          <w:rFonts w:cs="Arial"/>
        </w:rPr>
        <w:t>arents reported that their children face racism without adequate support from schools.</w:t>
      </w:r>
      <w:r w:rsidR="002D334B" w:rsidRPr="002D334B">
        <w:rPr>
          <w:rStyle w:val="EndnoteReference"/>
          <w:rFonts w:cs="Arial"/>
        </w:rPr>
        <w:endnoteReference w:id="135"/>
      </w:r>
    </w:p>
    <w:p w14:paraId="61E68801" w14:textId="1246E4EB" w:rsidR="00E106F6" w:rsidRPr="00802967" w:rsidRDefault="00E106F6" w:rsidP="00D9246A">
      <w:pPr>
        <w:spacing w:line="240" w:lineRule="auto"/>
        <w:rPr>
          <w:rFonts w:cs="Arial"/>
          <w:color w:val="A65588"/>
          <w:szCs w:val="24"/>
        </w:rPr>
      </w:pPr>
      <w:r w:rsidRPr="00802967">
        <w:rPr>
          <w:rFonts w:cs="Arial"/>
          <w:color w:val="A65588"/>
          <w:szCs w:val="24"/>
        </w:rPr>
        <w:t xml:space="preserve">“There are limited places to complain about racial discrimination or paths to follow it up seriously. Black &amp; brown children are more likely to be categorised as SEMH, rather than ASD if they do receive a diagnosis, or ADHD, which then opens the door to medication as an option </w:t>
      </w:r>
      <w:r w:rsidR="009774CC">
        <w:rPr>
          <w:rFonts w:cs="Arial"/>
          <w:color w:val="A65588"/>
          <w:szCs w:val="24"/>
        </w:rPr>
        <w:t>….</w:t>
      </w:r>
      <w:r w:rsidRPr="00802967">
        <w:rPr>
          <w:rFonts w:cs="Arial"/>
          <w:color w:val="A65588"/>
          <w:szCs w:val="24"/>
        </w:rPr>
        <w:t xml:space="preserve"> an autism diagnosis pushes more for a reasonable adjustment approach. This does not seem to be the more common approach for </w:t>
      </w:r>
      <w:r w:rsidR="00A81A1F">
        <w:rPr>
          <w:rFonts w:cs="Arial"/>
          <w:color w:val="A65588"/>
          <w:szCs w:val="24"/>
        </w:rPr>
        <w:t>B</w:t>
      </w:r>
      <w:r w:rsidRPr="00802967">
        <w:rPr>
          <w:rFonts w:cs="Arial"/>
          <w:color w:val="A65588"/>
          <w:szCs w:val="24"/>
        </w:rPr>
        <w:t>lack children in our experience.” (</w:t>
      </w:r>
      <w:r w:rsidR="009075F4">
        <w:rPr>
          <w:rFonts w:cs="Arial"/>
          <w:color w:val="A65588"/>
          <w:szCs w:val="24"/>
        </w:rPr>
        <w:t>p</w:t>
      </w:r>
      <w:r w:rsidRPr="00802967">
        <w:rPr>
          <w:rFonts w:cs="Arial"/>
          <w:color w:val="A65588"/>
          <w:szCs w:val="24"/>
        </w:rPr>
        <w:t>arent)</w:t>
      </w:r>
      <w:r w:rsidR="00716745" w:rsidRPr="00D8139A">
        <w:rPr>
          <w:rFonts w:asciiTheme="minorHAnsi" w:hAnsiTheme="minorHAnsi" w:cs="Arial"/>
        </w:rPr>
        <w:t xml:space="preserve"> </w:t>
      </w:r>
      <w:r w:rsidR="00716745" w:rsidRPr="009B6CDC">
        <w:rPr>
          <w:rStyle w:val="EndnoteReference"/>
          <w:rFonts w:cs="Arial"/>
        </w:rPr>
        <w:endnoteReference w:id="136"/>
      </w:r>
    </w:p>
    <w:p w14:paraId="0C033CBC" w14:textId="1C08BD8C" w:rsidR="00700A41" w:rsidRPr="005C48E3" w:rsidRDefault="00700A41" w:rsidP="00D9246A">
      <w:pPr>
        <w:spacing w:line="240" w:lineRule="auto"/>
        <w:rPr>
          <w:rFonts w:cs="Arial"/>
          <w:szCs w:val="24"/>
        </w:rPr>
      </w:pPr>
      <w:r w:rsidRPr="005C48E3">
        <w:rPr>
          <w:rFonts w:cs="Arial"/>
          <w:szCs w:val="24"/>
        </w:rPr>
        <w:t xml:space="preserve">Professionals noted the physical presence or assertiveness of Black boys was </w:t>
      </w:r>
      <w:r w:rsidR="00E235BC">
        <w:rPr>
          <w:rFonts w:cs="Arial"/>
          <w:szCs w:val="24"/>
        </w:rPr>
        <w:t>often</w:t>
      </w:r>
      <w:r w:rsidRPr="005C48E3">
        <w:rPr>
          <w:rFonts w:cs="Arial"/>
          <w:szCs w:val="24"/>
        </w:rPr>
        <w:t xml:space="preserve"> misread as threatening, contributing to punitive </w:t>
      </w:r>
      <w:r w:rsidR="00066D3B">
        <w:rPr>
          <w:rFonts w:cs="Arial"/>
          <w:szCs w:val="24"/>
        </w:rPr>
        <w:t xml:space="preserve">rather than supportive </w:t>
      </w:r>
      <w:r w:rsidRPr="005C48E3">
        <w:rPr>
          <w:rFonts w:cs="Arial"/>
          <w:szCs w:val="24"/>
        </w:rPr>
        <w:t>responses.</w:t>
      </w:r>
      <w:r w:rsidRPr="005C48E3">
        <w:rPr>
          <w:rStyle w:val="EndnoteReference"/>
          <w:rFonts w:cs="Arial"/>
          <w:szCs w:val="24"/>
        </w:rPr>
        <w:endnoteReference w:id="137"/>
      </w:r>
    </w:p>
    <w:p w14:paraId="379758DA" w14:textId="4B7D9FD0" w:rsidR="009206C8" w:rsidRPr="005C48E3" w:rsidRDefault="009206C8" w:rsidP="00D9246A">
      <w:pPr>
        <w:spacing w:line="240" w:lineRule="auto"/>
        <w:rPr>
          <w:rFonts w:cs="Arial"/>
        </w:rPr>
      </w:pPr>
      <w:r w:rsidRPr="00802967">
        <w:rPr>
          <w:rFonts w:cs="Arial"/>
          <w:b/>
          <w:color w:val="0079C2"/>
        </w:rPr>
        <w:t>Parental perceptions:</w:t>
      </w:r>
      <w:r w:rsidRPr="00802967">
        <w:rPr>
          <w:rFonts w:cs="Arial"/>
          <w:color w:val="0079C2"/>
        </w:rPr>
        <w:t xml:space="preserve"> </w:t>
      </w:r>
      <w:r w:rsidRPr="00E472EB">
        <w:rPr>
          <w:rFonts w:cs="Arial"/>
        </w:rPr>
        <w:t>Parents often feel misunderstood or judged by schools, further alienating them from the system and creating mistrust.</w:t>
      </w:r>
      <w:r w:rsidR="00E50601" w:rsidRPr="00E50601">
        <w:rPr>
          <w:rFonts w:cs="Arial"/>
          <w:szCs w:val="24"/>
        </w:rPr>
        <w:t xml:space="preserve"> </w:t>
      </w:r>
      <w:r w:rsidR="00E50601" w:rsidRPr="000E3120">
        <w:rPr>
          <w:rStyle w:val="EndnoteReference"/>
          <w:rFonts w:cs="Arial"/>
          <w:szCs w:val="24"/>
        </w:rPr>
        <w:endnoteReference w:id="138"/>
      </w:r>
      <w:r w:rsidR="00E50601" w:rsidRPr="000E3120">
        <w:rPr>
          <w:rFonts w:cs="Arial"/>
          <w:szCs w:val="24"/>
          <w:vertAlign w:val="superscript"/>
        </w:rPr>
        <w:t>,</w:t>
      </w:r>
      <w:r w:rsidR="00E50601" w:rsidRPr="000E3120">
        <w:rPr>
          <w:rStyle w:val="EndnoteReference"/>
          <w:rFonts w:cs="Arial"/>
          <w:szCs w:val="24"/>
        </w:rPr>
        <w:endnoteReference w:id="139"/>
      </w:r>
      <w:r w:rsidR="00E50601" w:rsidRPr="000E3120">
        <w:rPr>
          <w:rFonts w:cs="Arial"/>
          <w:szCs w:val="24"/>
          <w:vertAlign w:val="superscript"/>
        </w:rPr>
        <w:t>,</w:t>
      </w:r>
      <w:r w:rsidR="00347BED" w:rsidRPr="000E3120">
        <w:rPr>
          <w:rStyle w:val="EndnoteReference"/>
          <w:rFonts w:cs="Arial"/>
          <w:szCs w:val="24"/>
        </w:rPr>
        <w:endnoteReference w:id="140"/>
      </w:r>
      <w:r w:rsidRPr="000E3120">
        <w:rPr>
          <w:rFonts w:cs="Arial"/>
          <w:szCs w:val="24"/>
          <w:vertAlign w:val="superscript"/>
        </w:rPr>
        <w:t>,</w:t>
      </w:r>
      <w:r w:rsidR="00EC76A1" w:rsidRPr="000E3120">
        <w:rPr>
          <w:rStyle w:val="EndnoteReference"/>
          <w:rFonts w:cs="Arial"/>
          <w:szCs w:val="24"/>
        </w:rPr>
        <w:endnoteReference w:id="141"/>
      </w:r>
      <w:r w:rsidRPr="000276BD">
        <w:rPr>
          <w:rFonts w:cs="Arial"/>
          <w:vertAlign w:val="superscript"/>
        </w:rPr>
        <w:t>,</w:t>
      </w:r>
      <w:r w:rsidR="007D0FDE" w:rsidRPr="000E3120">
        <w:rPr>
          <w:rStyle w:val="EndnoteReference"/>
          <w:rFonts w:cs="Arial"/>
          <w:szCs w:val="24"/>
        </w:rPr>
        <w:endnoteReference w:id="142"/>
      </w:r>
      <w:r w:rsidRPr="000276BD">
        <w:rPr>
          <w:rFonts w:cs="Arial"/>
          <w:vertAlign w:val="superscript"/>
        </w:rPr>
        <w:t>,</w:t>
      </w:r>
      <w:r w:rsidR="000F7736" w:rsidRPr="00F3511B">
        <w:rPr>
          <w:rStyle w:val="EndnoteReference"/>
          <w:rFonts w:cs="Arial"/>
        </w:rPr>
        <w:endnoteReference w:id="143"/>
      </w:r>
      <w:r w:rsidRPr="000276BD">
        <w:rPr>
          <w:rFonts w:cs="Arial"/>
          <w:vertAlign w:val="superscript"/>
        </w:rPr>
        <w:t>,</w:t>
      </w:r>
      <w:r w:rsidR="00A052B7" w:rsidRPr="00F3511B">
        <w:rPr>
          <w:rStyle w:val="EndnoteReference"/>
          <w:rFonts w:cs="Arial"/>
        </w:rPr>
        <w:endnoteReference w:id="144"/>
      </w:r>
    </w:p>
    <w:p w14:paraId="71DDEBD3" w14:textId="433084A5" w:rsidR="00D14721" w:rsidRPr="005C48E3" w:rsidRDefault="00D14721" w:rsidP="00D9246A">
      <w:pPr>
        <w:spacing w:line="240" w:lineRule="auto"/>
        <w:rPr>
          <w:rFonts w:cs="Arial"/>
        </w:rPr>
      </w:pPr>
      <w:r w:rsidRPr="00802967">
        <w:rPr>
          <w:rFonts w:cs="Arial"/>
          <w:color w:val="A65588"/>
          <w:szCs w:val="24"/>
        </w:rPr>
        <w:t>“If you’re black, then you’re seen as aggressive, but you’re someone else and you stand your ground, then you're assertive.” (parent)</w:t>
      </w:r>
      <w:r w:rsidR="0008197E" w:rsidRPr="000E3120">
        <w:rPr>
          <w:rStyle w:val="EndnoteReference"/>
          <w:rFonts w:cs="Arial"/>
          <w:szCs w:val="24"/>
        </w:rPr>
        <w:endnoteReference w:id="145"/>
      </w:r>
    </w:p>
    <w:p w14:paraId="4B8BD232" w14:textId="719F9ED1" w:rsidR="005C6238" w:rsidRPr="00E472EB" w:rsidRDefault="005C6238" w:rsidP="00D9246A">
      <w:pPr>
        <w:spacing w:line="240" w:lineRule="auto"/>
        <w:rPr>
          <w:rFonts w:cs="Arial"/>
          <w:b/>
          <w:bCs/>
        </w:rPr>
      </w:pPr>
      <w:r w:rsidRPr="00802967">
        <w:rPr>
          <w:rFonts w:cs="Arial"/>
          <w:b/>
          <w:color w:val="0079C2"/>
        </w:rPr>
        <w:t>Cultural difference</w:t>
      </w:r>
      <w:r w:rsidR="00F27E62" w:rsidRPr="00802967">
        <w:rPr>
          <w:rFonts w:cs="Arial"/>
          <w:b/>
          <w:color w:val="0079C2"/>
        </w:rPr>
        <w:t xml:space="preserve">: </w:t>
      </w:r>
      <w:r w:rsidR="00616E93">
        <w:rPr>
          <w:rFonts w:cs="Arial"/>
        </w:rPr>
        <w:t>S</w:t>
      </w:r>
      <w:r w:rsidRPr="00E472EB">
        <w:rPr>
          <w:rFonts w:cs="Arial"/>
        </w:rPr>
        <w:t xml:space="preserve">ome parents, particularly African parents, view education as an integral part of their child’s wellbeing, even when their child may have additional needs. The attitude of educators may differ. Parents may also reject the notion that their child </w:t>
      </w:r>
      <w:r w:rsidR="00827945">
        <w:rPr>
          <w:rFonts w:cs="Arial"/>
        </w:rPr>
        <w:t>i</w:t>
      </w:r>
      <w:r w:rsidRPr="00E472EB">
        <w:rPr>
          <w:rFonts w:cs="Arial"/>
        </w:rPr>
        <w:t>s different and perceive schools of incorrectly labelling their child.</w:t>
      </w:r>
      <w:r w:rsidR="00150377" w:rsidRPr="00150377">
        <w:rPr>
          <w:rFonts w:cs="Arial"/>
          <w:szCs w:val="24"/>
        </w:rPr>
        <w:t xml:space="preserve"> </w:t>
      </w:r>
      <w:r w:rsidR="00150377" w:rsidRPr="000E3120">
        <w:rPr>
          <w:rStyle w:val="EndnoteReference"/>
          <w:rFonts w:cs="Arial"/>
          <w:szCs w:val="24"/>
        </w:rPr>
        <w:endnoteReference w:id="146"/>
      </w:r>
      <w:r w:rsidRPr="00014762">
        <w:rPr>
          <w:rFonts w:cs="Arial"/>
          <w:vertAlign w:val="superscript"/>
        </w:rPr>
        <w:t>,</w:t>
      </w:r>
      <w:r w:rsidR="007F4B49" w:rsidRPr="000E3120">
        <w:rPr>
          <w:rStyle w:val="EndnoteReference"/>
          <w:rFonts w:cs="Arial"/>
          <w:szCs w:val="24"/>
        </w:rPr>
        <w:endnoteReference w:id="147"/>
      </w:r>
      <w:r w:rsidRPr="005C5267">
        <w:rPr>
          <w:rFonts w:cs="Arial"/>
          <w:vertAlign w:val="superscript"/>
        </w:rPr>
        <w:t>,</w:t>
      </w:r>
      <w:r w:rsidR="00D30D33" w:rsidRPr="000E3120">
        <w:rPr>
          <w:rStyle w:val="EndnoteReference"/>
          <w:rFonts w:cs="Arial"/>
          <w:szCs w:val="24"/>
        </w:rPr>
        <w:endnoteReference w:id="148"/>
      </w:r>
      <w:r w:rsidRPr="005C5267">
        <w:rPr>
          <w:rFonts w:cs="Arial"/>
          <w:vertAlign w:val="superscript"/>
        </w:rPr>
        <w:t>,</w:t>
      </w:r>
      <w:r w:rsidR="001A160C" w:rsidRPr="00F13F8A">
        <w:rPr>
          <w:rStyle w:val="EndnoteReference"/>
          <w:rFonts w:cs="Arial"/>
        </w:rPr>
        <w:endnoteReference w:id="149"/>
      </w:r>
    </w:p>
    <w:p w14:paraId="320F17C1" w14:textId="4082C8D5" w:rsidR="005C6238" w:rsidRPr="00802967" w:rsidRDefault="00CB5CA8" w:rsidP="00D9246A">
      <w:pPr>
        <w:spacing w:line="240" w:lineRule="auto"/>
        <w:rPr>
          <w:rFonts w:cs="Arial"/>
          <w:color w:val="A65588"/>
          <w:szCs w:val="24"/>
        </w:rPr>
      </w:pPr>
      <w:r w:rsidRPr="00802967">
        <w:rPr>
          <w:rFonts w:cs="Arial"/>
          <w:color w:val="A65588"/>
          <w:szCs w:val="24"/>
        </w:rPr>
        <w:t>“</w:t>
      </w:r>
      <w:r w:rsidR="005C1571" w:rsidRPr="00802967">
        <w:rPr>
          <w:rFonts w:cs="Arial"/>
          <w:color w:val="A65588"/>
          <w:szCs w:val="24"/>
        </w:rPr>
        <w:t>… everything is SEN here (UK), lots of children learn to talk late … girls are shy and get upset easily, that is normal. She can walk, she can talk …’ (parent)</w:t>
      </w:r>
      <w:r w:rsidR="00C50E13" w:rsidRPr="000E3120">
        <w:rPr>
          <w:rStyle w:val="EndnoteReference"/>
          <w:rFonts w:cs="Arial"/>
          <w:szCs w:val="24"/>
        </w:rPr>
        <w:endnoteReference w:id="150"/>
      </w:r>
    </w:p>
    <w:p w14:paraId="102D143B" w14:textId="650CB1D2" w:rsidR="00DF1B26" w:rsidRPr="00E472EB" w:rsidRDefault="00192EC2" w:rsidP="00E472EB">
      <w:pPr>
        <w:pStyle w:val="Heading4"/>
        <w:rPr>
          <w:rFonts w:cs="Arial"/>
        </w:rPr>
      </w:pPr>
      <w:r w:rsidRPr="005C48E3">
        <w:t>Delivering education</w:t>
      </w:r>
    </w:p>
    <w:p w14:paraId="5DE801D2" w14:textId="207F93D7" w:rsidR="00267F36" w:rsidRPr="00E472EB" w:rsidRDefault="00E24A6A" w:rsidP="00D9246A">
      <w:pPr>
        <w:spacing w:line="240" w:lineRule="auto"/>
        <w:rPr>
          <w:rFonts w:cs="Arial"/>
        </w:rPr>
      </w:pPr>
      <w:r>
        <w:rPr>
          <w:rFonts w:cs="Arial"/>
        </w:rPr>
        <w:t>T</w:t>
      </w:r>
      <w:r w:rsidR="00AC69D9" w:rsidRPr="00E472EB">
        <w:rPr>
          <w:rFonts w:cs="Arial"/>
        </w:rPr>
        <w:t>he role of institutional systems and environments in either enabling or obstructing equitable support for SEND pupils.</w:t>
      </w:r>
    </w:p>
    <w:p w14:paraId="67CA1B41" w14:textId="6B95DCD3" w:rsidR="001366E2" w:rsidRDefault="005D4009" w:rsidP="00D9246A">
      <w:pPr>
        <w:spacing w:line="240" w:lineRule="auto"/>
        <w:rPr>
          <w:rFonts w:cs="Arial"/>
        </w:rPr>
      </w:pPr>
      <w:r w:rsidRPr="00802967">
        <w:rPr>
          <w:rFonts w:cs="Arial"/>
          <w:b/>
          <w:color w:val="0079C2"/>
        </w:rPr>
        <w:t>Rigid policies and lack of flexibility:</w:t>
      </w:r>
      <w:r w:rsidR="00F8049C" w:rsidRPr="00802967">
        <w:rPr>
          <w:rFonts w:cs="Arial"/>
          <w:b/>
          <w:color w:val="0079C2"/>
        </w:rPr>
        <w:t xml:space="preserve"> </w:t>
      </w:r>
      <w:r w:rsidRPr="00E472EB">
        <w:rPr>
          <w:rFonts w:cs="Arial"/>
        </w:rPr>
        <w:t xml:space="preserve">School procedures may fail to adapt to the cultural and diverse needs of </w:t>
      </w:r>
      <w:r w:rsidR="00CC470B">
        <w:rPr>
          <w:rFonts w:cs="Arial"/>
        </w:rPr>
        <w:t xml:space="preserve">Black and </w:t>
      </w:r>
      <w:r w:rsidR="00B9637E">
        <w:rPr>
          <w:rFonts w:cs="Arial"/>
        </w:rPr>
        <w:t xml:space="preserve">racially minoritised </w:t>
      </w:r>
      <w:r w:rsidRPr="00E472EB">
        <w:rPr>
          <w:rFonts w:cs="Arial"/>
        </w:rPr>
        <w:t>pupils. For instance, standardised approaches to assessments or referrals for SEND services fail to consider unique cultural expressions of behaviour or learning needs</w:t>
      </w:r>
      <w:r w:rsidR="00014762">
        <w:rPr>
          <w:rFonts w:cs="Arial"/>
        </w:rPr>
        <w:t>.</w:t>
      </w:r>
      <w:r w:rsidR="004B7B27" w:rsidRPr="000E3120">
        <w:rPr>
          <w:rStyle w:val="EndnoteReference"/>
          <w:rFonts w:cs="Arial"/>
          <w:szCs w:val="24"/>
        </w:rPr>
        <w:endnoteReference w:id="151"/>
      </w:r>
      <w:r w:rsidR="004B7B27" w:rsidRPr="000E3120">
        <w:rPr>
          <w:rFonts w:cs="Arial"/>
          <w:szCs w:val="24"/>
          <w:vertAlign w:val="superscript"/>
        </w:rPr>
        <w:t>,</w:t>
      </w:r>
      <w:r w:rsidR="004B7B27" w:rsidRPr="000E3120">
        <w:rPr>
          <w:rStyle w:val="EndnoteReference"/>
          <w:rFonts w:cs="Arial"/>
          <w:szCs w:val="24"/>
        </w:rPr>
        <w:endnoteReference w:id="152"/>
      </w:r>
      <w:r w:rsidR="004B7B27" w:rsidRPr="000E3120">
        <w:rPr>
          <w:rFonts w:cs="Arial"/>
          <w:szCs w:val="24"/>
          <w:vertAlign w:val="superscript"/>
        </w:rPr>
        <w:t>,</w:t>
      </w:r>
      <w:r w:rsidR="004B7B27" w:rsidRPr="000E3120">
        <w:rPr>
          <w:rStyle w:val="EndnoteReference"/>
          <w:rFonts w:cs="Arial"/>
          <w:szCs w:val="24"/>
        </w:rPr>
        <w:endnoteReference w:id="153"/>
      </w:r>
      <w:r w:rsidRPr="00014762">
        <w:rPr>
          <w:rFonts w:cs="Arial"/>
          <w:vertAlign w:val="superscript"/>
        </w:rPr>
        <w:t>,</w:t>
      </w:r>
      <w:r w:rsidR="00F87D2E" w:rsidRPr="00156620">
        <w:rPr>
          <w:rStyle w:val="EndnoteReference"/>
          <w:rFonts w:cs="Arial"/>
        </w:rPr>
        <w:endnoteReference w:id="154"/>
      </w:r>
    </w:p>
    <w:p w14:paraId="037CB6C6" w14:textId="41801402" w:rsidR="004E64EA" w:rsidRDefault="005D4009" w:rsidP="00D9246A">
      <w:pPr>
        <w:spacing w:line="240" w:lineRule="auto"/>
        <w:rPr>
          <w:rFonts w:cs="Arial"/>
        </w:rPr>
      </w:pPr>
      <w:r w:rsidRPr="00E472EB">
        <w:rPr>
          <w:rFonts w:cs="Arial"/>
        </w:rPr>
        <w:t>Where multilingual children are assessed for additional needs in English, they may either be incorrectly diagnosed as having SEND/LD/ND when language fluency was the issue, or they may be incorrectly identified as EAL (English as additional language) when in fact they have SEN needs</w:t>
      </w:r>
      <w:r w:rsidR="00014762">
        <w:rPr>
          <w:rFonts w:cs="Arial"/>
        </w:rPr>
        <w:t>.</w:t>
      </w:r>
      <w:r w:rsidR="00891454">
        <w:rPr>
          <w:rStyle w:val="EndnoteReference"/>
          <w:rFonts w:cs="Arial"/>
          <w:szCs w:val="24"/>
        </w:rPr>
        <w:endnoteReference w:id="155"/>
      </w:r>
      <w:r w:rsidRPr="00014762">
        <w:rPr>
          <w:rFonts w:cs="Arial"/>
          <w:vertAlign w:val="superscript"/>
        </w:rPr>
        <w:t>,</w:t>
      </w:r>
      <w:r w:rsidR="00CF019B" w:rsidRPr="000E3120">
        <w:rPr>
          <w:rStyle w:val="EndnoteReference"/>
          <w:rFonts w:cs="Arial"/>
          <w:szCs w:val="24"/>
        </w:rPr>
        <w:endnoteReference w:id="156"/>
      </w:r>
      <w:r w:rsidRPr="00014762">
        <w:rPr>
          <w:rFonts w:cs="Arial"/>
          <w:vertAlign w:val="superscript"/>
        </w:rPr>
        <w:t>,</w:t>
      </w:r>
      <w:r w:rsidR="00784954" w:rsidRPr="000E3120">
        <w:rPr>
          <w:rStyle w:val="EndnoteReference"/>
          <w:rFonts w:cs="Arial"/>
          <w:szCs w:val="24"/>
        </w:rPr>
        <w:endnoteReference w:id="157"/>
      </w:r>
    </w:p>
    <w:p w14:paraId="3CA884C6" w14:textId="12D34973" w:rsidR="00244468" w:rsidRDefault="00F64034" w:rsidP="00D9246A">
      <w:pPr>
        <w:spacing w:line="240" w:lineRule="auto"/>
        <w:rPr>
          <w:rFonts w:cs="Arial"/>
        </w:rPr>
      </w:pPr>
      <w:r w:rsidRPr="00802967">
        <w:rPr>
          <w:rFonts w:cs="Arial"/>
          <w:b/>
          <w:color w:val="0079C2"/>
        </w:rPr>
        <w:t>Institutional barriers</w:t>
      </w:r>
      <w:r w:rsidR="004E64EA" w:rsidRPr="00802967">
        <w:rPr>
          <w:rFonts w:cs="Arial"/>
          <w:b/>
          <w:color w:val="0079C2"/>
        </w:rPr>
        <w:t xml:space="preserve">: </w:t>
      </w:r>
      <w:r w:rsidR="00D87939">
        <w:rPr>
          <w:rFonts w:cs="Arial"/>
        </w:rPr>
        <w:t>S</w:t>
      </w:r>
      <w:r w:rsidR="00C87732">
        <w:rPr>
          <w:rFonts w:cs="Arial"/>
        </w:rPr>
        <w:t>taff in educational settings</w:t>
      </w:r>
      <w:r w:rsidR="009C72A3" w:rsidRPr="00E472EB">
        <w:rPr>
          <w:rFonts w:cs="Arial"/>
        </w:rPr>
        <w:t xml:space="preserve"> experienced stifling environments, hinder</w:t>
      </w:r>
      <w:r w:rsidR="008B56B7">
        <w:rPr>
          <w:rFonts w:cs="Arial"/>
        </w:rPr>
        <w:t>ing</w:t>
      </w:r>
      <w:r w:rsidR="009C72A3" w:rsidRPr="00E472EB">
        <w:rPr>
          <w:rFonts w:cs="Arial"/>
        </w:rPr>
        <w:t xml:space="preserve"> their ability to apply student-centred practices</w:t>
      </w:r>
      <w:r w:rsidR="004A133F">
        <w:rPr>
          <w:rFonts w:cs="Arial"/>
        </w:rPr>
        <w:t>,</w:t>
      </w:r>
      <w:r w:rsidR="009C72A3" w:rsidRPr="00E472EB">
        <w:rPr>
          <w:rFonts w:cs="Arial"/>
        </w:rPr>
        <w:t xml:space="preserve"> </w:t>
      </w:r>
      <w:r w:rsidR="00A01712">
        <w:rPr>
          <w:rFonts w:cs="Arial"/>
        </w:rPr>
        <w:t xml:space="preserve">and </w:t>
      </w:r>
      <w:r w:rsidR="00563C95" w:rsidRPr="00042636">
        <w:rPr>
          <w:rFonts w:cs="Arial"/>
        </w:rPr>
        <w:t>challeng</w:t>
      </w:r>
      <w:r w:rsidR="00334BC9">
        <w:rPr>
          <w:rFonts w:cs="Arial"/>
        </w:rPr>
        <w:t>e</w:t>
      </w:r>
      <w:r w:rsidR="00563C95" w:rsidRPr="00042636">
        <w:rPr>
          <w:rFonts w:cs="Arial"/>
        </w:rPr>
        <w:t xml:space="preserve"> </w:t>
      </w:r>
      <w:r w:rsidR="00D53B94" w:rsidRPr="00042636">
        <w:rPr>
          <w:rFonts w:cs="Arial"/>
        </w:rPr>
        <w:t>racism</w:t>
      </w:r>
      <w:r w:rsidR="00FB19B2" w:rsidRPr="00042636">
        <w:rPr>
          <w:rFonts w:cs="Arial"/>
        </w:rPr>
        <w:t>.</w:t>
      </w:r>
    </w:p>
    <w:p w14:paraId="39B6B09E" w14:textId="426FE5A0" w:rsidR="008D7D7D" w:rsidRPr="008D7D7D" w:rsidRDefault="008D7D7D" w:rsidP="00D9246A">
      <w:pPr>
        <w:spacing w:line="240" w:lineRule="auto"/>
        <w:rPr>
          <w:rFonts w:cs="Arial"/>
        </w:rPr>
      </w:pPr>
      <w:r w:rsidRPr="00802967">
        <w:rPr>
          <w:rFonts w:cs="Arial"/>
          <w:color w:val="A65588"/>
          <w:szCs w:val="24"/>
        </w:rPr>
        <w:t>"You will see things internally within the school structure that are wrong and it shouldn’t even be allowed […] If you were to try and challenge that, the next thing you know your contract is not renewed." (contracted pastoral care)</w:t>
      </w:r>
      <w:r w:rsidR="00094861" w:rsidRPr="000E3120">
        <w:rPr>
          <w:rStyle w:val="EndnoteReference"/>
          <w:rFonts w:cs="Arial"/>
          <w:szCs w:val="24"/>
        </w:rPr>
        <w:endnoteReference w:id="158"/>
      </w:r>
    </w:p>
    <w:p w14:paraId="0158BA6E" w14:textId="1B29C187" w:rsidR="009E4D98" w:rsidRPr="00802967" w:rsidRDefault="001E4FF0" w:rsidP="00D9246A">
      <w:pPr>
        <w:spacing w:line="240" w:lineRule="auto"/>
        <w:rPr>
          <w:rFonts w:cs="Arial"/>
          <w:color w:val="A65588"/>
          <w:szCs w:val="24"/>
        </w:rPr>
      </w:pPr>
      <w:r w:rsidRPr="00802967">
        <w:rPr>
          <w:rFonts w:cs="Arial"/>
          <w:color w:val="A65588"/>
          <w:szCs w:val="24"/>
        </w:rPr>
        <w:t xml:space="preserve"> </w:t>
      </w:r>
      <w:r w:rsidR="009E4D98" w:rsidRPr="00802967">
        <w:rPr>
          <w:rFonts w:cs="Arial"/>
          <w:color w:val="A65588"/>
          <w:szCs w:val="24"/>
        </w:rPr>
        <w:t xml:space="preserve">“As a SEND professional, I’ve witnessed and heard of Black and Brown families disrespected by all levels of staff. I’ve seen White children's behaviour treated with far more understanding and trauma informed approaches than Black and Brown children. </w:t>
      </w:r>
      <w:r w:rsidR="009E4D98" w:rsidRPr="00802967">
        <w:rPr>
          <w:rFonts w:cs="Arial"/>
          <w:color w:val="A65588"/>
          <w:szCs w:val="24"/>
        </w:rPr>
        <w:lastRenderedPageBreak/>
        <w:t>I’ve also heard disparaging and stereotypical comments made by staff of all levels, including racist language used and/or ignored.” (professional)</w:t>
      </w:r>
      <w:r w:rsidR="0000002A" w:rsidRPr="004E1646">
        <w:rPr>
          <w:rStyle w:val="EndnoteReference"/>
          <w:rFonts w:cs="Arial"/>
        </w:rPr>
        <w:endnoteReference w:id="159"/>
      </w:r>
    </w:p>
    <w:p w14:paraId="3E2710AF" w14:textId="363F54E1" w:rsidR="00D4435A" w:rsidRPr="005C48E3" w:rsidRDefault="00601419" w:rsidP="00D9246A">
      <w:pPr>
        <w:spacing w:line="240" w:lineRule="auto"/>
        <w:rPr>
          <w:rFonts w:cs="Arial"/>
        </w:rPr>
      </w:pPr>
      <w:r w:rsidRPr="00E472EB">
        <w:rPr>
          <w:rFonts w:cs="Arial"/>
        </w:rPr>
        <w:t>Participants described underperforming students often pushed out of schools. Parents feel the pressures put on schools to do well in assessments</w:t>
      </w:r>
      <w:r w:rsidR="00FF574F">
        <w:rPr>
          <w:rFonts w:cs="Arial"/>
        </w:rPr>
        <w:t>,</w:t>
      </w:r>
      <w:r w:rsidRPr="00E472EB">
        <w:rPr>
          <w:rFonts w:cs="Arial"/>
        </w:rPr>
        <w:t xml:space="preserve"> </w:t>
      </w:r>
      <w:r w:rsidR="00FD3E1E">
        <w:rPr>
          <w:rFonts w:cs="Arial"/>
        </w:rPr>
        <w:t>for example</w:t>
      </w:r>
      <w:r w:rsidRPr="00E472EB">
        <w:rPr>
          <w:rFonts w:cs="Arial"/>
        </w:rPr>
        <w:t xml:space="preserve"> Ofsted</w:t>
      </w:r>
      <w:r w:rsidR="00DE7B07">
        <w:rPr>
          <w:rFonts w:cs="Arial"/>
        </w:rPr>
        <w:t>,</w:t>
      </w:r>
      <w:r w:rsidRPr="00E472EB">
        <w:rPr>
          <w:rFonts w:cs="Arial"/>
        </w:rPr>
        <w:t xml:space="preserve"> </w:t>
      </w:r>
      <w:r w:rsidR="00E90E4C">
        <w:rPr>
          <w:rFonts w:cs="Arial"/>
        </w:rPr>
        <w:t>which can be</w:t>
      </w:r>
      <w:r w:rsidR="005E0603">
        <w:rPr>
          <w:rFonts w:cs="Arial"/>
        </w:rPr>
        <w:t xml:space="preserve"> </w:t>
      </w:r>
      <w:r w:rsidRPr="00E472EB">
        <w:rPr>
          <w:rFonts w:cs="Arial"/>
        </w:rPr>
        <w:t>a detriment to children with disabilities</w:t>
      </w:r>
      <w:r w:rsidRPr="005C48E3">
        <w:rPr>
          <w:rFonts w:cs="Arial"/>
        </w:rPr>
        <w:t>.</w:t>
      </w:r>
      <w:r w:rsidR="00F40895" w:rsidRPr="000E3120">
        <w:rPr>
          <w:rStyle w:val="EndnoteReference"/>
          <w:rFonts w:cs="Arial"/>
          <w:szCs w:val="24"/>
        </w:rPr>
        <w:endnoteReference w:id="160"/>
      </w:r>
      <w:r w:rsidR="00F40895" w:rsidRPr="000E3120">
        <w:rPr>
          <w:rFonts w:cs="Arial"/>
          <w:szCs w:val="24"/>
          <w:vertAlign w:val="superscript"/>
        </w:rPr>
        <w:t>,</w:t>
      </w:r>
      <w:r w:rsidR="00F40895" w:rsidRPr="000E3120">
        <w:rPr>
          <w:rStyle w:val="EndnoteReference"/>
          <w:rFonts w:cs="Arial"/>
          <w:szCs w:val="24"/>
        </w:rPr>
        <w:endnoteReference w:id="161"/>
      </w:r>
      <w:r w:rsidR="00F40895" w:rsidRPr="000E3120">
        <w:rPr>
          <w:rFonts w:cs="Arial"/>
          <w:szCs w:val="24"/>
          <w:vertAlign w:val="superscript"/>
        </w:rPr>
        <w:t>,</w:t>
      </w:r>
      <w:r w:rsidR="00F40895" w:rsidRPr="000E3120">
        <w:rPr>
          <w:rStyle w:val="EndnoteReference"/>
          <w:rFonts w:cs="Arial"/>
          <w:szCs w:val="24"/>
        </w:rPr>
        <w:endnoteReference w:id="162"/>
      </w:r>
      <w:r w:rsidRPr="00897CD3">
        <w:rPr>
          <w:rFonts w:cs="Arial"/>
          <w:vertAlign w:val="superscript"/>
        </w:rPr>
        <w:t>,</w:t>
      </w:r>
      <w:r w:rsidR="001B02B5" w:rsidRPr="00CC3F50">
        <w:rPr>
          <w:rStyle w:val="EndnoteReference"/>
          <w:rFonts w:cs="Arial"/>
          <w:szCs w:val="24"/>
        </w:rPr>
        <w:endnoteReference w:id="163"/>
      </w:r>
      <w:r w:rsidRPr="00CC3F50">
        <w:rPr>
          <w:rFonts w:cs="Arial"/>
          <w:vertAlign w:val="superscript"/>
        </w:rPr>
        <w:t>,</w:t>
      </w:r>
      <w:r w:rsidR="00FC26A6" w:rsidRPr="00CC3F50">
        <w:rPr>
          <w:rStyle w:val="EndnoteReference"/>
          <w:rFonts w:cs="Arial"/>
          <w:szCs w:val="24"/>
        </w:rPr>
        <w:endnoteReference w:id="164"/>
      </w:r>
      <w:r w:rsidRPr="00CC3F50">
        <w:rPr>
          <w:rFonts w:cs="Arial"/>
          <w:vertAlign w:val="superscript"/>
        </w:rPr>
        <w:t>,</w:t>
      </w:r>
      <w:r w:rsidR="00EC460A" w:rsidRPr="00254D81">
        <w:rPr>
          <w:rStyle w:val="EndnoteReference"/>
          <w:rFonts w:cs="Arial"/>
        </w:rPr>
        <w:endnoteReference w:id="165"/>
      </w:r>
      <w:r w:rsidR="00A15A56" w:rsidRPr="00CC3F50">
        <w:rPr>
          <w:rFonts w:cs="Arial"/>
        </w:rPr>
        <w:t xml:space="preserve"> </w:t>
      </w:r>
      <w:r w:rsidR="008521B6" w:rsidRPr="00CC3F50">
        <w:rPr>
          <w:rFonts w:cs="Arial"/>
        </w:rPr>
        <w:t>Educational</w:t>
      </w:r>
      <w:r w:rsidR="008521B6" w:rsidRPr="005C48E3">
        <w:rPr>
          <w:rFonts w:cs="Arial"/>
        </w:rPr>
        <w:t xml:space="preserve"> professionals</w:t>
      </w:r>
      <w:r w:rsidR="007F535D" w:rsidRPr="005C48E3">
        <w:rPr>
          <w:rFonts w:cs="Arial"/>
        </w:rPr>
        <w:t xml:space="preserve"> also highlighted</w:t>
      </w:r>
      <w:r w:rsidR="00FF313F" w:rsidRPr="005C48E3">
        <w:rPr>
          <w:rFonts w:cs="Arial"/>
        </w:rPr>
        <w:t xml:space="preserve"> </w:t>
      </w:r>
      <w:r w:rsidR="00947BA5" w:rsidRPr="005C48E3">
        <w:rPr>
          <w:rFonts w:cs="Arial"/>
        </w:rPr>
        <w:t>pressure to meet OFS</w:t>
      </w:r>
      <w:r w:rsidR="003B6AA5" w:rsidRPr="005C48E3">
        <w:rPr>
          <w:rFonts w:cs="Arial"/>
        </w:rPr>
        <w:t>T</w:t>
      </w:r>
      <w:r w:rsidR="00947BA5" w:rsidRPr="005C48E3">
        <w:rPr>
          <w:rFonts w:cs="Arial"/>
        </w:rPr>
        <w:t>E</w:t>
      </w:r>
      <w:r w:rsidR="003B6AA5" w:rsidRPr="005C48E3">
        <w:rPr>
          <w:rFonts w:cs="Arial"/>
        </w:rPr>
        <w:t>D</w:t>
      </w:r>
      <w:r w:rsidR="00947BA5" w:rsidRPr="005C48E3">
        <w:rPr>
          <w:rFonts w:cs="Arial"/>
        </w:rPr>
        <w:t xml:space="preserve"> targets</w:t>
      </w:r>
      <w:r w:rsidR="00C146AD" w:rsidRPr="005C48E3">
        <w:rPr>
          <w:rFonts w:cs="Arial"/>
        </w:rPr>
        <w:t xml:space="preserve">. This </w:t>
      </w:r>
      <w:r w:rsidR="00D2373C" w:rsidRPr="005C48E3">
        <w:rPr>
          <w:rFonts w:cs="Arial"/>
        </w:rPr>
        <w:t>hinder</w:t>
      </w:r>
      <w:r w:rsidR="00C146AD" w:rsidRPr="005C48E3">
        <w:rPr>
          <w:rFonts w:cs="Arial"/>
        </w:rPr>
        <w:t>s</w:t>
      </w:r>
      <w:r w:rsidR="00D2373C" w:rsidRPr="005C48E3">
        <w:rPr>
          <w:rFonts w:cs="Arial"/>
        </w:rPr>
        <w:t xml:space="preserve"> their ability</w:t>
      </w:r>
      <w:r w:rsidR="00360A69" w:rsidRPr="005C48E3">
        <w:rPr>
          <w:rFonts w:cs="Arial"/>
        </w:rPr>
        <w:t xml:space="preserve"> to change </w:t>
      </w:r>
      <w:r w:rsidR="00186F41" w:rsidRPr="005C48E3">
        <w:rPr>
          <w:rFonts w:cs="Arial"/>
        </w:rPr>
        <w:t>the sys</w:t>
      </w:r>
      <w:r w:rsidR="00B07BD8" w:rsidRPr="005C48E3">
        <w:rPr>
          <w:rFonts w:cs="Arial"/>
        </w:rPr>
        <w:t>tem</w:t>
      </w:r>
      <w:r w:rsidR="008A1021" w:rsidRPr="005C48E3">
        <w:rPr>
          <w:rFonts w:cs="Arial"/>
        </w:rPr>
        <w:t xml:space="preserve"> to make it more inclusive</w:t>
      </w:r>
      <w:r w:rsidR="00C146AD" w:rsidRPr="005C48E3">
        <w:rPr>
          <w:rFonts w:cs="Arial"/>
        </w:rPr>
        <w:t xml:space="preserve">, </w:t>
      </w:r>
      <w:r w:rsidR="005E0603">
        <w:rPr>
          <w:rFonts w:cs="Arial"/>
        </w:rPr>
        <w:t>and</w:t>
      </w:r>
      <w:r w:rsidR="004D62D0" w:rsidRPr="005C48E3">
        <w:rPr>
          <w:rFonts w:cs="Arial"/>
        </w:rPr>
        <w:t xml:space="preserve"> such rigidity can lead to harmful practices </w:t>
      </w:r>
      <w:r w:rsidR="00A10ADB">
        <w:rPr>
          <w:rFonts w:cs="Arial"/>
        </w:rPr>
        <w:t>like</w:t>
      </w:r>
      <w:r w:rsidR="004D62D0" w:rsidRPr="005C48E3">
        <w:rPr>
          <w:rFonts w:cs="Arial"/>
        </w:rPr>
        <w:t xml:space="preserve"> ‘off-rolling’</w:t>
      </w:r>
      <w:r w:rsidR="00296BFB" w:rsidRPr="005C48E3">
        <w:rPr>
          <w:rFonts w:cs="Arial"/>
        </w:rPr>
        <w:t xml:space="preserve">. </w:t>
      </w:r>
    </w:p>
    <w:p w14:paraId="2588C36A" w14:textId="7F0166F4" w:rsidR="00B2720E" w:rsidRDefault="00B2720E" w:rsidP="00D9246A">
      <w:pPr>
        <w:spacing w:line="240" w:lineRule="auto"/>
        <w:rPr>
          <w:rFonts w:cs="Arial"/>
          <w:iCs/>
        </w:rPr>
      </w:pPr>
      <w:r w:rsidRPr="00802967">
        <w:rPr>
          <w:rFonts w:cs="Arial"/>
          <w:b/>
          <w:color w:val="0079C2"/>
        </w:rPr>
        <w:t>Skilled teachers, stronger SEN outcomes</w:t>
      </w:r>
      <w:r w:rsidRPr="00A10ADB">
        <w:rPr>
          <w:rFonts w:cs="Arial"/>
          <w:b/>
          <w:color w:val="0079C2"/>
        </w:rPr>
        <w:t>:</w:t>
      </w:r>
      <w:r w:rsidRPr="005C48E3">
        <w:rPr>
          <w:rFonts w:cs="Arial"/>
        </w:rPr>
        <w:t xml:space="preserve"> </w:t>
      </w:r>
      <w:r w:rsidR="00D76E11">
        <w:rPr>
          <w:rFonts w:cs="Arial"/>
          <w:iCs/>
        </w:rPr>
        <w:t xml:space="preserve">In mainstream lessons, </w:t>
      </w:r>
      <w:r w:rsidR="00D76E11" w:rsidRPr="007058EB">
        <w:rPr>
          <w:rFonts w:cs="Arial"/>
          <w:iCs/>
        </w:rPr>
        <w:t>teachers with SEND specific training made the most impact in pupil learnin</w:t>
      </w:r>
      <w:r w:rsidR="00D76E11">
        <w:rPr>
          <w:rFonts w:cs="Arial"/>
          <w:iCs/>
        </w:rPr>
        <w:t>g</w:t>
      </w:r>
      <w:r w:rsidR="00AE4901" w:rsidRPr="000E3120">
        <w:rPr>
          <w:rStyle w:val="EndnoteReference"/>
          <w:rFonts w:cs="Arial"/>
          <w:szCs w:val="24"/>
        </w:rPr>
        <w:endnoteReference w:id="166"/>
      </w:r>
      <w:r w:rsidR="00AE4901">
        <w:rPr>
          <w:rFonts w:cs="Arial"/>
          <w:iCs/>
        </w:rPr>
        <w:t xml:space="preserve"> </w:t>
      </w:r>
      <w:r w:rsidR="004F5B0F">
        <w:rPr>
          <w:rFonts w:cs="Arial"/>
          <w:iCs/>
        </w:rPr>
        <w:t>and</w:t>
      </w:r>
      <w:r w:rsidR="005B56B0" w:rsidRPr="007058EB">
        <w:rPr>
          <w:rFonts w:cs="Arial"/>
          <w:iCs/>
        </w:rPr>
        <w:t xml:space="preserve"> </w:t>
      </w:r>
      <w:r w:rsidR="005A414E" w:rsidRPr="00134B57">
        <w:rPr>
          <w:rFonts w:cs="Arial"/>
          <w:iCs/>
        </w:rPr>
        <w:t>professionals with SEN training were better equipped to navigate barriers in service provision, leading to improved support for children with special needs</w:t>
      </w:r>
      <w:r w:rsidR="00B53C0D">
        <w:rPr>
          <w:rFonts w:cs="Arial"/>
          <w:iCs/>
        </w:rPr>
        <w:t>.</w:t>
      </w:r>
      <w:r w:rsidR="00CA5685" w:rsidRPr="000E3120">
        <w:rPr>
          <w:rStyle w:val="EndnoteReference"/>
          <w:rFonts w:cs="Arial"/>
          <w:szCs w:val="24"/>
        </w:rPr>
        <w:endnoteReference w:id="167"/>
      </w:r>
      <w:r w:rsidR="00A372B6">
        <w:rPr>
          <w:rFonts w:cs="Arial"/>
          <w:iCs/>
        </w:rPr>
        <w:t xml:space="preserve"> Furthermore,</w:t>
      </w:r>
      <w:r w:rsidR="004E6CE4" w:rsidRPr="004E6CE4">
        <w:rPr>
          <w:rFonts w:cs="Arial"/>
          <w:iCs/>
        </w:rPr>
        <w:t xml:space="preserve"> </w:t>
      </w:r>
      <w:r w:rsidR="004E6CE4" w:rsidRPr="00863CAD">
        <w:rPr>
          <w:rFonts w:cs="Arial"/>
          <w:iCs/>
        </w:rPr>
        <w:t>trained staff played a crucial role in supporting migrant families, particularly those navigating both SEN and language barriers</w:t>
      </w:r>
      <w:r w:rsidR="004E6CE4">
        <w:rPr>
          <w:rFonts w:cs="Arial"/>
          <w:iCs/>
        </w:rPr>
        <w:t>, as they were more aware of the diverse needs of children and their families.</w:t>
      </w:r>
      <w:r w:rsidR="0044462B" w:rsidRPr="000E3120">
        <w:rPr>
          <w:rStyle w:val="EndnoteReference"/>
          <w:rFonts w:cs="Arial"/>
          <w:szCs w:val="24"/>
        </w:rPr>
        <w:endnoteReference w:id="168"/>
      </w:r>
      <w:r w:rsidR="004E6CE4">
        <w:rPr>
          <w:rFonts w:cs="Arial"/>
          <w:iCs/>
        </w:rPr>
        <w:t xml:space="preserve"> </w:t>
      </w:r>
    </w:p>
    <w:p w14:paraId="629397F7" w14:textId="4658A6B2" w:rsidR="00941398" w:rsidRPr="00595FE6" w:rsidRDefault="00941398" w:rsidP="00D9246A">
      <w:pPr>
        <w:pStyle w:val="Heading2"/>
        <w:spacing w:before="0" w:after="120"/>
      </w:pPr>
      <w:r w:rsidRPr="00595FE6">
        <w:t xml:space="preserve">SEND and </w:t>
      </w:r>
      <w:r>
        <w:t xml:space="preserve">other </w:t>
      </w:r>
      <w:r w:rsidRPr="002F3A17">
        <w:t>intersections</w:t>
      </w:r>
      <w:r w:rsidR="00B01B0E">
        <w:t xml:space="preserve"> </w:t>
      </w:r>
    </w:p>
    <w:p w14:paraId="5339C29C" w14:textId="49C9A59D" w:rsidR="00941398" w:rsidRPr="00102F0B" w:rsidRDefault="00941398" w:rsidP="0096012C">
      <w:pPr>
        <w:pStyle w:val="Heading3"/>
      </w:pPr>
      <w:r w:rsidRPr="00102F0B">
        <w:t>Deprivation</w:t>
      </w:r>
      <w:r>
        <w:t xml:space="preserve"> </w:t>
      </w:r>
    </w:p>
    <w:p w14:paraId="1333AEDC" w14:textId="2743192D" w:rsidR="00941398" w:rsidRDefault="00941398" w:rsidP="00D9246A">
      <w:pPr>
        <w:spacing w:line="240" w:lineRule="auto"/>
        <w:rPr>
          <w:rFonts w:cs="Arial"/>
          <w:szCs w:val="24"/>
        </w:rPr>
      </w:pPr>
      <w:r w:rsidRPr="00595FE6">
        <w:rPr>
          <w:rFonts w:cs="Arial"/>
          <w:szCs w:val="24"/>
        </w:rPr>
        <w:t xml:space="preserve">Deprivation is a significant and persistent factor shaping the experiences of children </w:t>
      </w:r>
      <w:r>
        <w:rPr>
          <w:rFonts w:cs="Arial"/>
          <w:szCs w:val="24"/>
        </w:rPr>
        <w:t>and young people</w:t>
      </w:r>
      <w:r w:rsidRPr="00595FE6">
        <w:rPr>
          <w:rFonts w:cs="Arial"/>
          <w:szCs w:val="24"/>
        </w:rPr>
        <w:t xml:space="preserve"> with SEND, particularly in access to support and long-term outcomes. </w:t>
      </w:r>
      <w:r w:rsidR="0030471A">
        <w:rPr>
          <w:rFonts w:cs="Arial"/>
          <w:szCs w:val="24"/>
        </w:rPr>
        <w:t>Literature searches</w:t>
      </w:r>
      <w:r>
        <w:rPr>
          <w:rFonts w:cs="Arial"/>
          <w:szCs w:val="24"/>
        </w:rPr>
        <w:t xml:space="preserve"> on SEND and d</w:t>
      </w:r>
      <w:r w:rsidRPr="003D2E47">
        <w:rPr>
          <w:rFonts w:cs="Arial"/>
          <w:szCs w:val="24"/>
        </w:rPr>
        <w:t>eprivation</w:t>
      </w:r>
      <w:r>
        <w:rPr>
          <w:rFonts w:cs="Arial"/>
          <w:szCs w:val="24"/>
        </w:rPr>
        <w:t xml:space="preserve"> or</w:t>
      </w:r>
      <w:r w:rsidRPr="003D2E47">
        <w:rPr>
          <w:rFonts w:cs="Arial"/>
          <w:szCs w:val="24"/>
        </w:rPr>
        <w:t xml:space="preserve"> </w:t>
      </w:r>
      <w:r>
        <w:rPr>
          <w:rFonts w:cs="Arial"/>
          <w:szCs w:val="24"/>
        </w:rPr>
        <w:t>s</w:t>
      </w:r>
      <w:r w:rsidRPr="003D2E47">
        <w:rPr>
          <w:rFonts w:cs="Arial"/>
          <w:szCs w:val="24"/>
        </w:rPr>
        <w:t>ocioeconomic</w:t>
      </w:r>
      <w:r>
        <w:rPr>
          <w:rFonts w:cs="Arial"/>
          <w:szCs w:val="24"/>
        </w:rPr>
        <w:t xml:space="preserve"> </w:t>
      </w:r>
      <w:r w:rsidRPr="003D2E47">
        <w:rPr>
          <w:rFonts w:cs="Arial"/>
          <w:szCs w:val="24"/>
        </w:rPr>
        <w:t>disadvantage</w:t>
      </w:r>
      <w:r>
        <w:rPr>
          <w:rFonts w:cs="Arial"/>
          <w:szCs w:val="24"/>
        </w:rPr>
        <w:t xml:space="preserve"> or</w:t>
      </w:r>
      <w:r w:rsidRPr="003D2E47">
        <w:rPr>
          <w:rFonts w:cs="Arial"/>
          <w:szCs w:val="24"/>
        </w:rPr>
        <w:t xml:space="preserve"> </w:t>
      </w:r>
      <w:r>
        <w:rPr>
          <w:rFonts w:cs="Arial"/>
          <w:szCs w:val="24"/>
        </w:rPr>
        <w:t>p</w:t>
      </w:r>
      <w:r w:rsidRPr="003D2E47">
        <w:rPr>
          <w:rFonts w:cs="Arial"/>
          <w:szCs w:val="24"/>
        </w:rPr>
        <w:t>overty</w:t>
      </w:r>
      <w:r>
        <w:rPr>
          <w:rFonts w:cs="Arial"/>
          <w:szCs w:val="24"/>
        </w:rPr>
        <w:t xml:space="preserve">, </w:t>
      </w:r>
      <w:r w:rsidR="0030471A">
        <w:rPr>
          <w:rFonts w:cs="Arial"/>
          <w:szCs w:val="24"/>
        </w:rPr>
        <w:t>found 4</w:t>
      </w:r>
      <w:r>
        <w:rPr>
          <w:rFonts w:cs="Arial"/>
          <w:szCs w:val="24"/>
        </w:rPr>
        <w:t xml:space="preserve"> papers </w:t>
      </w:r>
      <w:r w:rsidR="00915E02">
        <w:rPr>
          <w:rFonts w:cs="Arial"/>
          <w:szCs w:val="24"/>
        </w:rPr>
        <w:t>(3 quantitative</w:t>
      </w:r>
      <w:r w:rsidR="0030471A">
        <w:rPr>
          <w:rFonts w:cs="Arial"/>
          <w:szCs w:val="24"/>
        </w:rPr>
        <w:t>,</w:t>
      </w:r>
      <w:r w:rsidR="00915E02">
        <w:rPr>
          <w:rFonts w:cs="Arial"/>
          <w:szCs w:val="24"/>
        </w:rPr>
        <w:t xml:space="preserve"> 1 qualitative) </w:t>
      </w:r>
      <w:r w:rsidR="0030471A">
        <w:rPr>
          <w:rFonts w:cs="Arial"/>
          <w:szCs w:val="24"/>
        </w:rPr>
        <w:t>meeting</w:t>
      </w:r>
      <w:r>
        <w:rPr>
          <w:rFonts w:cs="Arial"/>
          <w:szCs w:val="24"/>
        </w:rPr>
        <w:t xml:space="preserve"> our criteria. </w:t>
      </w:r>
    </w:p>
    <w:p w14:paraId="4F277757" w14:textId="536B8347" w:rsidR="00941398" w:rsidRPr="00595FE6" w:rsidRDefault="0055585F" w:rsidP="00D9246A">
      <w:pPr>
        <w:spacing w:line="240" w:lineRule="auto"/>
        <w:rPr>
          <w:rFonts w:cs="Arial"/>
          <w:szCs w:val="24"/>
        </w:rPr>
      </w:pPr>
      <w:r w:rsidRPr="00897CD3">
        <w:rPr>
          <w:rFonts w:cs="Arial"/>
          <w:b/>
          <w:color w:val="0079C2"/>
          <w:szCs w:val="24"/>
        </w:rPr>
        <w:t>Quantitative studies</w:t>
      </w:r>
      <w:r w:rsidR="00570A5D">
        <w:rPr>
          <w:rFonts w:cs="Arial"/>
          <w:b/>
          <w:color w:val="0079C2"/>
          <w:szCs w:val="24"/>
        </w:rPr>
        <w:t>:</w:t>
      </w:r>
      <w:r w:rsidR="00550E39">
        <w:rPr>
          <w:rFonts w:cs="Arial"/>
          <w:b/>
          <w:color w:val="0079C2"/>
          <w:szCs w:val="24"/>
        </w:rPr>
        <w:t xml:space="preserve"> </w:t>
      </w:r>
      <w:r w:rsidR="00941398">
        <w:rPr>
          <w:rFonts w:cs="Arial"/>
          <w:szCs w:val="24"/>
        </w:rPr>
        <w:t>One s</w:t>
      </w:r>
      <w:r w:rsidR="00941398" w:rsidRPr="00595FE6">
        <w:rPr>
          <w:rFonts w:cs="Arial"/>
          <w:szCs w:val="24"/>
        </w:rPr>
        <w:t>tud</w:t>
      </w:r>
      <w:r w:rsidR="00941398">
        <w:rPr>
          <w:rFonts w:cs="Arial"/>
          <w:szCs w:val="24"/>
        </w:rPr>
        <w:t>y</w:t>
      </w:r>
      <w:r w:rsidR="00941398" w:rsidRPr="00595FE6">
        <w:rPr>
          <w:rFonts w:cs="Arial"/>
          <w:szCs w:val="24"/>
        </w:rPr>
        <w:t xml:space="preserve"> </w:t>
      </w:r>
      <w:r w:rsidR="00941398">
        <w:rPr>
          <w:rFonts w:cs="Arial"/>
          <w:szCs w:val="24"/>
        </w:rPr>
        <w:t>found</w:t>
      </w:r>
      <w:r w:rsidR="00941398" w:rsidRPr="00595FE6">
        <w:rPr>
          <w:rFonts w:cs="Arial"/>
          <w:szCs w:val="24"/>
        </w:rPr>
        <w:t xml:space="preserve"> </w:t>
      </w:r>
      <w:r w:rsidR="008A29A8">
        <w:rPr>
          <w:rFonts w:cs="Arial"/>
          <w:szCs w:val="24"/>
        </w:rPr>
        <w:t>that c</w:t>
      </w:r>
      <w:r w:rsidR="00941398" w:rsidRPr="00595FE6">
        <w:rPr>
          <w:rFonts w:cs="Arial"/>
          <w:szCs w:val="24"/>
        </w:rPr>
        <w:t xml:space="preserve">hildren in the most deprived areas of </w:t>
      </w:r>
      <w:r w:rsidR="00941398">
        <w:rPr>
          <w:rFonts w:cs="Arial"/>
          <w:szCs w:val="24"/>
        </w:rPr>
        <w:t>South West England</w:t>
      </w:r>
      <w:r w:rsidR="00941398" w:rsidRPr="00595FE6">
        <w:rPr>
          <w:rFonts w:cs="Arial"/>
          <w:szCs w:val="24"/>
        </w:rPr>
        <w:t xml:space="preserve"> were nearly twice as likely to have mental health problems by age four compared to their most affluent peers</w:t>
      </w:r>
      <w:r w:rsidR="00D97EDD">
        <w:rPr>
          <w:rFonts w:cs="Arial"/>
          <w:szCs w:val="24"/>
        </w:rPr>
        <w:t>.</w:t>
      </w:r>
      <w:r w:rsidR="00941398">
        <w:rPr>
          <w:rStyle w:val="EndnoteReference"/>
          <w:szCs w:val="24"/>
        </w:rPr>
        <w:endnoteReference w:id="169"/>
      </w:r>
      <w:r w:rsidR="00941398" w:rsidRPr="00595FE6">
        <w:rPr>
          <w:rFonts w:cs="Arial"/>
          <w:szCs w:val="24"/>
        </w:rPr>
        <w:t xml:space="preserve"> </w:t>
      </w:r>
    </w:p>
    <w:p w14:paraId="381A11A2" w14:textId="0ED6BABE" w:rsidR="00941398" w:rsidRPr="00595FE6" w:rsidRDefault="00941398" w:rsidP="00D9246A">
      <w:pPr>
        <w:spacing w:line="240" w:lineRule="auto"/>
        <w:rPr>
          <w:rFonts w:cs="Arial"/>
          <w:szCs w:val="24"/>
        </w:rPr>
      </w:pPr>
      <w:r>
        <w:rPr>
          <w:rFonts w:cs="Arial"/>
          <w:szCs w:val="24"/>
        </w:rPr>
        <w:t xml:space="preserve">Another reported that </w:t>
      </w:r>
      <w:r w:rsidRPr="00595FE6">
        <w:rPr>
          <w:rFonts w:cs="Arial"/>
          <w:szCs w:val="24"/>
        </w:rPr>
        <w:t>children with autism</w:t>
      </w:r>
      <w:r>
        <w:rPr>
          <w:rFonts w:cs="Arial"/>
          <w:szCs w:val="24"/>
        </w:rPr>
        <w:t xml:space="preserve"> (35%)</w:t>
      </w:r>
      <w:r w:rsidRPr="00595FE6">
        <w:rPr>
          <w:rFonts w:cs="Arial"/>
          <w:szCs w:val="24"/>
        </w:rPr>
        <w:t xml:space="preserve">, autism </w:t>
      </w:r>
      <w:r>
        <w:rPr>
          <w:rFonts w:cs="Arial"/>
          <w:szCs w:val="24"/>
        </w:rPr>
        <w:t>and</w:t>
      </w:r>
      <w:r w:rsidRPr="00595FE6">
        <w:rPr>
          <w:rFonts w:cs="Arial"/>
          <w:szCs w:val="24"/>
        </w:rPr>
        <w:t xml:space="preserve"> learning difficulties</w:t>
      </w:r>
      <w:r>
        <w:rPr>
          <w:rFonts w:cs="Arial"/>
          <w:szCs w:val="24"/>
        </w:rPr>
        <w:t xml:space="preserve"> (38%)</w:t>
      </w:r>
      <w:r w:rsidRPr="00595FE6">
        <w:rPr>
          <w:rFonts w:cs="Arial"/>
          <w:szCs w:val="24"/>
        </w:rPr>
        <w:t xml:space="preserve">, </w:t>
      </w:r>
      <w:r>
        <w:rPr>
          <w:rFonts w:cs="Arial"/>
          <w:szCs w:val="24"/>
        </w:rPr>
        <w:t>and pupils with</w:t>
      </w:r>
      <w:r w:rsidRPr="00595FE6">
        <w:rPr>
          <w:rFonts w:cs="Arial"/>
          <w:szCs w:val="24"/>
        </w:rPr>
        <w:t xml:space="preserve"> other types of SEND </w:t>
      </w:r>
      <w:r>
        <w:rPr>
          <w:rFonts w:cs="Arial"/>
          <w:szCs w:val="24"/>
        </w:rPr>
        <w:t>(4</w:t>
      </w:r>
      <w:r w:rsidR="00B53C18">
        <w:rPr>
          <w:rFonts w:cs="Arial"/>
          <w:szCs w:val="24"/>
        </w:rPr>
        <w:t>5</w:t>
      </w:r>
      <w:r>
        <w:rPr>
          <w:rFonts w:cs="Arial"/>
          <w:szCs w:val="24"/>
        </w:rPr>
        <w:t xml:space="preserve">%) </w:t>
      </w:r>
      <w:r w:rsidRPr="006E7820">
        <w:rPr>
          <w:rFonts w:cs="Arial"/>
          <w:szCs w:val="24"/>
        </w:rPr>
        <w:t>all had higher proportions of socioeconomic disadvantage</w:t>
      </w:r>
      <w:r>
        <w:rPr>
          <w:rFonts w:cs="Arial"/>
          <w:szCs w:val="24"/>
        </w:rPr>
        <w:t xml:space="preserve"> (eligible for free school meals)</w:t>
      </w:r>
      <w:r w:rsidRPr="006E7820">
        <w:rPr>
          <w:rFonts w:cs="Arial"/>
          <w:szCs w:val="24"/>
        </w:rPr>
        <w:t xml:space="preserve"> than pupils with no SEND (2</w:t>
      </w:r>
      <w:r w:rsidR="00110E8A">
        <w:rPr>
          <w:rFonts w:cs="Arial"/>
          <w:szCs w:val="24"/>
        </w:rPr>
        <w:t>4</w:t>
      </w:r>
      <w:r w:rsidRPr="006E7820">
        <w:rPr>
          <w:rFonts w:cs="Arial"/>
          <w:szCs w:val="24"/>
        </w:rPr>
        <w:t>%).</w:t>
      </w:r>
      <w:r w:rsidR="00A20AE7" w:rsidRPr="005C48E3">
        <w:rPr>
          <w:rStyle w:val="EndnoteReference"/>
          <w:rFonts w:cs="Arial"/>
          <w:szCs w:val="24"/>
        </w:rPr>
        <w:endnoteReference w:id="170"/>
      </w:r>
      <w:r w:rsidRPr="00595FE6">
        <w:rPr>
          <w:rFonts w:cs="Arial"/>
          <w:szCs w:val="24"/>
        </w:rPr>
        <w:t xml:space="preserve"> </w:t>
      </w:r>
    </w:p>
    <w:p w14:paraId="72922082" w14:textId="6771447C" w:rsidR="005967E1" w:rsidRPr="00A9099F" w:rsidRDefault="00372B72" w:rsidP="00D9246A">
      <w:pPr>
        <w:spacing w:line="240" w:lineRule="auto"/>
        <w:rPr>
          <w:rFonts w:cs="Arial"/>
          <w:szCs w:val="24"/>
          <w:shd w:val="clear" w:color="auto" w:fill="FFFFFF" w:themeFill="background1"/>
        </w:rPr>
      </w:pPr>
      <w:r>
        <w:rPr>
          <w:rFonts w:cs="Arial"/>
          <w:szCs w:val="24"/>
        </w:rPr>
        <w:t>F</w:t>
      </w:r>
      <w:r w:rsidR="00941398" w:rsidRPr="00595FE6">
        <w:rPr>
          <w:rFonts w:cs="Arial"/>
          <w:szCs w:val="24"/>
        </w:rPr>
        <w:t xml:space="preserve">amilies </w:t>
      </w:r>
      <w:r w:rsidR="00941398">
        <w:rPr>
          <w:rFonts w:cs="Arial"/>
          <w:szCs w:val="24"/>
        </w:rPr>
        <w:t xml:space="preserve">with </w:t>
      </w:r>
      <w:r w:rsidR="00941398" w:rsidRPr="00595FE6">
        <w:rPr>
          <w:rFonts w:cs="Arial"/>
          <w:szCs w:val="24"/>
        </w:rPr>
        <w:t>low</w:t>
      </w:r>
      <w:r w:rsidR="00941398">
        <w:rPr>
          <w:rFonts w:cs="Arial"/>
          <w:szCs w:val="24"/>
        </w:rPr>
        <w:t>er</w:t>
      </w:r>
      <w:r w:rsidR="00941398" w:rsidRPr="00595FE6">
        <w:rPr>
          <w:rFonts w:cs="Arial"/>
          <w:szCs w:val="24"/>
        </w:rPr>
        <w:t xml:space="preserve"> caregiver education </w:t>
      </w:r>
      <w:r>
        <w:rPr>
          <w:rFonts w:cs="Arial"/>
          <w:szCs w:val="24"/>
        </w:rPr>
        <w:t>are</w:t>
      </w:r>
      <w:r w:rsidR="00941398" w:rsidRPr="00595FE6">
        <w:rPr>
          <w:rFonts w:cs="Arial"/>
          <w:szCs w:val="24"/>
        </w:rPr>
        <w:t xml:space="preserve"> significantly less likely to access intervention </w:t>
      </w:r>
      <w:r w:rsidR="00941398">
        <w:rPr>
          <w:rFonts w:cs="Arial"/>
          <w:szCs w:val="24"/>
        </w:rPr>
        <w:t>and early support</w:t>
      </w:r>
      <w:r w:rsidR="00941398" w:rsidRPr="00595FE6">
        <w:rPr>
          <w:rFonts w:cs="Arial"/>
          <w:szCs w:val="24"/>
        </w:rPr>
        <w:t xml:space="preserve"> </w:t>
      </w:r>
      <w:r w:rsidR="00941398">
        <w:rPr>
          <w:rFonts w:cs="Arial"/>
          <w:szCs w:val="24"/>
        </w:rPr>
        <w:t xml:space="preserve">services </w:t>
      </w:r>
      <w:r w:rsidR="00941398" w:rsidRPr="00595FE6">
        <w:rPr>
          <w:rFonts w:cs="Arial"/>
          <w:szCs w:val="24"/>
        </w:rPr>
        <w:t xml:space="preserve">for children </w:t>
      </w:r>
      <w:r w:rsidR="00941398">
        <w:rPr>
          <w:rFonts w:cs="Arial"/>
          <w:szCs w:val="24"/>
        </w:rPr>
        <w:t xml:space="preserve">aged 0-6 </w:t>
      </w:r>
      <w:r w:rsidR="00726014">
        <w:rPr>
          <w:rFonts w:cs="Arial"/>
          <w:szCs w:val="24"/>
        </w:rPr>
        <w:t xml:space="preserve">years </w:t>
      </w:r>
      <w:r w:rsidR="00941398" w:rsidRPr="00595FE6">
        <w:rPr>
          <w:rFonts w:cs="Arial"/>
          <w:szCs w:val="24"/>
        </w:rPr>
        <w:t>with</w:t>
      </w:r>
      <w:r w:rsidR="00941398">
        <w:rPr>
          <w:rFonts w:cs="Arial"/>
          <w:szCs w:val="24"/>
        </w:rPr>
        <w:t xml:space="preserve"> suspected or diagnosed d</w:t>
      </w:r>
      <w:r w:rsidR="00941398" w:rsidRPr="00164CEC">
        <w:rPr>
          <w:rFonts w:cs="Arial"/>
          <w:szCs w:val="24"/>
        </w:rPr>
        <w:t>evelopmental disabilities</w:t>
      </w:r>
      <w:r w:rsidR="00941398">
        <w:rPr>
          <w:rFonts w:cs="Arial"/>
          <w:szCs w:val="24"/>
        </w:rPr>
        <w:t xml:space="preserve">. </w:t>
      </w:r>
      <w:r w:rsidR="00941398" w:rsidRPr="00366B97">
        <w:rPr>
          <w:rFonts w:cs="Arial"/>
          <w:szCs w:val="24"/>
        </w:rPr>
        <w:t>Higher levels of family economic deprivation predicted increased unmet need for early support</w:t>
      </w:r>
      <w:r w:rsidR="00941398">
        <w:rPr>
          <w:rFonts w:cs="Arial"/>
          <w:szCs w:val="24"/>
        </w:rPr>
        <w:t xml:space="preserve"> </w:t>
      </w:r>
      <w:r w:rsidR="00DA0DCE">
        <w:rPr>
          <w:rFonts w:cs="Arial"/>
          <w:szCs w:val="24"/>
        </w:rPr>
        <w:t xml:space="preserve">service </w:t>
      </w:r>
      <w:r w:rsidR="0049650F">
        <w:rPr>
          <w:rFonts w:cs="Arial"/>
          <w:szCs w:val="24"/>
        </w:rPr>
        <w:t>and were less likely</w:t>
      </w:r>
      <w:r w:rsidR="00941398">
        <w:rPr>
          <w:rFonts w:cs="Arial"/>
          <w:szCs w:val="24"/>
        </w:rPr>
        <w:t xml:space="preserve"> </w:t>
      </w:r>
      <w:r w:rsidR="00BE1203">
        <w:rPr>
          <w:rFonts w:cs="Arial"/>
          <w:szCs w:val="24"/>
        </w:rPr>
        <w:t>to</w:t>
      </w:r>
      <w:r w:rsidR="00941398">
        <w:rPr>
          <w:rFonts w:cs="Arial"/>
          <w:szCs w:val="24"/>
        </w:rPr>
        <w:t xml:space="preserve"> </w:t>
      </w:r>
      <w:r w:rsidR="00941398" w:rsidRPr="00595FE6">
        <w:rPr>
          <w:rFonts w:cs="Arial"/>
          <w:szCs w:val="24"/>
        </w:rPr>
        <w:t xml:space="preserve">access </w:t>
      </w:r>
      <w:r w:rsidR="00941398">
        <w:rPr>
          <w:rFonts w:cs="Arial"/>
          <w:szCs w:val="24"/>
        </w:rPr>
        <w:t>early support</w:t>
      </w:r>
      <w:r w:rsidR="00941398" w:rsidRPr="007A29B4">
        <w:rPr>
          <w:rFonts w:cs="Arial"/>
          <w:szCs w:val="24"/>
          <w:shd w:val="clear" w:color="auto" w:fill="FFFFFF" w:themeFill="background1"/>
        </w:rPr>
        <w:t>.</w:t>
      </w:r>
      <w:r w:rsidR="007B110A">
        <w:rPr>
          <w:rFonts w:cs="Arial"/>
          <w:szCs w:val="24"/>
          <w:shd w:val="clear" w:color="auto" w:fill="FFFFFF" w:themeFill="background1"/>
        </w:rPr>
        <w:t xml:space="preserve"> </w:t>
      </w:r>
      <w:r w:rsidR="000B52AC" w:rsidRPr="007A29B4">
        <w:rPr>
          <w:rFonts w:cs="Arial"/>
          <w:szCs w:val="24"/>
          <w:shd w:val="clear" w:color="auto" w:fill="FFFFFF" w:themeFill="background1"/>
        </w:rPr>
        <w:t xml:space="preserve">There are multiple ways </w:t>
      </w:r>
      <w:r w:rsidR="00F01484" w:rsidRPr="007A29B4">
        <w:rPr>
          <w:rFonts w:cs="Arial"/>
          <w:szCs w:val="24"/>
          <w:shd w:val="clear" w:color="auto" w:fill="FFFFFF" w:themeFill="background1"/>
        </w:rPr>
        <w:t>economic deprivation can limit access to early support</w:t>
      </w:r>
      <w:r w:rsidR="000F7F6A">
        <w:rPr>
          <w:rFonts w:cs="Arial"/>
          <w:szCs w:val="24"/>
          <w:shd w:val="clear" w:color="auto" w:fill="FFFFFF" w:themeFill="background1"/>
        </w:rPr>
        <w:t>, this paper notes limitations</w:t>
      </w:r>
      <w:r w:rsidR="00941398" w:rsidRPr="00366B97">
        <w:rPr>
          <w:rFonts w:cs="Arial"/>
          <w:szCs w:val="24"/>
        </w:rPr>
        <w:t xml:space="preserve"> due to direct costs (</w:t>
      </w:r>
      <w:r w:rsidR="006C245A">
        <w:rPr>
          <w:rFonts w:cs="Arial"/>
          <w:szCs w:val="24"/>
        </w:rPr>
        <w:t>such as</w:t>
      </w:r>
      <w:r w:rsidR="00941398" w:rsidRPr="00366B97">
        <w:rPr>
          <w:rFonts w:cs="Arial"/>
          <w:szCs w:val="24"/>
        </w:rPr>
        <w:t xml:space="preserve"> the need to pay for private services because free services are not accessible) and indirect costs (</w:t>
      </w:r>
      <w:r w:rsidR="006C245A">
        <w:rPr>
          <w:rFonts w:cs="Arial"/>
          <w:szCs w:val="24"/>
        </w:rPr>
        <w:t>such as</w:t>
      </w:r>
      <w:r w:rsidR="00941398" w:rsidRPr="00366B97">
        <w:rPr>
          <w:rFonts w:cs="Arial"/>
          <w:szCs w:val="24"/>
        </w:rPr>
        <w:t xml:space="preserve"> travel, childcare)</w:t>
      </w:r>
      <w:r w:rsidR="00941398">
        <w:rPr>
          <w:rFonts w:cs="Arial"/>
          <w:szCs w:val="24"/>
        </w:rPr>
        <w:t>.</w:t>
      </w:r>
      <w:r w:rsidR="005C2C83">
        <w:rPr>
          <w:rStyle w:val="EndnoteReference"/>
          <w:szCs w:val="24"/>
        </w:rPr>
        <w:endnoteReference w:id="171"/>
      </w:r>
    </w:p>
    <w:p w14:paraId="43160B6A" w14:textId="16487700" w:rsidR="00941398" w:rsidRPr="006C7817" w:rsidRDefault="00941398" w:rsidP="00D9246A">
      <w:pPr>
        <w:spacing w:line="240" w:lineRule="auto"/>
        <w:rPr>
          <w:rFonts w:cs="Arial"/>
          <w:szCs w:val="24"/>
        </w:rPr>
      </w:pPr>
      <w:r w:rsidRPr="00897CD3">
        <w:rPr>
          <w:rFonts w:cs="Arial"/>
          <w:b/>
          <w:color w:val="0079C2"/>
          <w:szCs w:val="24"/>
        </w:rPr>
        <w:t>Socioeconomic backgrounds and inequality in school</w:t>
      </w:r>
      <w:r w:rsidR="00570A5D">
        <w:rPr>
          <w:rFonts w:cs="Arial"/>
          <w:b/>
          <w:color w:val="0079C2"/>
          <w:szCs w:val="24"/>
        </w:rPr>
        <w:t>:</w:t>
      </w:r>
      <w:r w:rsidR="00E35CB2">
        <w:rPr>
          <w:rFonts w:cs="Arial"/>
          <w:b/>
          <w:color w:val="0079C2"/>
          <w:szCs w:val="24"/>
        </w:rPr>
        <w:t xml:space="preserve"> </w:t>
      </w:r>
      <w:r>
        <w:rPr>
          <w:rFonts w:cs="Arial"/>
          <w:szCs w:val="24"/>
        </w:rPr>
        <w:t>S</w:t>
      </w:r>
      <w:r w:rsidRPr="00595FE6">
        <w:rPr>
          <w:rFonts w:cs="Arial"/>
          <w:szCs w:val="24"/>
        </w:rPr>
        <w:t xml:space="preserve">tudents </w:t>
      </w:r>
      <w:r>
        <w:rPr>
          <w:rFonts w:cs="Arial"/>
          <w:szCs w:val="24"/>
        </w:rPr>
        <w:t xml:space="preserve">from lower social class backgrounds </w:t>
      </w:r>
      <w:r w:rsidRPr="00595FE6">
        <w:rPr>
          <w:rFonts w:cs="Arial"/>
          <w:szCs w:val="24"/>
        </w:rPr>
        <w:t>report</w:t>
      </w:r>
      <w:r>
        <w:rPr>
          <w:rFonts w:cs="Arial"/>
          <w:szCs w:val="24"/>
        </w:rPr>
        <w:t>ed</w:t>
      </w:r>
      <w:r w:rsidRPr="00595FE6">
        <w:rPr>
          <w:rFonts w:cs="Arial"/>
          <w:szCs w:val="24"/>
        </w:rPr>
        <w:t xml:space="preserve"> inadequate exam provisions, isolation practices, and denied placements at suitable schools due to their “complex” needs. In contrast, more affluent families could switch to private education, home educate or bring external professionals into meetings when state provision failed. </w:t>
      </w:r>
      <w:r w:rsidR="002B6C0D">
        <w:rPr>
          <w:rFonts w:cs="Arial"/>
          <w:szCs w:val="24"/>
        </w:rPr>
        <w:t>T</w:t>
      </w:r>
      <w:r w:rsidRPr="00595FE6">
        <w:rPr>
          <w:rFonts w:cs="Arial"/>
          <w:szCs w:val="24"/>
        </w:rPr>
        <w:t>he withdrawal or absence of support—particularly in critical years like GCSEs—led to significant academic decline, as support was quietly removed.</w:t>
      </w:r>
      <w:r w:rsidR="008E4C18">
        <w:rPr>
          <w:rStyle w:val="EndnoteReference"/>
          <w:szCs w:val="24"/>
        </w:rPr>
        <w:endnoteReference w:id="172"/>
      </w:r>
      <w:r w:rsidRPr="00595FE6">
        <w:rPr>
          <w:rFonts w:cs="Arial"/>
          <w:szCs w:val="24"/>
        </w:rPr>
        <w:t xml:space="preserve"> </w:t>
      </w:r>
    </w:p>
    <w:p w14:paraId="710AAC7A" w14:textId="7DDC7B7F" w:rsidR="009C057B" w:rsidRPr="00EC2C86" w:rsidRDefault="009C057B" w:rsidP="00D9246A">
      <w:pPr>
        <w:spacing w:line="240" w:lineRule="auto"/>
        <w:rPr>
          <w:rFonts w:cs="Arial"/>
          <w:color w:val="A65588"/>
          <w:szCs w:val="24"/>
        </w:rPr>
      </w:pPr>
      <w:r w:rsidRPr="00EC2C86">
        <w:rPr>
          <w:rFonts w:cs="Arial"/>
          <w:color w:val="A65588"/>
          <w:szCs w:val="24"/>
        </w:rPr>
        <w:t>"Year 7 and 8 I got the support I needed, and then Year 9 is when it started dropping off. As it went on, I got no support</w:t>
      </w:r>
      <w:r w:rsidR="00116B58" w:rsidRPr="00EC2C86">
        <w:rPr>
          <w:rFonts w:cs="Arial"/>
          <w:color w:val="A65588"/>
          <w:szCs w:val="24"/>
        </w:rPr>
        <w:t>…</w:t>
      </w:r>
      <w:r w:rsidRPr="00EC2C86">
        <w:rPr>
          <w:rFonts w:cs="Arial"/>
          <w:color w:val="A65588"/>
          <w:szCs w:val="24"/>
        </w:rPr>
        <w:t>in Maths I went from top set to third set, ’cos when the support stopped, they just put me down . . . I feel very let down since I was doing so well with my support and then when it all stopped, everything just collapsed. [Mum] was trying to get back all the support, but the school was just not listening</w:t>
      </w:r>
      <w:r w:rsidR="005E0D87" w:rsidRPr="00EC2C86">
        <w:rPr>
          <w:rFonts w:cs="Arial"/>
          <w:color w:val="A65588"/>
          <w:szCs w:val="24"/>
        </w:rPr>
        <w:t>.</w:t>
      </w:r>
      <w:r w:rsidRPr="00EC2C86">
        <w:rPr>
          <w:rFonts w:cs="Arial"/>
          <w:color w:val="A65588"/>
          <w:szCs w:val="24"/>
        </w:rPr>
        <w:t>"</w:t>
      </w:r>
      <w:r w:rsidR="005E0D87" w:rsidRPr="00EC2C86">
        <w:rPr>
          <w:rFonts w:cs="Arial"/>
          <w:color w:val="A65588"/>
          <w:szCs w:val="24"/>
        </w:rPr>
        <w:t xml:space="preserve"> (</w:t>
      </w:r>
      <w:r w:rsidR="006E3358" w:rsidRPr="00EC2C86">
        <w:rPr>
          <w:rFonts w:cs="Arial"/>
          <w:color w:val="A65588"/>
          <w:szCs w:val="24"/>
        </w:rPr>
        <w:t>Autistic student)</w:t>
      </w:r>
      <w:r w:rsidR="003857BE" w:rsidRPr="003857BE">
        <w:rPr>
          <w:rStyle w:val="EndnoteReference"/>
          <w:szCs w:val="24"/>
        </w:rPr>
        <w:t xml:space="preserve"> </w:t>
      </w:r>
      <w:r w:rsidR="003857BE">
        <w:rPr>
          <w:rStyle w:val="EndnoteReference"/>
          <w:szCs w:val="24"/>
        </w:rPr>
        <w:endnoteReference w:id="173"/>
      </w:r>
    </w:p>
    <w:p w14:paraId="1780404D" w14:textId="699C1DC1" w:rsidR="003B4CEC" w:rsidRPr="00B7552E" w:rsidRDefault="00941398" w:rsidP="0096012C">
      <w:pPr>
        <w:pStyle w:val="Heading3"/>
      </w:pPr>
      <w:r w:rsidRPr="00595FE6">
        <w:lastRenderedPageBreak/>
        <w:t xml:space="preserve">Care experienced </w:t>
      </w:r>
    </w:p>
    <w:p w14:paraId="6552ED45" w14:textId="77772A7B" w:rsidR="00355429" w:rsidRPr="00251A7D" w:rsidRDefault="009741F8" w:rsidP="00550E39">
      <w:pPr>
        <w:spacing w:line="240" w:lineRule="auto"/>
        <w:rPr>
          <w:rFonts w:cs="Arial"/>
        </w:rPr>
      </w:pPr>
      <w:r>
        <w:rPr>
          <w:rFonts w:cs="Arial"/>
          <w:szCs w:val="24"/>
        </w:rPr>
        <w:t xml:space="preserve">Literature searches on SEND and </w:t>
      </w:r>
      <w:r w:rsidRPr="00251A7D">
        <w:rPr>
          <w:rFonts w:cs="Arial"/>
        </w:rPr>
        <w:t>care experienced</w:t>
      </w:r>
      <w:r>
        <w:rPr>
          <w:rFonts w:cs="Arial"/>
          <w:szCs w:val="24"/>
        </w:rPr>
        <w:t xml:space="preserve"> found </w:t>
      </w:r>
      <w:r w:rsidR="008A4277">
        <w:rPr>
          <w:rFonts w:cs="Arial"/>
          <w:szCs w:val="24"/>
        </w:rPr>
        <w:t>7</w:t>
      </w:r>
      <w:r>
        <w:rPr>
          <w:rFonts w:cs="Arial"/>
          <w:szCs w:val="24"/>
        </w:rPr>
        <w:t xml:space="preserve"> papers (</w:t>
      </w:r>
      <w:r w:rsidR="008A4277">
        <w:rPr>
          <w:rFonts w:cs="Arial"/>
          <w:szCs w:val="24"/>
        </w:rPr>
        <w:t>5</w:t>
      </w:r>
      <w:r>
        <w:rPr>
          <w:rFonts w:cs="Arial"/>
          <w:szCs w:val="24"/>
        </w:rPr>
        <w:t xml:space="preserve"> quantitative, 1 qualitative) meeting our criteria. </w:t>
      </w:r>
    </w:p>
    <w:p w14:paraId="545295D5" w14:textId="5043B726" w:rsidR="00CF2FA6" w:rsidRPr="00550E39" w:rsidRDefault="00601BA0" w:rsidP="00550E39">
      <w:pPr>
        <w:spacing w:line="240" w:lineRule="auto"/>
        <w:rPr>
          <w:rFonts w:cs="Arial"/>
          <w:b/>
          <w:color w:val="0079C2"/>
          <w:szCs w:val="24"/>
        </w:rPr>
      </w:pPr>
      <w:r w:rsidRPr="00897CD3">
        <w:rPr>
          <w:rFonts w:cs="Arial"/>
          <w:b/>
          <w:color w:val="0079C2"/>
          <w:szCs w:val="24"/>
        </w:rPr>
        <w:t>Quantitative studies</w:t>
      </w:r>
      <w:r w:rsidR="00570A5D">
        <w:rPr>
          <w:rFonts w:cs="Arial"/>
          <w:b/>
          <w:color w:val="0079C2"/>
          <w:szCs w:val="24"/>
        </w:rPr>
        <w:t>:</w:t>
      </w:r>
      <w:r w:rsidR="00E35CB2">
        <w:rPr>
          <w:rFonts w:cs="Arial"/>
          <w:b/>
          <w:color w:val="0079C2"/>
          <w:szCs w:val="24"/>
        </w:rPr>
        <w:t xml:space="preserve"> </w:t>
      </w:r>
      <w:r w:rsidR="000F78FE">
        <w:rPr>
          <w:rFonts w:cs="Arial"/>
          <w:szCs w:val="24"/>
        </w:rPr>
        <w:t>Care experienced children</w:t>
      </w:r>
      <w:r w:rsidR="00941398" w:rsidRPr="00595FE6">
        <w:rPr>
          <w:rFonts w:cs="Arial"/>
          <w:szCs w:val="24"/>
        </w:rPr>
        <w:t xml:space="preserve"> </w:t>
      </w:r>
      <w:r w:rsidR="000474C1" w:rsidRPr="000A7B8D">
        <w:rPr>
          <w:rFonts w:cs="Arial"/>
        </w:rPr>
        <w:t xml:space="preserve">are disproportionately </w:t>
      </w:r>
      <w:r w:rsidR="009330BE" w:rsidRPr="00595FE6">
        <w:rPr>
          <w:rFonts w:cs="Arial"/>
          <w:szCs w:val="24"/>
        </w:rPr>
        <w:t>identified with SEND</w:t>
      </w:r>
      <w:r w:rsidR="00941398">
        <w:rPr>
          <w:rStyle w:val="EndnoteReference"/>
          <w:szCs w:val="24"/>
        </w:rPr>
        <w:endnoteReference w:id="174"/>
      </w:r>
      <w:r w:rsidR="008B524A" w:rsidRPr="008B524A">
        <w:rPr>
          <w:rFonts w:cs="Arial"/>
          <w:szCs w:val="24"/>
          <w:vertAlign w:val="superscript"/>
        </w:rPr>
        <w:t>,</w:t>
      </w:r>
      <w:r w:rsidR="00941398">
        <w:rPr>
          <w:rStyle w:val="EndnoteReference"/>
          <w:szCs w:val="24"/>
        </w:rPr>
        <w:endnoteReference w:id="175"/>
      </w:r>
      <w:r w:rsidR="0087111C">
        <w:rPr>
          <w:rFonts w:cs="Arial"/>
          <w:szCs w:val="24"/>
          <w:vertAlign w:val="superscript"/>
        </w:rPr>
        <w:t>,</w:t>
      </w:r>
      <w:bookmarkStart w:id="213" w:name="_Ref197590066"/>
      <w:r w:rsidR="00941398">
        <w:rPr>
          <w:rStyle w:val="EndnoteReference"/>
          <w:szCs w:val="24"/>
        </w:rPr>
        <w:endnoteReference w:id="176"/>
      </w:r>
      <w:bookmarkEnd w:id="213"/>
      <w:r w:rsidR="005C4CD1">
        <w:rPr>
          <w:rFonts w:cs="Arial"/>
          <w:szCs w:val="24"/>
        </w:rPr>
        <w:t xml:space="preserve"> and </w:t>
      </w:r>
      <w:r w:rsidR="009E0446">
        <w:rPr>
          <w:rFonts w:cs="Arial"/>
        </w:rPr>
        <w:t>r</w:t>
      </w:r>
      <w:r w:rsidR="009E0446" w:rsidRPr="002E196D">
        <w:rPr>
          <w:rFonts w:cs="Arial"/>
        </w:rPr>
        <w:t xml:space="preserve">esearch shows that </w:t>
      </w:r>
      <w:r w:rsidR="000F78FE">
        <w:rPr>
          <w:rFonts w:cs="Arial"/>
        </w:rPr>
        <w:t>care experienced</w:t>
      </w:r>
      <w:r w:rsidR="002F6C5A">
        <w:rPr>
          <w:rFonts w:cs="Arial"/>
        </w:rPr>
        <w:t xml:space="preserve"> </w:t>
      </w:r>
      <w:r w:rsidR="00203004">
        <w:rPr>
          <w:rFonts w:cs="Arial"/>
        </w:rPr>
        <w:t>children</w:t>
      </w:r>
      <w:r w:rsidR="009E0446" w:rsidRPr="002E196D">
        <w:rPr>
          <w:rFonts w:cs="Arial"/>
        </w:rPr>
        <w:t xml:space="preserve"> with SEND encounter compounded negative </w:t>
      </w:r>
      <w:r w:rsidR="009E0446">
        <w:rPr>
          <w:rFonts w:cs="Arial"/>
        </w:rPr>
        <w:t>education</w:t>
      </w:r>
      <w:r w:rsidR="00D87E6A">
        <w:rPr>
          <w:rFonts w:cs="Arial"/>
        </w:rPr>
        <w:t>al</w:t>
      </w:r>
      <w:r w:rsidR="009E0446">
        <w:rPr>
          <w:rFonts w:cs="Arial"/>
        </w:rPr>
        <w:t xml:space="preserve"> </w:t>
      </w:r>
      <w:r w:rsidR="009E0446" w:rsidRPr="002E196D">
        <w:rPr>
          <w:rFonts w:cs="Arial"/>
        </w:rPr>
        <w:t>outcomes</w:t>
      </w:r>
      <w:r w:rsidR="009E0446">
        <w:rPr>
          <w:rFonts w:cs="Arial"/>
        </w:rPr>
        <w:t>, including, increased exclusion</w:t>
      </w:r>
      <w:r w:rsidR="00912E4D">
        <w:rPr>
          <w:rFonts w:cs="Arial"/>
        </w:rPr>
        <w:t xml:space="preserve">, </w:t>
      </w:r>
      <w:r w:rsidR="009E0446">
        <w:rPr>
          <w:rFonts w:cs="Arial"/>
        </w:rPr>
        <w:t>suspension</w:t>
      </w:r>
      <w:r w:rsidR="00912E4D">
        <w:rPr>
          <w:rFonts w:cs="Arial"/>
        </w:rPr>
        <w:t>,</w:t>
      </w:r>
      <w:r w:rsidR="009E0446">
        <w:rPr>
          <w:rFonts w:cs="Arial"/>
        </w:rPr>
        <w:t xml:space="preserve"> non-enrolment/off rolling</w:t>
      </w:r>
      <w:r w:rsidR="00912E4D">
        <w:rPr>
          <w:rFonts w:cs="Arial"/>
        </w:rPr>
        <w:t>,</w:t>
      </w:r>
      <w:r w:rsidR="009E0446">
        <w:rPr>
          <w:rFonts w:cs="Arial"/>
        </w:rPr>
        <w:t xml:space="preserve"> and poorer </w:t>
      </w:r>
      <w:r w:rsidR="00914DB1">
        <w:rPr>
          <w:rFonts w:cs="Arial"/>
        </w:rPr>
        <w:t xml:space="preserve">educational </w:t>
      </w:r>
      <w:r w:rsidR="009E0446">
        <w:rPr>
          <w:rFonts w:cs="Arial"/>
        </w:rPr>
        <w:t>achievement trajectories</w:t>
      </w:r>
      <w:r w:rsidR="009E0446" w:rsidRPr="002E196D">
        <w:rPr>
          <w:rFonts w:cs="Arial"/>
        </w:rPr>
        <w:t>.</w:t>
      </w:r>
      <w:r w:rsidR="00A94A6F">
        <w:rPr>
          <w:rFonts w:cs="Arial"/>
        </w:rPr>
        <w:t xml:space="preserve"> </w:t>
      </w:r>
    </w:p>
    <w:p w14:paraId="6FED8FF3" w14:textId="24933359" w:rsidR="00941398" w:rsidRPr="008C1A6E" w:rsidRDefault="006F4499" w:rsidP="003B6CEC">
      <w:pPr>
        <w:spacing w:after="0" w:line="240" w:lineRule="auto"/>
        <w:rPr>
          <w:rFonts w:cs="Arial"/>
          <w:szCs w:val="24"/>
        </w:rPr>
      </w:pPr>
      <w:r w:rsidRPr="0021725F">
        <w:rPr>
          <w:rFonts w:cs="Arial"/>
        </w:rPr>
        <w:t xml:space="preserve">Exclusion </w:t>
      </w:r>
      <w:r>
        <w:rPr>
          <w:rFonts w:cs="Arial"/>
        </w:rPr>
        <w:t>in mainstream school</w:t>
      </w:r>
      <w:r w:rsidR="000D60EE">
        <w:rPr>
          <w:rFonts w:cs="Arial"/>
        </w:rPr>
        <w:t>ing</w:t>
      </w:r>
      <w:r>
        <w:rPr>
          <w:rFonts w:cs="Arial"/>
        </w:rPr>
        <w:t xml:space="preserve"> </w:t>
      </w:r>
      <w:r w:rsidR="00ED7E35">
        <w:rPr>
          <w:rFonts w:cs="Arial"/>
        </w:rPr>
        <w:t>is</w:t>
      </w:r>
      <w:r w:rsidRPr="0021725F">
        <w:rPr>
          <w:rFonts w:cs="Arial"/>
        </w:rPr>
        <w:t xml:space="preserve"> </w:t>
      </w:r>
      <w:r>
        <w:rPr>
          <w:rFonts w:cs="Arial"/>
        </w:rPr>
        <w:t>significantly</w:t>
      </w:r>
      <w:r w:rsidRPr="0021725F">
        <w:rPr>
          <w:rFonts w:cs="Arial"/>
        </w:rPr>
        <w:t xml:space="preserve"> higher among children receiving social care</w:t>
      </w:r>
      <w:r>
        <w:rPr>
          <w:rFonts w:cs="Arial"/>
        </w:rPr>
        <w:t xml:space="preserve"> with no SEN</w:t>
      </w:r>
      <w:r w:rsidR="002422BF">
        <w:rPr>
          <w:rFonts w:cs="Arial"/>
        </w:rPr>
        <w:t>,</w:t>
      </w:r>
      <w:r>
        <w:rPr>
          <w:rFonts w:cs="Arial"/>
        </w:rPr>
        <w:t xml:space="preserve"> </w:t>
      </w:r>
      <w:r w:rsidRPr="0021725F">
        <w:rPr>
          <w:rFonts w:cs="Arial"/>
        </w:rPr>
        <w:t xml:space="preserve">and even greater for </w:t>
      </w:r>
      <w:r w:rsidR="007B032A">
        <w:rPr>
          <w:rFonts w:cs="Arial"/>
        </w:rPr>
        <w:t>those receiving social care</w:t>
      </w:r>
      <w:r w:rsidRPr="0021725F">
        <w:rPr>
          <w:rFonts w:cs="Arial"/>
        </w:rPr>
        <w:t xml:space="preserve"> w</w:t>
      </w:r>
      <w:r w:rsidR="007B032A">
        <w:rPr>
          <w:rFonts w:cs="Arial"/>
        </w:rPr>
        <w:t xml:space="preserve">ho have a </w:t>
      </w:r>
      <w:r w:rsidRPr="0021725F">
        <w:rPr>
          <w:rFonts w:cs="Arial"/>
        </w:rPr>
        <w:t>SEN</w:t>
      </w:r>
      <w:r w:rsidR="007B032A">
        <w:rPr>
          <w:rFonts w:cs="Arial"/>
        </w:rPr>
        <w:t xml:space="preserve"> </w:t>
      </w:r>
      <w:r w:rsidR="00E777AC">
        <w:rPr>
          <w:rFonts w:cs="Arial"/>
        </w:rPr>
        <w:t>need</w:t>
      </w:r>
      <w:r>
        <w:rPr>
          <w:rFonts w:cs="Arial"/>
        </w:rPr>
        <w:t>, compared to peers</w:t>
      </w:r>
      <w:r w:rsidR="006E7BDA">
        <w:rPr>
          <w:rFonts w:cs="Arial"/>
        </w:rPr>
        <w:t xml:space="preserve">. </w:t>
      </w:r>
      <w:r w:rsidR="0032570A" w:rsidDel="00C85E4E">
        <w:rPr>
          <w:rFonts w:cs="Arial"/>
          <w:szCs w:val="24"/>
        </w:rPr>
        <w:t>For example</w:t>
      </w:r>
      <w:r w:rsidR="006A06A2">
        <w:rPr>
          <w:rFonts w:cs="Arial"/>
          <w:szCs w:val="24"/>
        </w:rPr>
        <w:t>,</w:t>
      </w:r>
      <w:r w:rsidR="00941398" w:rsidRPr="00595FE6">
        <w:rPr>
          <w:rFonts w:cs="Arial"/>
          <w:szCs w:val="24"/>
        </w:rPr>
        <w:t xml:space="preserve"> children with </w:t>
      </w:r>
      <w:r w:rsidR="000402D4" w:rsidDel="00C85E4E">
        <w:rPr>
          <w:rFonts w:cs="Arial"/>
          <w:szCs w:val="24"/>
        </w:rPr>
        <w:t xml:space="preserve">both </w:t>
      </w:r>
      <w:r w:rsidR="00941398" w:rsidRPr="00595FE6">
        <w:rPr>
          <w:rFonts w:cs="Arial"/>
          <w:szCs w:val="24"/>
        </w:rPr>
        <w:t>SEND and looked-after</w:t>
      </w:r>
      <w:r w:rsidR="000402D4" w:rsidDel="00C85E4E">
        <w:rPr>
          <w:rFonts w:cs="Arial"/>
          <w:szCs w:val="24"/>
        </w:rPr>
        <w:t xml:space="preserve"> status</w:t>
      </w:r>
      <w:r w:rsidR="00941398" w:rsidRPr="00595FE6">
        <w:rPr>
          <w:rFonts w:cs="Arial"/>
          <w:szCs w:val="24"/>
        </w:rPr>
        <w:t xml:space="preserve"> were excluded at rates of 42%, compared to 8% of </w:t>
      </w:r>
      <w:r w:rsidR="00941398">
        <w:rPr>
          <w:rFonts w:cs="Arial"/>
          <w:szCs w:val="24"/>
        </w:rPr>
        <w:t>students</w:t>
      </w:r>
      <w:r w:rsidR="00941398" w:rsidRPr="00595FE6">
        <w:rPr>
          <w:rFonts w:cs="Arial"/>
          <w:szCs w:val="24"/>
        </w:rPr>
        <w:t xml:space="preserve"> with no SEND or social care involvement</w:t>
      </w:r>
      <w:r w:rsidR="00941398">
        <w:rPr>
          <w:rFonts w:cs="Arial"/>
          <w:szCs w:val="24"/>
        </w:rPr>
        <w:t>.</w:t>
      </w:r>
      <w:r w:rsidR="00B56BE6">
        <w:rPr>
          <w:rFonts w:cs="Arial"/>
          <w:szCs w:val="24"/>
        </w:rPr>
        <w:t xml:space="preserve"> </w:t>
      </w:r>
      <w:r w:rsidR="00897CD3">
        <w:rPr>
          <w:rFonts w:cs="Arial"/>
          <w:szCs w:val="24"/>
        </w:rPr>
        <w:t>In</w:t>
      </w:r>
      <w:r w:rsidR="00941398" w:rsidRPr="00595FE6">
        <w:rPr>
          <w:rFonts w:cs="Arial"/>
          <w:szCs w:val="24"/>
        </w:rPr>
        <w:t xml:space="preserve"> special schools, 33% of children looked after were excluded compared to 12% of those with no social care involvement</w:t>
      </w:r>
      <w:r w:rsidR="00B56BE6">
        <w:rPr>
          <w:rFonts w:cs="Arial"/>
          <w:szCs w:val="24"/>
        </w:rPr>
        <w:t>.</w:t>
      </w:r>
      <w:r w:rsidR="00422E41">
        <w:rPr>
          <w:rStyle w:val="EndnoteReference"/>
          <w:szCs w:val="24"/>
        </w:rPr>
        <w:endnoteReference w:id="177"/>
      </w:r>
      <w:r w:rsidR="00941398" w:rsidRPr="0031048E">
        <w:rPr>
          <w:rFonts w:cs="Arial"/>
          <w:szCs w:val="24"/>
        </w:rPr>
        <w:t xml:space="preserve"> </w:t>
      </w:r>
      <w:r w:rsidR="00C056AC">
        <w:rPr>
          <w:rFonts w:cs="Arial"/>
        </w:rPr>
        <w:t>F</w:t>
      </w:r>
      <w:r w:rsidR="00C056AC" w:rsidRPr="00DD2202">
        <w:rPr>
          <w:rFonts w:cs="Arial"/>
        </w:rPr>
        <w:t>urthermore, children receiving social care services are more likely to be no</w:t>
      </w:r>
      <w:r w:rsidR="001C04F3">
        <w:rPr>
          <w:rFonts w:cs="Arial"/>
        </w:rPr>
        <w:t>n-</w:t>
      </w:r>
      <w:r w:rsidR="00C056AC" w:rsidRPr="00DD2202">
        <w:rPr>
          <w:rFonts w:cs="Arial"/>
        </w:rPr>
        <w:t>enrolled by Year 11</w:t>
      </w:r>
      <w:r w:rsidR="00C056AC">
        <w:rPr>
          <w:rFonts w:cs="Arial"/>
        </w:rPr>
        <w:t xml:space="preserve"> </w:t>
      </w:r>
      <w:r w:rsidR="008D3EDC">
        <w:rPr>
          <w:rFonts w:cs="Arial"/>
        </w:rPr>
        <w:t>(</w:t>
      </w:r>
      <w:r w:rsidR="00C056AC" w:rsidRPr="00DD2202">
        <w:rPr>
          <w:rFonts w:cs="Arial"/>
        </w:rPr>
        <w:t>a proxy for off-rolling</w:t>
      </w:r>
      <w:r w:rsidR="008D3EDC">
        <w:rPr>
          <w:rFonts w:cs="Arial"/>
        </w:rPr>
        <w:t>)</w:t>
      </w:r>
      <w:r w:rsidR="00C056AC" w:rsidRPr="00361486">
        <w:rPr>
          <w:rFonts w:cs="Arial"/>
        </w:rPr>
        <w:t xml:space="preserve"> and those with a history of SEND are even more likely to be non-enrolled during these crucial GCSE years</w:t>
      </w:r>
      <w:r w:rsidR="00606736">
        <w:rPr>
          <w:rFonts w:cs="Arial"/>
        </w:rPr>
        <w:t>.</w:t>
      </w:r>
      <w:r w:rsidR="00941398">
        <w:rPr>
          <w:rStyle w:val="EndnoteReference"/>
          <w:szCs w:val="24"/>
        </w:rPr>
        <w:endnoteReference w:id="178"/>
      </w:r>
      <w:r w:rsidR="00941398" w:rsidRPr="00595FE6">
        <w:rPr>
          <w:rFonts w:cs="Arial"/>
          <w:szCs w:val="24"/>
        </w:rPr>
        <w:t xml:space="preserve"> </w:t>
      </w:r>
      <w:r w:rsidR="000827BA">
        <w:rPr>
          <w:rFonts w:cs="Arial"/>
        </w:rPr>
        <w:t xml:space="preserve">Care experienced children </w:t>
      </w:r>
      <w:r w:rsidR="000827BA" w:rsidRPr="007B39F5">
        <w:rPr>
          <w:rFonts w:cs="Arial"/>
        </w:rPr>
        <w:t xml:space="preserve">with behavioural, emotional, and social difficulties </w:t>
      </w:r>
      <w:r w:rsidR="000827BA">
        <w:rPr>
          <w:rFonts w:cs="Arial"/>
        </w:rPr>
        <w:t>are</w:t>
      </w:r>
      <w:r w:rsidR="000827BA" w:rsidRPr="007B39F5">
        <w:rPr>
          <w:rFonts w:cs="Arial"/>
        </w:rPr>
        <w:t xml:space="preserve"> particularly vulnerable, </w:t>
      </w:r>
      <w:r w:rsidR="000827BA" w:rsidRPr="00D62D35">
        <w:rPr>
          <w:rFonts w:cs="Arial"/>
        </w:rPr>
        <w:t xml:space="preserve">being significantly more likely to face </w:t>
      </w:r>
      <w:r w:rsidR="00073343">
        <w:rPr>
          <w:rFonts w:cs="Arial"/>
        </w:rPr>
        <w:t>exclusion</w:t>
      </w:r>
      <w:r w:rsidR="000827BA" w:rsidRPr="00D62D35">
        <w:rPr>
          <w:rFonts w:cs="Arial"/>
        </w:rPr>
        <w:t xml:space="preserve"> by Year 9</w:t>
      </w:r>
      <w:r w:rsidR="007677FC">
        <w:rPr>
          <w:rFonts w:cs="Arial"/>
        </w:rPr>
        <w:t xml:space="preserve"> and </w:t>
      </w:r>
      <w:r w:rsidR="006B2EE8">
        <w:rPr>
          <w:rFonts w:cs="Arial"/>
        </w:rPr>
        <w:t xml:space="preserve">were </w:t>
      </w:r>
      <w:r w:rsidR="007677FC">
        <w:rPr>
          <w:rFonts w:cs="Arial"/>
        </w:rPr>
        <w:t>more likely to be male</w:t>
      </w:r>
      <w:r w:rsidR="00807519">
        <w:rPr>
          <w:rFonts w:cs="Arial"/>
        </w:rPr>
        <w:t>.</w:t>
      </w:r>
      <w:r w:rsidR="00941398">
        <w:rPr>
          <w:rStyle w:val="EndnoteReference"/>
          <w:szCs w:val="24"/>
        </w:rPr>
        <w:endnoteReference w:id="179"/>
      </w:r>
      <w:r w:rsidR="00941398" w:rsidRPr="00595FE6">
        <w:rPr>
          <w:rFonts w:cs="Arial"/>
          <w:szCs w:val="24"/>
        </w:rPr>
        <w:t xml:space="preserve"> </w:t>
      </w:r>
      <w:r w:rsidR="004E7C3B" w:rsidRPr="006A0F4F">
        <w:rPr>
          <w:rFonts w:cs="Arial"/>
        </w:rPr>
        <w:t xml:space="preserve">When examining educational trajectories, </w:t>
      </w:r>
      <w:r w:rsidR="004E7C3B">
        <w:rPr>
          <w:rFonts w:cs="Arial"/>
        </w:rPr>
        <w:t xml:space="preserve">SEN </w:t>
      </w:r>
      <w:r w:rsidR="004E7C3B" w:rsidRPr="006A0F4F">
        <w:rPr>
          <w:rFonts w:cs="Arial"/>
        </w:rPr>
        <w:t>emerge</w:t>
      </w:r>
      <w:r w:rsidR="004C3C94">
        <w:rPr>
          <w:rFonts w:cs="Arial"/>
        </w:rPr>
        <w:t>d</w:t>
      </w:r>
      <w:r w:rsidR="004E7C3B" w:rsidRPr="006A0F4F">
        <w:rPr>
          <w:rFonts w:cs="Arial"/>
        </w:rPr>
        <w:t xml:space="preserve"> as the strongest predictor of persistently low achievement or declining performance over time</w:t>
      </w:r>
      <w:r w:rsidR="0008011B" w:rsidRPr="0008011B">
        <w:rPr>
          <w:rFonts w:cs="Arial"/>
        </w:rPr>
        <w:t xml:space="preserve"> </w:t>
      </w:r>
      <w:r w:rsidR="0008011B" w:rsidRPr="006A0F4F">
        <w:rPr>
          <w:rFonts w:cs="Arial"/>
        </w:rPr>
        <w:t>among children in care</w:t>
      </w:r>
      <w:r w:rsidR="00941398">
        <w:rPr>
          <w:rFonts w:cs="Arial"/>
          <w:szCs w:val="24"/>
        </w:rPr>
        <w:t>.</w:t>
      </w:r>
      <w:r w:rsidR="00941398">
        <w:rPr>
          <w:rStyle w:val="EndnoteReference"/>
          <w:szCs w:val="24"/>
        </w:rPr>
        <w:endnoteReference w:id="180"/>
      </w:r>
    </w:p>
    <w:p w14:paraId="1AE3160A" w14:textId="77777777" w:rsidR="00EB1BC1" w:rsidRPr="00550E39" w:rsidRDefault="00EB1BC1" w:rsidP="00550E39">
      <w:pPr>
        <w:spacing w:after="0" w:line="240" w:lineRule="auto"/>
        <w:rPr>
          <w:rFonts w:cs="Arial"/>
          <w:szCs w:val="24"/>
        </w:rPr>
      </w:pPr>
    </w:p>
    <w:p w14:paraId="737DC001" w14:textId="1605202C" w:rsidR="002A7E41" w:rsidRDefault="00C3665C" w:rsidP="00550E39">
      <w:pPr>
        <w:spacing w:line="240" w:lineRule="auto"/>
        <w:rPr>
          <w:rFonts w:cs="Arial"/>
        </w:rPr>
      </w:pPr>
      <w:r w:rsidRPr="00550E39">
        <w:rPr>
          <w:rFonts w:cs="Arial"/>
          <w:b/>
          <w:color w:val="0079C2"/>
          <w:szCs w:val="24"/>
        </w:rPr>
        <w:t>Education experiences of children adopted from care</w:t>
      </w:r>
      <w:r w:rsidR="00550E39">
        <w:rPr>
          <w:rFonts w:cs="Arial"/>
          <w:b/>
          <w:color w:val="0079C2"/>
          <w:szCs w:val="24"/>
        </w:rPr>
        <w:t>:</w:t>
      </w:r>
      <w:r w:rsidR="006F4D58" w:rsidRPr="003F5CBF">
        <w:rPr>
          <w:rStyle w:val="EndnoteReference"/>
          <w:szCs w:val="24"/>
        </w:rPr>
        <w:t xml:space="preserve"> </w:t>
      </w:r>
      <w:r w:rsidR="003F5CBF">
        <w:rPr>
          <w:rStyle w:val="EndnoteReference"/>
          <w:szCs w:val="24"/>
        </w:rPr>
        <w:endnoteReference w:id="181"/>
      </w:r>
      <w:r w:rsidR="006F4D58">
        <w:rPr>
          <w:rFonts w:cs="Arial"/>
          <w:b/>
          <w:color w:val="0079C2"/>
          <w:szCs w:val="24"/>
        </w:rPr>
        <w:t xml:space="preserve"> </w:t>
      </w:r>
      <w:r w:rsidR="003F5CBF">
        <w:rPr>
          <w:rFonts w:cs="Arial"/>
        </w:rPr>
        <w:t>The only qualitative paper</w:t>
      </w:r>
      <w:r w:rsidR="00815E9E">
        <w:rPr>
          <w:rFonts w:cs="Arial"/>
        </w:rPr>
        <w:t xml:space="preserve"> explored n</w:t>
      </w:r>
      <w:r w:rsidR="007B0FF6" w:rsidRPr="007B0FF6">
        <w:rPr>
          <w:rFonts w:cs="Arial"/>
        </w:rPr>
        <w:t xml:space="preserve">arratives from adopters and adopted children, </w:t>
      </w:r>
      <w:r w:rsidR="0039587A">
        <w:rPr>
          <w:rFonts w:cs="Arial"/>
        </w:rPr>
        <w:t>the majority</w:t>
      </w:r>
      <w:r w:rsidR="007B0FF6" w:rsidRPr="007B0FF6">
        <w:rPr>
          <w:rFonts w:cs="Arial"/>
        </w:rPr>
        <w:t xml:space="preserve"> of whom ha</w:t>
      </w:r>
      <w:r w:rsidR="00F152AF">
        <w:rPr>
          <w:rFonts w:cs="Arial"/>
        </w:rPr>
        <w:t>d</w:t>
      </w:r>
      <w:r w:rsidR="007B0FF6" w:rsidRPr="007B0FF6">
        <w:rPr>
          <w:rFonts w:cs="Arial"/>
        </w:rPr>
        <w:t xml:space="preserve"> social, emotional, and mental health (SEMH) needs</w:t>
      </w:r>
      <w:r w:rsidR="00EA6ACE">
        <w:rPr>
          <w:rFonts w:cs="Arial"/>
        </w:rPr>
        <w:t xml:space="preserve"> and </w:t>
      </w:r>
      <w:r w:rsidR="0039587A">
        <w:rPr>
          <w:rFonts w:cs="Arial"/>
        </w:rPr>
        <w:t xml:space="preserve">/ </w:t>
      </w:r>
      <w:r w:rsidR="00EA6ACE">
        <w:rPr>
          <w:rFonts w:cs="Arial"/>
        </w:rPr>
        <w:t>or other SEN needs</w:t>
      </w:r>
      <w:r w:rsidR="00815E9E">
        <w:rPr>
          <w:rFonts w:cs="Arial"/>
        </w:rPr>
        <w:t xml:space="preserve">. </w:t>
      </w:r>
      <w:r w:rsidR="001D232B">
        <w:rPr>
          <w:rFonts w:cs="Arial"/>
        </w:rPr>
        <w:t>It</w:t>
      </w:r>
      <w:r w:rsidR="007B0FF6" w:rsidRPr="007B0FF6">
        <w:rPr>
          <w:rFonts w:cs="Arial"/>
        </w:rPr>
        <w:t xml:space="preserve"> revealed several key themes</w:t>
      </w:r>
      <w:r w:rsidR="001D232B">
        <w:rPr>
          <w:rFonts w:cs="Arial"/>
        </w:rPr>
        <w:t>, which</w:t>
      </w:r>
      <w:r w:rsidR="007B0FF6" w:rsidRPr="007B0FF6">
        <w:rPr>
          <w:rFonts w:cs="Arial"/>
        </w:rPr>
        <w:t xml:space="preserve"> included experience</w:t>
      </w:r>
      <w:r w:rsidR="00CC3DAE">
        <w:rPr>
          <w:rFonts w:cs="Arial"/>
        </w:rPr>
        <w:t>s</w:t>
      </w:r>
      <w:r w:rsidR="007B0FF6" w:rsidRPr="007B0FF6">
        <w:rPr>
          <w:rFonts w:cs="Arial"/>
        </w:rPr>
        <w:t xml:space="preserve"> of turbulent and unresolved emotions, challenges in forming trusting relationships, and difficulties within school systems that often fail to adequately understand and support adopted children. </w:t>
      </w:r>
    </w:p>
    <w:p w14:paraId="4D6B738C" w14:textId="791E1D47" w:rsidR="00261FF4" w:rsidRPr="000D6568" w:rsidRDefault="00261FF4" w:rsidP="00261FF4">
      <w:pPr>
        <w:spacing w:line="240" w:lineRule="auto"/>
        <w:rPr>
          <w:rFonts w:cs="Arial"/>
          <w:color w:val="A65588"/>
          <w:szCs w:val="24"/>
        </w:rPr>
      </w:pPr>
      <w:r w:rsidRPr="000D6568">
        <w:rPr>
          <w:rFonts w:cs="Arial"/>
          <w:color w:val="A65588"/>
          <w:szCs w:val="24"/>
        </w:rPr>
        <w:t>"Having had experiences that an awful lot of kids will never have, thank God, it’s made her look at people in a more guarded way in general and she is much more picky about who she makes friends with ... and what she will tell people, particularly adults because it’s adults obviously that caused the problems in the first place." (adopter)</w:t>
      </w:r>
    </w:p>
    <w:p w14:paraId="23D2F80F" w14:textId="7512D945" w:rsidR="00635057" w:rsidRPr="00D03938" w:rsidRDefault="00E013BE" w:rsidP="00550E39">
      <w:pPr>
        <w:spacing w:line="240" w:lineRule="auto"/>
        <w:rPr>
          <w:rFonts w:cs="Arial"/>
          <w:color w:val="A65588"/>
          <w:szCs w:val="24"/>
        </w:rPr>
      </w:pPr>
      <w:r>
        <w:rPr>
          <w:rFonts w:cs="Arial"/>
        </w:rPr>
        <w:t xml:space="preserve">When describing school itself, </w:t>
      </w:r>
      <w:r w:rsidR="00635057" w:rsidRPr="001D23B8">
        <w:rPr>
          <w:szCs w:val="24"/>
        </w:rPr>
        <w:t>children comment</w:t>
      </w:r>
      <w:r w:rsidR="00E41DB2">
        <w:rPr>
          <w:szCs w:val="24"/>
        </w:rPr>
        <w:t>s</w:t>
      </w:r>
      <w:r w:rsidR="00635057" w:rsidRPr="001D23B8">
        <w:rPr>
          <w:szCs w:val="24"/>
        </w:rPr>
        <w:t xml:space="preserve"> </w:t>
      </w:r>
      <w:r w:rsidR="00D169A5">
        <w:rPr>
          <w:szCs w:val="24"/>
        </w:rPr>
        <w:t>included</w:t>
      </w:r>
      <w:r w:rsidR="00635057" w:rsidRPr="001D23B8">
        <w:rPr>
          <w:szCs w:val="24"/>
        </w:rPr>
        <w:t xml:space="preserve">: </w:t>
      </w:r>
      <w:r w:rsidR="00635057" w:rsidRPr="00D03938">
        <w:rPr>
          <w:rFonts w:cs="Arial"/>
          <w:color w:val="A65588"/>
          <w:szCs w:val="24"/>
        </w:rPr>
        <w:t>‘not safe’ (Billy,13); ‘stressful’ (Frankie,13); ‘like hell’ (Corey,16); ‘like throwing me into a battle zone without any protection’ (Alex,14)</w:t>
      </w:r>
      <w:r w:rsidR="00E41DB2" w:rsidRPr="00D03938">
        <w:rPr>
          <w:rFonts w:cs="Arial"/>
          <w:color w:val="A65588"/>
          <w:szCs w:val="24"/>
        </w:rPr>
        <w:t>.</w:t>
      </w:r>
    </w:p>
    <w:p w14:paraId="53E75CD2" w14:textId="4DF3FA37" w:rsidR="00E460E8" w:rsidRDefault="007B0FF6" w:rsidP="00550E39">
      <w:pPr>
        <w:spacing w:line="240" w:lineRule="auto"/>
        <w:rPr>
          <w:rFonts w:cs="Arial"/>
        </w:rPr>
      </w:pPr>
      <w:r w:rsidRPr="007B0FF6">
        <w:rPr>
          <w:rFonts w:cs="Arial"/>
        </w:rPr>
        <w:t xml:space="preserve">Positive experiences were also highlighted, such as valued and fulfilling relationships in school </w:t>
      </w:r>
      <w:r w:rsidR="00E455CF">
        <w:rPr>
          <w:rFonts w:cs="Arial"/>
        </w:rPr>
        <w:t>can</w:t>
      </w:r>
      <w:r w:rsidRPr="007B0FF6">
        <w:rPr>
          <w:rFonts w:cs="Arial"/>
        </w:rPr>
        <w:t xml:space="preserve"> provide opportunities for relational healing. However, there were concerns about limited understanding, inaccuracies, and discrimination related to adoption within schools, communities, and wider society</w:t>
      </w:r>
      <w:r w:rsidR="004A4681">
        <w:rPr>
          <w:rFonts w:cs="Arial"/>
        </w:rPr>
        <w:t>.</w:t>
      </w:r>
    </w:p>
    <w:p w14:paraId="17F19BE7" w14:textId="6BEF0948" w:rsidR="004064B2" w:rsidRPr="00CC6206" w:rsidRDefault="006914F3" w:rsidP="00550E39">
      <w:pPr>
        <w:spacing w:line="240" w:lineRule="auto"/>
        <w:rPr>
          <w:rFonts w:cs="Arial"/>
          <w:color w:val="A65588"/>
          <w:szCs w:val="24"/>
        </w:rPr>
      </w:pPr>
      <w:r w:rsidRPr="00CC6206">
        <w:rPr>
          <w:rFonts w:cs="Arial"/>
          <w:color w:val="A65588"/>
          <w:szCs w:val="24"/>
        </w:rPr>
        <w:t>"They don’t really know that children can be quite badly traumatised or affected by their earlier experience ... they’ll be like, ‘Oh, I’m sure they’re sad at first but they’ll get over it’...They see it as kind of like a phase, not a permanent thing." (Jesse, 16)</w:t>
      </w:r>
    </w:p>
    <w:p w14:paraId="129F872E" w14:textId="77777777" w:rsidR="00104E8E" w:rsidRPr="00595FE6" w:rsidRDefault="00104E8E" w:rsidP="0092412A">
      <w:pPr>
        <w:spacing w:after="0" w:line="240" w:lineRule="auto"/>
        <w:rPr>
          <w:rFonts w:cs="Arial"/>
          <w:szCs w:val="24"/>
        </w:rPr>
      </w:pPr>
    </w:p>
    <w:p w14:paraId="12533B83" w14:textId="10656F83" w:rsidR="004D42D1" w:rsidRPr="00C70C71" w:rsidRDefault="00941398" w:rsidP="0096012C">
      <w:pPr>
        <w:pStyle w:val="Heading3"/>
      </w:pPr>
      <w:r>
        <w:t>Gender identity and sexual orientation</w:t>
      </w:r>
    </w:p>
    <w:p w14:paraId="29F4F8A4" w14:textId="6AB57052" w:rsidR="00872196" w:rsidRDefault="00901B1A" w:rsidP="00D9246A">
      <w:pPr>
        <w:spacing w:line="240" w:lineRule="auto"/>
        <w:rPr>
          <w:rFonts w:ascii="Georgia" w:eastAsia="Calibri" w:hAnsi="Georgia" w:cs="Times New Roman"/>
          <w:color w:val="086A76"/>
          <w:kern w:val="28"/>
          <w:sz w:val="36"/>
          <w:szCs w:val="36"/>
        </w:rPr>
      </w:pPr>
      <w:r>
        <w:rPr>
          <w:szCs w:val="24"/>
        </w:rPr>
        <w:t>Our intention was</w:t>
      </w:r>
      <w:r w:rsidR="00A9772C">
        <w:rPr>
          <w:szCs w:val="24"/>
        </w:rPr>
        <w:t xml:space="preserve"> to </w:t>
      </w:r>
      <w:r w:rsidR="0074371C">
        <w:rPr>
          <w:szCs w:val="24"/>
        </w:rPr>
        <w:t xml:space="preserve">report on </w:t>
      </w:r>
      <w:r w:rsidR="00F668F3">
        <w:rPr>
          <w:szCs w:val="24"/>
        </w:rPr>
        <w:t xml:space="preserve">intersectional </w:t>
      </w:r>
      <w:r w:rsidR="0074371C">
        <w:rPr>
          <w:szCs w:val="24"/>
        </w:rPr>
        <w:t>literature</w:t>
      </w:r>
      <w:r w:rsidR="00A9772C">
        <w:rPr>
          <w:szCs w:val="24"/>
        </w:rPr>
        <w:t xml:space="preserve"> on gender identity and sexual or</w:t>
      </w:r>
      <w:r w:rsidR="006C0E70">
        <w:rPr>
          <w:szCs w:val="24"/>
        </w:rPr>
        <w:t xml:space="preserve">ientation </w:t>
      </w:r>
      <w:r w:rsidR="00853C84">
        <w:rPr>
          <w:szCs w:val="24"/>
        </w:rPr>
        <w:t xml:space="preserve">for </w:t>
      </w:r>
      <w:r w:rsidR="00C2176B">
        <w:rPr>
          <w:szCs w:val="24"/>
        </w:rPr>
        <w:t xml:space="preserve">SEND </w:t>
      </w:r>
      <w:r w:rsidR="00853C84">
        <w:rPr>
          <w:szCs w:val="24"/>
        </w:rPr>
        <w:t xml:space="preserve">young people </w:t>
      </w:r>
      <w:r w:rsidR="00A55BED">
        <w:rPr>
          <w:szCs w:val="24"/>
        </w:rPr>
        <w:t>separately</w:t>
      </w:r>
      <w:r w:rsidR="00853C84">
        <w:rPr>
          <w:szCs w:val="24"/>
        </w:rPr>
        <w:t>,</w:t>
      </w:r>
      <w:r w:rsidR="00A55BED" w:rsidRPr="009B54EF">
        <w:rPr>
          <w:szCs w:val="24"/>
        </w:rPr>
        <w:t xml:space="preserve"> </w:t>
      </w:r>
      <w:r w:rsidR="009B54EF" w:rsidRPr="009B54EF">
        <w:rPr>
          <w:szCs w:val="24"/>
        </w:rPr>
        <w:t>as they represent distinct dimensions</w:t>
      </w:r>
      <w:r w:rsidR="007C55A1">
        <w:rPr>
          <w:szCs w:val="24"/>
        </w:rPr>
        <w:t xml:space="preserve"> of identity</w:t>
      </w:r>
      <w:r w:rsidR="00C468F3">
        <w:rPr>
          <w:szCs w:val="24"/>
        </w:rPr>
        <w:t>.</w:t>
      </w:r>
      <w:r w:rsidR="00244001">
        <w:rPr>
          <w:szCs w:val="24"/>
        </w:rPr>
        <w:t xml:space="preserve"> However, </w:t>
      </w:r>
      <w:r w:rsidR="002D6F27">
        <w:rPr>
          <w:szCs w:val="24"/>
        </w:rPr>
        <w:t>o</w:t>
      </w:r>
      <w:r w:rsidR="00941398">
        <w:rPr>
          <w:szCs w:val="24"/>
        </w:rPr>
        <w:t xml:space="preserve">nly two papers were identified </w:t>
      </w:r>
      <w:r w:rsidR="006C0DFE">
        <w:rPr>
          <w:szCs w:val="24"/>
        </w:rPr>
        <w:t>for</w:t>
      </w:r>
      <w:r w:rsidR="00941398">
        <w:rPr>
          <w:szCs w:val="24"/>
        </w:rPr>
        <w:t xml:space="preserve"> SEND and gender identity </w:t>
      </w:r>
      <w:r w:rsidR="001B7210">
        <w:rPr>
          <w:szCs w:val="24"/>
        </w:rPr>
        <w:t>and/</w:t>
      </w:r>
      <w:r w:rsidR="00941398">
        <w:rPr>
          <w:szCs w:val="24"/>
        </w:rPr>
        <w:t>or sexual orientation</w:t>
      </w:r>
      <w:r w:rsidR="00D83E93">
        <w:rPr>
          <w:szCs w:val="24"/>
        </w:rPr>
        <w:t xml:space="preserve"> combined so we have summarised these here</w:t>
      </w:r>
      <w:r w:rsidR="009F7215">
        <w:rPr>
          <w:szCs w:val="24"/>
        </w:rPr>
        <w:t xml:space="preserve">. </w:t>
      </w:r>
      <w:r w:rsidR="00872196">
        <w:rPr>
          <w:szCs w:val="24"/>
        </w:rPr>
        <w:t>Both</w:t>
      </w:r>
      <w:r w:rsidR="00872196" w:rsidRPr="001D23B8">
        <w:rPr>
          <w:szCs w:val="24"/>
        </w:rPr>
        <w:t xml:space="preserve"> papers touch</w:t>
      </w:r>
      <w:r w:rsidR="00872196">
        <w:rPr>
          <w:szCs w:val="24"/>
        </w:rPr>
        <w:t>ed</w:t>
      </w:r>
      <w:r w:rsidR="00872196" w:rsidRPr="001D23B8">
        <w:rPr>
          <w:szCs w:val="24"/>
        </w:rPr>
        <w:t xml:space="preserve"> on the urgent need for further research, targeted resources, and nuanced frameworks to </w:t>
      </w:r>
      <w:r w:rsidR="00872196" w:rsidRPr="001D23B8">
        <w:rPr>
          <w:szCs w:val="24"/>
        </w:rPr>
        <w:lastRenderedPageBreak/>
        <w:t xml:space="preserve">better support gender-diverse </w:t>
      </w:r>
      <w:r w:rsidR="00872196">
        <w:rPr>
          <w:szCs w:val="24"/>
        </w:rPr>
        <w:t>children and young people</w:t>
      </w:r>
      <w:r w:rsidR="00872196" w:rsidRPr="001D23B8">
        <w:rPr>
          <w:szCs w:val="24"/>
        </w:rPr>
        <w:t xml:space="preserve"> within SEND systems, ensuring both psychological integrity a</w:t>
      </w:r>
      <w:r w:rsidR="00872196">
        <w:rPr>
          <w:szCs w:val="24"/>
        </w:rPr>
        <w:t>n</w:t>
      </w:r>
      <w:r w:rsidR="00872196" w:rsidRPr="001D23B8">
        <w:rPr>
          <w:szCs w:val="24"/>
        </w:rPr>
        <w:t>d safeguarding are upheld</w:t>
      </w:r>
      <w:r w:rsidR="00872196" w:rsidRPr="00595FE6">
        <w:rPr>
          <w:rFonts w:cs="Arial"/>
          <w:szCs w:val="24"/>
        </w:rPr>
        <w:t>.</w:t>
      </w:r>
    </w:p>
    <w:p w14:paraId="6FC46E2E" w14:textId="3B0FC1B0" w:rsidR="00941398" w:rsidRDefault="00E35443" w:rsidP="00D9246A">
      <w:pPr>
        <w:spacing w:line="240" w:lineRule="auto"/>
        <w:rPr>
          <w:szCs w:val="24"/>
        </w:rPr>
      </w:pPr>
      <w:r w:rsidRPr="001D23B8">
        <w:rPr>
          <w:szCs w:val="24"/>
        </w:rPr>
        <w:t xml:space="preserve">LGBTQI+ students with SEND </w:t>
      </w:r>
      <w:r w:rsidR="00170116">
        <w:rPr>
          <w:szCs w:val="24"/>
        </w:rPr>
        <w:t>experience discrimination and victimisation</w:t>
      </w:r>
      <w:r w:rsidR="00792DC6">
        <w:rPr>
          <w:szCs w:val="24"/>
        </w:rPr>
        <w:t xml:space="preserve"> </w:t>
      </w:r>
      <w:r w:rsidR="00941398">
        <w:rPr>
          <w:szCs w:val="24"/>
        </w:rPr>
        <w:t xml:space="preserve">and </w:t>
      </w:r>
      <w:r w:rsidR="00941398" w:rsidRPr="001D23B8">
        <w:rPr>
          <w:szCs w:val="24"/>
        </w:rPr>
        <w:t>often face compounded marginalisation, with higher instances of bullying, a lack of tailored support</w:t>
      </w:r>
      <w:r w:rsidR="00426CC3">
        <w:rPr>
          <w:szCs w:val="24"/>
        </w:rPr>
        <w:t>,</w:t>
      </w:r>
      <w:r w:rsidR="00941398" w:rsidRPr="001D23B8">
        <w:rPr>
          <w:szCs w:val="24"/>
        </w:rPr>
        <w:t xml:space="preserve"> and environments that question the validity of their identities. </w:t>
      </w:r>
      <w:r>
        <w:rPr>
          <w:szCs w:val="24"/>
        </w:rPr>
        <w:t>There is a</w:t>
      </w:r>
      <w:r w:rsidR="00941398" w:rsidRPr="001D23B8">
        <w:rPr>
          <w:szCs w:val="24"/>
        </w:rPr>
        <w:t xml:space="preserve"> growing recognition of the complex intersection between SEND</w:t>
      </w:r>
      <w:r w:rsidR="00941398">
        <w:rPr>
          <w:szCs w:val="24"/>
        </w:rPr>
        <w:t xml:space="preserve"> and gender identity</w:t>
      </w:r>
      <w:r>
        <w:rPr>
          <w:szCs w:val="24"/>
        </w:rPr>
        <w:t xml:space="preserve"> </w:t>
      </w:r>
      <w:r w:rsidR="00941398">
        <w:rPr>
          <w:szCs w:val="24"/>
        </w:rPr>
        <w:t>/</w:t>
      </w:r>
      <w:r>
        <w:rPr>
          <w:szCs w:val="24"/>
        </w:rPr>
        <w:t xml:space="preserve"> </w:t>
      </w:r>
      <w:r w:rsidR="00720E94">
        <w:rPr>
          <w:szCs w:val="24"/>
        </w:rPr>
        <w:t>sexual orientation</w:t>
      </w:r>
      <w:r w:rsidR="00941398" w:rsidRPr="001D23B8">
        <w:rPr>
          <w:szCs w:val="24"/>
        </w:rPr>
        <w:t>, particularly among children and young people experiencing gender dysphoria or identifying as transgender.</w:t>
      </w:r>
      <w:r>
        <w:rPr>
          <w:rStyle w:val="EndnoteReference"/>
          <w:szCs w:val="24"/>
        </w:rPr>
        <w:endnoteReference w:id="182"/>
      </w:r>
    </w:p>
    <w:p w14:paraId="7B16B44F" w14:textId="11D54A2C" w:rsidR="00E10280" w:rsidRDefault="00872196" w:rsidP="00D9246A">
      <w:pPr>
        <w:spacing w:line="240" w:lineRule="auto"/>
        <w:rPr>
          <w:szCs w:val="24"/>
        </w:rPr>
      </w:pPr>
      <w:r>
        <w:rPr>
          <w:szCs w:val="24"/>
        </w:rPr>
        <w:t>Evidence from</w:t>
      </w:r>
      <w:r w:rsidR="00941398" w:rsidRPr="001D23B8">
        <w:rPr>
          <w:szCs w:val="24"/>
        </w:rPr>
        <w:t xml:space="preserve"> educational psychologists working with autistic and gender-diverse youth</w:t>
      </w:r>
      <w:r w:rsidR="00720E94">
        <w:rPr>
          <w:szCs w:val="24"/>
        </w:rPr>
        <w:t xml:space="preserve"> </w:t>
      </w:r>
      <w:r w:rsidR="00941398" w:rsidRPr="001D23B8">
        <w:rPr>
          <w:szCs w:val="24"/>
        </w:rPr>
        <w:t>show</w:t>
      </w:r>
      <w:r w:rsidR="00640558">
        <w:rPr>
          <w:szCs w:val="24"/>
        </w:rPr>
        <w:t>ed</w:t>
      </w:r>
      <w:r w:rsidR="00941398" w:rsidRPr="001D23B8">
        <w:rPr>
          <w:szCs w:val="24"/>
        </w:rPr>
        <w:t xml:space="preserve"> how practitioners often engage</w:t>
      </w:r>
      <w:r w:rsidR="00CC11DD">
        <w:rPr>
          <w:szCs w:val="24"/>
        </w:rPr>
        <w:t>d</w:t>
      </w:r>
      <w:r w:rsidR="00941398" w:rsidRPr="001D23B8">
        <w:rPr>
          <w:szCs w:val="24"/>
        </w:rPr>
        <w:t xml:space="preserve"> in active, collaborative sense-making due to the absence of clear theoretical or policy guidance. Central to their practice was the validation of young people’s identities, development of inclusive school cultures, and staff training to bridge knowledge gaps.</w:t>
      </w:r>
      <w:r>
        <w:rPr>
          <w:rStyle w:val="EndnoteReference"/>
          <w:szCs w:val="24"/>
        </w:rPr>
        <w:endnoteReference w:id="183"/>
      </w:r>
      <w:r w:rsidR="00941398" w:rsidRPr="001D23B8">
        <w:rPr>
          <w:szCs w:val="24"/>
        </w:rPr>
        <w:t xml:space="preserve"> </w:t>
      </w:r>
    </w:p>
    <w:p w14:paraId="105B9569" w14:textId="77777777" w:rsidR="00975328" w:rsidRDefault="00975328" w:rsidP="00D9246A">
      <w:pPr>
        <w:spacing w:line="240" w:lineRule="auto"/>
        <w:rPr>
          <w:rFonts w:cs="Arial"/>
          <w:szCs w:val="24"/>
        </w:rPr>
        <w:sectPr w:rsidR="00975328" w:rsidSect="00975328">
          <w:footnotePr>
            <w:numFmt w:val="lowerLetter"/>
          </w:footnotePr>
          <w:endnotePr>
            <w:numFmt w:val="decimal"/>
          </w:endnotePr>
          <w:pgSz w:w="11906" w:h="16838"/>
          <w:pgMar w:top="1134" w:right="1134" w:bottom="1134" w:left="1418" w:header="709" w:footer="709" w:gutter="0"/>
          <w:cols w:space="708"/>
          <w:docGrid w:linePitch="360"/>
        </w:sectPr>
      </w:pPr>
    </w:p>
    <w:p w14:paraId="3D86E97E" w14:textId="743C6654" w:rsidR="00430B52" w:rsidRPr="00BF25AF" w:rsidRDefault="00430B52" w:rsidP="00D9246A">
      <w:pPr>
        <w:pStyle w:val="Heading1"/>
        <w:spacing w:before="0"/>
      </w:pPr>
      <w:bookmarkStart w:id="214" w:name="_Toc218690645"/>
      <w:r w:rsidRPr="00BF25AF">
        <w:lastRenderedPageBreak/>
        <w:t>Pa</w:t>
      </w:r>
      <w:r w:rsidR="007410A9" w:rsidRPr="00BF25AF">
        <w:t>rent</w:t>
      </w:r>
      <w:r w:rsidRPr="00BF25AF">
        <w:t xml:space="preserve"> and care</w:t>
      </w:r>
      <w:r w:rsidR="0089783A" w:rsidRPr="00BF25AF">
        <w:t>r</w:t>
      </w:r>
      <w:r w:rsidRPr="00BF25AF">
        <w:t xml:space="preserve"> voice</w:t>
      </w:r>
      <w:bookmarkEnd w:id="214"/>
    </w:p>
    <w:p w14:paraId="44A61956" w14:textId="70A968C7" w:rsidR="0034732E" w:rsidRPr="0034732E" w:rsidRDefault="00D330C6" w:rsidP="00D9246A">
      <w:pPr>
        <w:spacing w:line="240" w:lineRule="auto"/>
        <w:rPr>
          <w:rFonts w:cs="Arial"/>
          <w:szCs w:val="24"/>
        </w:rPr>
      </w:pPr>
      <w:r w:rsidRPr="00595FE6">
        <w:rPr>
          <w:rFonts w:cs="Arial"/>
          <w:szCs w:val="24"/>
        </w:rPr>
        <w:t xml:space="preserve">The following section </w:t>
      </w:r>
      <w:r w:rsidR="00025F78" w:rsidRPr="00595FE6">
        <w:rPr>
          <w:rFonts w:cs="Arial"/>
          <w:szCs w:val="24"/>
        </w:rPr>
        <w:t>summarises</w:t>
      </w:r>
      <w:r w:rsidR="005F6389">
        <w:rPr>
          <w:rFonts w:cs="Arial"/>
          <w:szCs w:val="24"/>
        </w:rPr>
        <w:t xml:space="preserve"> a full report</w:t>
      </w:r>
      <w:r w:rsidR="0034732E">
        <w:rPr>
          <w:rFonts w:cs="Arial"/>
          <w:szCs w:val="24"/>
        </w:rPr>
        <w:t xml:space="preserve"> (</w:t>
      </w:r>
      <w:r w:rsidR="0017393A" w:rsidRPr="0017393A">
        <w:rPr>
          <w:rFonts w:cs="Arial"/>
          <w:szCs w:val="24"/>
        </w:rPr>
        <w:t>A</w:t>
      </w:r>
      <w:r w:rsidR="00676326" w:rsidRPr="0017393A">
        <w:rPr>
          <w:rFonts w:cs="Arial"/>
          <w:szCs w:val="24"/>
        </w:rPr>
        <w:t>ppendix</w:t>
      </w:r>
      <w:r w:rsidR="0017393A" w:rsidRPr="0017393A">
        <w:rPr>
          <w:rFonts w:cs="Arial"/>
          <w:szCs w:val="24"/>
        </w:rPr>
        <w:t xml:space="preserve"> 5</w:t>
      </w:r>
      <w:r w:rsidR="0034732E">
        <w:rPr>
          <w:rFonts w:cs="Arial"/>
          <w:szCs w:val="24"/>
        </w:rPr>
        <w:t>)</w:t>
      </w:r>
      <w:r w:rsidR="005F6389">
        <w:rPr>
          <w:rFonts w:cs="Arial"/>
          <w:szCs w:val="24"/>
        </w:rPr>
        <w:t xml:space="preserve"> that</w:t>
      </w:r>
      <w:r w:rsidR="00025F78" w:rsidRPr="00595FE6">
        <w:rPr>
          <w:rFonts w:cs="Arial"/>
          <w:szCs w:val="24"/>
        </w:rPr>
        <w:t xml:space="preserve"> </w:t>
      </w:r>
      <w:r w:rsidR="005F6389">
        <w:rPr>
          <w:rFonts w:cs="Arial"/>
          <w:szCs w:val="24"/>
        </w:rPr>
        <w:t xml:space="preserve">syntheses </w:t>
      </w:r>
      <w:r w:rsidR="002073F4">
        <w:rPr>
          <w:rFonts w:cs="Arial"/>
          <w:szCs w:val="24"/>
        </w:rPr>
        <w:t xml:space="preserve">existing </w:t>
      </w:r>
      <w:r w:rsidR="0034732E" w:rsidRPr="0034732E">
        <w:rPr>
          <w:rFonts w:cs="Arial"/>
          <w:szCs w:val="24"/>
        </w:rPr>
        <w:t xml:space="preserve">parent </w:t>
      </w:r>
      <w:r w:rsidR="00AE3007">
        <w:rPr>
          <w:rFonts w:cs="Arial"/>
          <w:szCs w:val="24"/>
        </w:rPr>
        <w:t xml:space="preserve">and </w:t>
      </w:r>
      <w:r w:rsidR="0034732E" w:rsidRPr="0034732E">
        <w:rPr>
          <w:rFonts w:cs="Arial"/>
          <w:szCs w:val="24"/>
        </w:rPr>
        <w:t>carer</w:t>
      </w:r>
      <w:r w:rsidR="00AE3007">
        <w:rPr>
          <w:rFonts w:cs="Arial"/>
          <w:szCs w:val="24"/>
        </w:rPr>
        <w:t>s</w:t>
      </w:r>
      <w:r w:rsidR="0034732E" w:rsidRPr="0034732E">
        <w:rPr>
          <w:rFonts w:cs="Arial"/>
          <w:szCs w:val="24"/>
        </w:rPr>
        <w:t xml:space="preserve"> feedback </w:t>
      </w:r>
      <w:r w:rsidR="00576464">
        <w:rPr>
          <w:rFonts w:cs="Arial"/>
          <w:szCs w:val="24"/>
        </w:rPr>
        <w:t xml:space="preserve">captured </w:t>
      </w:r>
      <w:r w:rsidR="0035599A">
        <w:rPr>
          <w:rFonts w:cs="Arial"/>
          <w:szCs w:val="24"/>
        </w:rPr>
        <w:t>between</w:t>
      </w:r>
      <w:r w:rsidR="0034732E" w:rsidRPr="0034732E">
        <w:rPr>
          <w:rFonts w:cs="Arial"/>
          <w:szCs w:val="24"/>
        </w:rPr>
        <w:t xml:space="preserve"> 2020</w:t>
      </w:r>
      <w:r w:rsidR="0035599A">
        <w:rPr>
          <w:rFonts w:cs="Arial"/>
          <w:szCs w:val="24"/>
        </w:rPr>
        <w:t xml:space="preserve"> and November </w:t>
      </w:r>
      <w:r w:rsidR="0034732E" w:rsidRPr="0034732E">
        <w:rPr>
          <w:rFonts w:cs="Arial"/>
          <w:szCs w:val="24"/>
        </w:rPr>
        <w:t xml:space="preserve">2024 to highlight lived experiences of </w:t>
      </w:r>
      <w:r w:rsidR="002073F4" w:rsidRPr="00A9099F">
        <w:rPr>
          <w:szCs w:val="24"/>
        </w:rPr>
        <w:t>parent</w:t>
      </w:r>
      <w:r w:rsidR="00C373D5" w:rsidRPr="00A9099F">
        <w:rPr>
          <w:szCs w:val="24"/>
        </w:rPr>
        <w:t>s</w:t>
      </w:r>
      <w:r w:rsidR="002073F4">
        <w:rPr>
          <w:rFonts w:cs="Arial"/>
          <w:szCs w:val="24"/>
        </w:rPr>
        <w:t xml:space="preserve"> and carers </w:t>
      </w:r>
      <w:r w:rsidR="0034732E" w:rsidRPr="0034732E">
        <w:rPr>
          <w:rFonts w:cs="Arial"/>
          <w:szCs w:val="24"/>
        </w:rPr>
        <w:t>with children and young people with Special Educational Needs and Disabilities (SEND), Learning Disabilities (LD), and Neurodivergence (ND) in Brighton &amp; Hove.</w:t>
      </w:r>
    </w:p>
    <w:p w14:paraId="3FCD3D35" w14:textId="6015B6BD" w:rsidR="009904AD" w:rsidRPr="00595FE6" w:rsidRDefault="009904AD" w:rsidP="00D9246A">
      <w:pPr>
        <w:pStyle w:val="Heading2"/>
        <w:spacing w:before="0" w:after="120"/>
      </w:pPr>
      <w:r w:rsidRPr="00595FE6">
        <w:t>Methods</w:t>
      </w:r>
    </w:p>
    <w:p w14:paraId="31E158FB" w14:textId="29DFF3A4" w:rsidR="00ED3D85" w:rsidRDefault="008A7CDA" w:rsidP="00D9246A">
      <w:pPr>
        <w:spacing w:line="240" w:lineRule="auto"/>
        <w:rPr>
          <w:rFonts w:cs="Arial"/>
        </w:rPr>
      </w:pPr>
      <w:r>
        <w:rPr>
          <w:rFonts w:cs="Arial"/>
          <w:szCs w:val="24"/>
        </w:rPr>
        <w:t xml:space="preserve">A </w:t>
      </w:r>
      <w:r w:rsidR="00BC0EB5">
        <w:rPr>
          <w:rFonts w:cs="Arial"/>
          <w:szCs w:val="24"/>
        </w:rPr>
        <w:t>pragmatic approach</w:t>
      </w:r>
      <w:r w:rsidR="00B86128" w:rsidRPr="00595FE6">
        <w:rPr>
          <w:rFonts w:cs="Arial"/>
          <w:szCs w:val="24"/>
        </w:rPr>
        <w:t xml:space="preserve"> </w:t>
      </w:r>
      <w:r>
        <w:rPr>
          <w:rFonts w:cs="Arial"/>
          <w:szCs w:val="24"/>
        </w:rPr>
        <w:t>was taken, with</w:t>
      </w:r>
      <w:r w:rsidR="00B86128" w:rsidRPr="00595FE6">
        <w:rPr>
          <w:rFonts w:cs="Arial"/>
          <w:szCs w:val="24"/>
        </w:rPr>
        <w:t xml:space="preserve"> </w:t>
      </w:r>
      <w:r w:rsidR="003402FC">
        <w:rPr>
          <w:rFonts w:cs="Arial"/>
          <w:szCs w:val="24"/>
        </w:rPr>
        <w:t xml:space="preserve">relevant </w:t>
      </w:r>
      <w:r w:rsidR="00457C4D">
        <w:rPr>
          <w:rFonts w:cs="Arial"/>
          <w:szCs w:val="24"/>
        </w:rPr>
        <w:t>o</w:t>
      </w:r>
      <w:r w:rsidR="00B86128" w:rsidRPr="00595FE6">
        <w:rPr>
          <w:rFonts w:cs="Arial"/>
          <w:szCs w:val="24"/>
        </w:rPr>
        <w:t xml:space="preserve">rganisations </w:t>
      </w:r>
      <w:r w:rsidR="00225DB0">
        <w:rPr>
          <w:rFonts w:cs="Arial"/>
          <w:szCs w:val="24"/>
        </w:rPr>
        <w:t xml:space="preserve">and </w:t>
      </w:r>
      <w:r w:rsidR="00B86128" w:rsidRPr="00595FE6">
        <w:rPr>
          <w:rFonts w:cs="Arial"/>
          <w:szCs w:val="24"/>
        </w:rPr>
        <w:t xml:space="preserve">services working in Brighton &amp; Hove </w:t>
      </w:r>
      <w:r w:rsidR="000848E3">
        <w:rPr>
          <w:rFonts w:cs="Arial"/>
          <w:szCs w:val="24"/>
        </w:rPr>
        <w:t>(</w:t>
      </w:r>
      <w:r w:rsidR="00AF5C0F">
        <w:rPr>
          <w:rFonts w:cs="Arial"/>
          <w:szCs w:val="24"/>
        </w:rPr>
        <w:t xml:space="preserve">identified by </w:t>
      </w:r>
      <w:r w:rsidR="00A9099F">
        <w:rPr>
          <w:rFonts w:cs="Arial"/>
          <w:szCs w:val="24"/>
        </w:rPr>
        <w:t xml:space="preserve">the </w:t>
      </w:r>
      <w:r w:rsidR="00AF5C0F">
        <w:rPr>
          <w:rFonts w:cs="Arial"/>
          <w:szCs w:val="24"/>
        </w:rPr>
        <w:t>Project Group</w:t>
      </w:r>
      <w:r w:rsidR="000848E3">
        <w:rPr>
          <w:rFonts w:cs="Arial"/>
          <w:szCs w:val="24"/>
        </w:rPr>
        <w:t>)</w:t>
      </w:r>
      <w:r>
        <w:rPr>
          <w:rFonts w:cs="Arial"/>
          <w:szCs w:val="24"/>
        </w:rPr>
        <w:t xml:space="preserve"> </w:t>
      </w:r>
      <w:r w:rsidR="0056142E">
        <w:rPr>
          <w:rFonts w:cs="Arial"/>
          <w:szCs w:val="24"/>
        </w:rPr>
        <w:t xml:space="preserve">asked </w:t>
      </w:r>
      <w:r w:rsidR="000F0337">
        <w:rPr>
          <w:rFonts w:cs="Arial"/>
          <w:szCs w:val="24"/>
        </w:rPr>
        <w:t>to</w:t>
      </w:r>
      <w:r w:rsidR="00FD047F" w:rsidRPr="00595FE6">
        <w:rPr>
          <w:rFonts w:cs="Arial"/>
          <w:szCs w:val="24"/>
        </w:rPr>
        <w:t xml:space="preserve"> </w:t>
      </w:r>
      <w:r w:rsidR="00CD4D5B" w:rsidRPr="00595FE6">
        <w:rPr>
          <w:rFonts w:cs="Arial"/>
          <w:szCs w:val="24"/>
        </w:rPr>
        <w:t>provide</w:t>
      </w:r>
      <w:r w:rsidR="00D810A2" w:rsidRPr="00595FE6">
        <w:rPr>
          <w:rFonts w:cs="Arial"/>
          <w:szCs w:val="24"/>
        </w:rPr>
        <w:t xml:space="preserve"> </w:t>
      </w:r>
      <w:r w:rsidR="00B86128" w:rsidRPr="00595FE6">
        <w:rPr>
          <w:rFonts w:cs="Arial"/>
          <w:szCs w:val="24"/>
        </w:rPr>
        <w:t>reports</w:t>
      </w:r>
      <w:r w:rsidR="00CD4D5B" w:rsidRPr="00595FE6">
        <w:rPr>
          <w:rFonts w:cs="Arial"/>
          <w:szCs w:val="24"/>
        </w:rPr>
        <w:t xml:space="preserve"> </w:t>
      </w:r>
      <w:r w:rsidR="00B86128" w:rsidRPr="00595FE6">
        <w:rPr>
          <w:rFonts w:cs="Arial"/>
          <w:szCs w:val="24"/>
        </w:rPr>
        <w:t xml:space="preserve">that capture </w:t>
      </w:r>
      <w:r w:rsidR="00014CD1">
        <w:rPr>
          <w:rFonts w:cs="Arial"/>
          <w:szCs w:val="24"/>
        </w:rPr>
        <w:t xml:space="preserve">parent carer </w:t>
      </w:r>
      <w:r w:rsidR="00CE6147">
        <w:rPr>
          <w:rFonts w:cs="Arial"/>
          <w:szCs w:val="24"/>
        </w:rPr>
        <w:t>lived experience</w:t>
      </w:r>
      <w:r w:rsidR="00014CD1">
        <w:rPr>
          <w:rFonts w:cs="Arial"/>
          <w:szCs w:val="24"/>
        </w:rPr>
        <w:t xml:space="preserve">. </w:t>
      </w:r>
      <w:r w:rsidR="00ED3D85">
        <w:rPr>
          <w:rFonts w:cs="Arial"/>
        </w:rPr>
        <w:t>C</w:t>
      </w:r>
      <w:r w:rsidR="00ED3D85" w:rsidRPr="00446D0D">
        <w:rPr>
          <w:rFonts w:cs="Arial"/>
        </w:rPr>
        <w:t>ollating</w:t>
      </w:r>
      <w:r w:rsidR="00ED3D85">
        <w:rPr>
          <w:rFonts w:cs="Arial"/>
        </w:rPr>
        <w:t xml:space="preserve"> past </w:t>
      </w:r>
      <w:r w:rsidR="00ED3D85" w:rsidRPr="00446D0D">
        <w:rPr>
          <w:rFonts w:cs="Arial"/>
        </w:rPr>
        <w:t xml:space="preserve">reports </w:t>
      </w:r>
      <w:r w:rsidR="00ED3D85">
        <w:rPr>
          <w:rFonts w:cs="Arial"/>
        </w:rPr>
        <w:t>that capture parents and carers</w:t>
      </w:r>
      <w:r w:rsidR="00ED3D85" w:rsidRPr="00446D0D">
        <w:rPr>
          <w:rFonts w:cs="Arial"/>
        </w:rPr>
        <w:t xml:space="preserve"> views </w:t>
      </w:r>
      <w:r w:rsidR="00ED3D85">
        <w:rPr>
          <w:rFonts w:cs="Arial"/>
        </w:rPr>
        <w:t xml:space="preserve">and experiences </w:t>
      </w:r>
      <w:r w:rsidR="00ED3D85" w:rsidRPr="00446D0D">
        <w:rPr>
          <w:rFonts w:cs="Arial"/>
        </w:rPr>
        <w:t xml:space="preserve">on services can reduce “ask fatigue” and </w:t>
      </w:r>
      <w:r w:rsidR="00ED3D85">
        <w:rPr>
          <w:rFonts w:cs="Arial"/>
        </w:rPr>
        <w:t xml:space="preserve">synthesising experiences can </w:t>
      </w:r>
      <w:r w:rsidR="00ED3D85" w:rsidRPr="00446D0D">
        <w:rPr>
          <w:rFonts w:cs="Arial"/>
        </w:rPr>
        <w:t xml:space="preserve">help ensure </w:t>
      </w:r>
      <w:r w:rsidR="00ED3D85">
        <w:rPr>
          <w:rFonts w:cs="Arial"/>
        </w:rPr>
        <w:t>this feedback is</w:t>
      </w:r>
      <w:r w:rsidR="00ED3D85" w:rsidRPr="00446D0D">
        <w:rPr>
          <w:rFonts w:cs="Arial"/>
        </w:rPr>
        <w:t xml:space="preserve"> </w:t>
      </w:r>
      <w:r w:rsidR="00ED3D85" w:rsidRPr="00A9099F">
        <w:rPr>
          <w:rFonts w:cs="Arial"/>
          <w:szCs w:val="24"/>
        </w:rPr>
        <w:t>used</w:t>
      </w:r>
      <w:r w:rsidR="00ED3D85" w:rsidRPr="00446D0D">
        <w:rPr>
          <w:rFonts w:cs="Arial"/>
        </w:rPr>
        <w:t xml:space="preserve"> to inform future services. </w:t>
      </w:r>
    </w:p>
    <w:p w14:paraId="17149BF3" w14:textId="2DE6E889" w:rsidR="00FE25A9" w:rsidRDefault="00A9099F" w:rsidP="00D9246A">
      <w:pPr>
        <w:spacing w:line="240" w:lineRule="auto"/>
        <w:rPr>
          <w:rFonts w:cs="Arial"/>
          <w:szCs w:val="24"/>
        </w:rPr>
      </w:pPr>
      <w:r w:rsidRPr="00595FE6">
        <w:rPr>
          <w:rFonts w:cs="Arial"/>
          <w:szCs w:val="24"/>
        </w:rPr>
        <w:t>Most</w:t>
      </w:r>
      <w:r w:rsidR="00CE2417" w:rsidRPr="00595FE6">
        <w:rPr>
          <w:rFonts w:cs="Arial"/>
          <w:szCs w:val="24"/>
        </w:rPr>
        <w:t xml:space="preserve"> reports received were from the community and </w:t>
      </w:r>
      <w:r w:rsidR="00CE2417" w:rsidRPr="00257073">
        <w:rPr>
          <w:rFonts w:cs="Arial"/>
          <w:szCs w:val="24"/>
        </w:rPr>
        <w:t xml:space="preserve">voluntary sector. A list of these organisations and the reports used can be found in the </w:t>
      </w:r>
      <w:r w:rsidR="00457A8F" w:rsidRPr="00257073">
        <w:rPr>
          <w:rFonts w:cs="Arial"/>
          <w:szCs w:val="24"/>
        </w:rPr>
        <w:t>A</w:t>
      </w:r>
      <w:r w:rsidR="00CE2417" w:rsidRPr="00257073">
        <w:rPr>
          <w:rFonts w:cs="Arial"/>
          <w:szCs w:val="24"/>
        </w:rPr>
        <w:t>ppendi</w:t>
      </w:r>
      <w:r w:rsidR="00B2526B" w:rsidRPr="00257073">
        <w:rPr>
          <w:rFonts w:cs="Arial"/>
          <w:szCs w:val="24"/>
        </w:rPr>
        <w:t xml:space="preserve">x </w:t>
      </w:r>
      <w:r w:rsidR="00257073" w:rsidRPr="00257073">
        <w:rPr>
          <w:rFonts w:cs="Arial"/>
          <w:szCs w:val="24"/>
        </w:rPr>
        <w:t>5</w:t>
      </w:r>
      <w:r w:rsidR="00CE2417" w:rsidRPr="00257073">
        <w:rPr>
          <w:rFonts w:cs="Arial"/>
          <w:szCs w:val="24"/>
        </w:rPr>
        <w:t>.</w:t>
      </w:r>
      <w:r w:rsidR="00CE2417" w:rsidRPr="00595FE6">
        <w:rPr>
          <w:rFonts w:cs="Arial"/>
          <w:szCs w:val="24"/>
        </w:rPr>
        <w:t xml:space="preserve"> They range in focus from feedback on specific services, strategies and issues, to general reports about parent carer experience. </w:t>
      </w:r>
      <w:r w:rsidR="00C21393">
        <w:rPr>
          <w:rFonts w:cs="Arial"/>
          <w:szCs w:val="24"/>
        </w:rPr>
        <w:t>Common</w:t>
      </w:r>
      <w:r w:rsidR="00CF14E5">
        <w:rPr>
          <w:rFonts w:cs="Arial"/>
          <w:szCs w:val="24"/>
        </w:rPr>
        <w:t xml:space="preserve"> t</w:t>
      </w:r>
      <w:r w:rsidR="00F5391F" w:rsidRPr="00D34D13">
        <w:rPr>
          <w:rFonts w:cs="Arial"/>
          <w:szCs w:val="24"/>
        </w:rPr>
        <w:t xml:space="preserve">hemes </w:t>
      </w:r>
      <w:r w:rsidR="00C21393">
        <w:rPr>
          <w:rFonts w:cs="Arial"/>
          <w:szCs w:val="24"/>
        </w:rPr>
        <w:t xml:space="preserve">across these reports </w:t>
      </w:r>
      <w:r w:rsidR="00F5391F" w:rsidRPr="00D34D13">
        <w:rPr>
          <w:rFonts w:cs="Arial"/>
          <w:szCs w:val="24"/>
        </w:rPr>
        <w:t xml:space="preserve">were collated by a single reviewer and validated by </w:t>
      </w:r>
      <w:r w:rsidR="00F5391F">
        <w:rPr>
          <w:rFonts w:cs="Arial"/>
          <w:szCs w:val="24"/>
        </w:rPr>
        <w:t>the</w:t>
      </w:r>
      <w:r w:rsidR="00F5391F" w:rsidRPr="00D34D13">
        <w:rPr>
          <w:rFonts w:cs="Arial"/>
          <w:szCs w:val="24"/>
        </w:rPr>
        <w:t xml:space="preserve"> </w:t>
      </w:r>
      <w:r w:rsidR="00F5391F">
        <w:rPr>
          <w:rFonts w:cs="Arial"/>
          <w:szCs w:val="24"/>
        </w:rPr>
        <w:t>P</w:t>
      </w:r>
      <w:r w:rsidR="00F5391F" w:rsidRPr="00D34D13">
        <w:rPr>
          <w:rFonts w:cs="Arial"/>
          <w:szCs w:val="24"/>
        </w:rPr>
        <w:t xml:space="preserve">roject </w:t>
      </w:r>
      <w:r w:rsidR="00F5391F">
        <w:rPr>
          <w:rFonts w:cs="Arial"/>
          <w:szCs w:val="24"/>
        </w:rPr>
        <w:t>G</w:t>
      </w:r>
      <w:r w:rsidR="00F5391F" w:rsidRPr="00D34D13">
        <w:rPr>
          <w:rFonts w:cs="Arial"/>
          <w:szCs w:val="24"/>
        </w:rPr>
        <w:t>roup.</w:t>
      </w:r>
      <w:r w:rsidR="00F5391F">
        <w:rPr>
          <w:rFonts w:cs="Arial"/>
          <w:szCs w:val="24"/>
        </w:rPr>
        <w:t xml:space="preserve"> </w:t>
      </w:r>
    </w:p>
    <w:p w14:paraId="02355B5F" w14:textId="7FD86E29" w:rsidR="00D224FA" w:rsidRPr="00644FF7" w:rsidRDefault="00446D0D" w:rsidP="00D9246A">
      <w:pPr>
        <w:spacing w:line="240" w:lineRule="auto"/>
        <w:rPr>
          <w:rFonts w:cs="Arial"/>
        </w:rPr>
      </w:pPr>
      <w:r w:rsidRPr="00644FF7">
        <w:rPr>
          <w:rFonts w:cs="Arial"/>
        </w:rPr>
        <w:t>Parent carer experiences vary widely across different characteristics and conditions</w:t>
      </w:r>
      <w:r w:rsidR="00ED3D85" w:rsidRPr="00644FF7">
        <w:rPr>
          <w:rFonts w:cs="Arial"/>
        </w:rPr>
        <w:t>,</w:t>
      </w:r>
      <w:r w:rsidR="00B9417B">
        <w:rPr>
          <w:rFonts w:cs="Arial"/>
        </w:rPr>
        <w:t xml:space="preserve"> and </w:t>
      </w:r>
      <w:r w:rsidR="0040116D">
        <w:rPr>
          <w:rFonts w:cs="Arial"/>
        </w:rPr>
        <w:t>th</w:t>
      </w:r>
      <w:r w:rsidR="00E94646">
        <w:rPr>
          <w:rFonts w:cs="Arial"/>
        </w:rPr>
        <w:t xml:space="preserve">e full range of </w:t>
      </w:r>
      <w:r w:rsidRPr="00644FF7">
        <w:rPr>
          <w:rFonts w:cs="Arial"/>
        </w:rPr>
        <w:t xml:space="preserve">diversity </w:t>
      </w:r>
      <w:r w:rsidR="0040116D">
        <w:rPr>
          <w:rFonts w:cs="Arial"/>
        </w:rPr>
        <w:t>may not be</w:t>
      </w:r>
      <w:r w:rsidRPr="00644FF7">
        <w:rPr>
          <w:rFonts w:cs="Arial"/>
        </w:rPr>
        <w:t xml:space="preserve"> reflected in </w:t>
      </w:r>
      <w:r w:rsidR="0040116D">
        <w:rPr>
          <w:rFonts w:cs="Arial"/>
        </w:rPr>
        <w:t xml:space="preserve">existing </w:t>
      </w:r>
      <w:r w:rsidR="00CB3041">
        <w:rPr>
          <w:rFonts w:cs="Arial"/>
        </w:rPr>
        <w:t xml:space="preserve">feedback </w:t>
      </w:r>
      <w:r w:rsidR="00AC0A2B">
        <w:rPr>
          <w:rFonts w:cs="Arial"/>
        </w:rPr>
        <w:t>reports</w:t>
      </w:r>
      <w:r w:rsidR="0040116D">
        <w:rPr>
          <w:rFonts w:cs="Arial"/>
        </w:rPr>
        <w:t>.</w:t>
      </w:r>
      <w:r w:rsidR="00997D61">
        <w:rPr>
          <w:rFonts w:cs="Arial"/>
        </w:rPr>
        <w:t xml:space="preserve"> </w:t>
      </w:r>
      <w:r w:rsidR="0010680A">
        <w:rPr>
          <w:rFonts w:cs="Arial"/>
        </w:rPr>
        <w:t>Not</w:t>
      </w:r>
      <w:r w:rsidR="00D224FA" w:rsidRPr="00644FF7">
        <w:rPr>
          <w:rFonts w:cs="Arial"/>
        </w:rPr>
        <w:t xml:space="preserve"> all challenges or examples of good practice</w:t>
      </w:r>
      <w:r w:rsidR="0010680A">
        <w:rPr>
          <w:rFonts w:cs="Arial"/>
        </w:rPr>
        <w:t xml:space="preserve"> will be </w:t>
      </w:r>
      <w:r w:rsidR="00CB3041">
        <w:rPr>
          <w:rFonts w:cs="Arial"/>
        </w:rPr>
        <w:t>covered</w:t>
      </w:r>
      <w:r w:rsidR="00D224FA" w:rsidRPr="00644FF7">
        <w:rPr>
          <w:rFonts w:cs="Arial"/>
        </w:rPr>
        <w:t xml:space="preserve">, and some </w:t>
      </w:r>
      <w:r w:rsidR="0010680A">
        <w:rPr>
          <w:rFonts w:cs="Arial"/>
        </w:rPr>
        <w:t>f</w:t>
      </w:r>
      <w:r w:rsidR="00D60432">
        <w:rPr>
          <w:rFonts w:cs="Arial"/>
        </w:rPr>
        <w:t>eedback</w:t>
      </w:r>
      <w:r w:rsidR="00D224FA" w:rsidRPr="00644FF7">
        <w:rPr>
          <w:rFonts w:cs="Arial"/>
        </w:rPr>
        <w:t xml:space="preserve"> may have </w:t>
      </w:r>
      <w:r w:rsidR="00B86F14">
        <w:rPr>
          <w:rFonts w:cs="Arial"/>
        </w:rPr>
        <w:t>already</w:t>
      </w:r>
      <w:r w:rsidR="00D224FA" w:rsidRPr="00644FF7">
        <w:rPr>
          <w:rFonts w:cs="Arial"/>
        </w:rPr>
        <w:t xml:space="preserve"> been addressed by services.</w:t>
      </w:r>
    </w:p>
    <w:p w14:paraId="2C29EBB2" w14:textId="41F51C98" w:rsidR="00B52388" w:rsidRPr="00595FE6" w:rsidRDefault="00B52388" w:rsidP="00D9246A">
      <w:pPr>
        <w:pStyle w:val="Heading2"/>
        <w:spacing w:before="0" w:after="120"/>
      </w:pPr>
      <w:r w:rsidRPr="00595FE6">
        <w:t>Summary of themes</w:t>
      </w:r>
    </w:p>
    <w:p w14:paraId="40D94BC7" w14:textId="32DC66AA" w:rsidR="004A69B0" w:rsidRPr="00C40618" w:rsidRDefault="004A69B0" w:rsidP="00D9246A">
      <w:pPr>
        <w:spacing w:line="240" w:lineRule="auto"/>
        <w:rPr>
          <w:rFonts w:cs="Arial"/>
          <w:b/>
        </w:rPr>
      </w:pPr>
      <w:r w:rsidRPr="00595FE6">
        <w:rPr>
          <w:rFonts w:cs="Arial"/>
        </w:rPr>
        <w:t xml:space="preserve">The full report </w:t>
      </w:r>
      <w:r w:rsidR="001E4296" w:rsidRPr="00595FE6">
        <w:rPr>
          <w:rFonts w:cs="Arial"/>
        </w:rPr>
        <w:t>is organised by</w:t>
      </w:r>
      <w:r w:rsidRPr="00595FE6">
        <w:rPr>
          <w:rFonts w:cs="Arial"/>
        </w:rPr>
        <w:t xml:space="preserve"> theme and </w:t>
      </w:r>
      <w:r w:rsidR="001E4296" w:rsidRPr="00595FE6">
        <w:rPr>
          <w:rFonts w:cs="Arial"/>
        </w:rPr>
        <w:t xml:space="preserve">includes </w:t>
      </w:r>
      <w:r w:rsidRPr="00595FE6">
        <w:rPr>
          <w:rFonts w:cs="Arial"/>
        </w:rPr>
        <w:t>direct quotes from parent carers</w:t>
      </w:r>
      <w:r w:rsidR="00CA0FF2">
        <w:rPr>
          <w:rFonts w:cs="Arial"/>
        </w:rPr>
        <w:t xml:space="preserve"> drawn from</w:t>
      </w:r>
      <w:r w:rsidR="00AC3993">
        <w:rPr>
          <w:rFonts w:cs="Arial"/>
        </w:rPr>
        <w:t xml:space="preserve"> </w:t>
      </w:r>
      <w:r w:rsidR="00494CF8">
        <w:rPr>
          <w:rFonts w:cs="Arial"/>
        </w:rPr>
        <w:t>2</w:t>
      </w:r>
      <w:r w:rsidR="009F18FF">
        <w:rPr>
          <w:rFonts w:cs="Arial"/>
        </w:rPr>
        <w:t>4</w:t>
      </w:r>
      <w:r w:rsidR="00AC3993">
        <w:rPr>
          <w:rFonts w:cs="Arial"/>
        </w:rPr>
        <w:t xml:space="preserve"> reports</w:t>
      </w:r>
      <w:r w:rsidRPr="00595FE6">
        <w:rPr>
          <w:rFonts w:cs="Arial"/>
        </w:rPr>
        <w:t xml:space="preserve">. </w:t>
      </w:r>
      <w:r w:rsidR="001E4296" w:rsidRPr="00ED3D85">
        <w:rPr>
          <w:rFonts w:cs="Arial"/>
          <w:b/>
          <w:color w:val="0079C2"/>
          <w:szCs w:val="24"/>
        </w:rPr>
        <w:t>Below is a</w:t>
      </w:r>
      <w:r w:rsidR="00757139" w:rsidRPr="00ED3D85">
        <w:rPr>
          <w:rFonts w:cs="Arial"/>
          <w:b/>
          <w:color w:val="0079C2"/>
          <w:szCs w:val="24"/>
        </w:rPr>
        <w:t xml:space="preserve"> </w:t>
      </w:r>
      <w:r w:rsidR="003F0F65" w:rsidRPr="00ED3D85">
        <w:rPr>
          <w:rFonts w:cs="Arial"/>
          <w:b/>
          <w:color w:val="0079C2"/>
          <w:szCs w:val="24"/>
        </w:rPr>
        <w:t xml:space="preserve">condensed </w:t>
      </w:r>
      <w:r w:rsidR="00757139" w:rsidRPr="00ED3D85">
        <w:rPr>
          <w:rFonts w:cs="Arial"/>
          <w:b/>
          <w:color w:val="0079C2"/>
          <w:szCs w:val="24"/>
        </w:rPr>
        <w:t>summar</w:t>
      </w:r>
      <w:r w:rsidR="001E4296" w:rsidRPr="00ED3D85">
        <w:rPr>
          <w:rFonts w:cs="Arial"/>
          <w:b/>
          <w:color w:val="0079C2"/>
          <w:szCs w:val="24"/>
        </w:rPr>
        <w:t xml:space="preserve">y </w:t>
      </w:r>
      <w:r w:rsidR="00D85004" w:rsidRPr="00ED3D85">
        <w:rPr>
          <w:rFonts w:cs="Arial"/>
          <w:b/>
          <w:color w:val="0079C2"/>
          <w:szCs w:val="24"/>
        </w:rPr>
        <w:t xml:space="preserve">under four headings: </w:t>
      </w:r>
      <w:r w:rsidR="001A63DE" w:rsidRPr="00ED3D85">
        <w:rPr>
          <w:rFonts w:cs="Arial"/>
          <w:b/>
          <w:color w:val="0079C2"/>
          <w:szCs w:val="24"/>
        </w:rPr>
        <w:t>w</w:t>
      </w:r>
      <w:r w:rsidR="00D85004" w:rsidRPr="00ED3D85">
        <w:rPr>
          <w:rFonts w:cs="Arial"/>
          <w:b/>
          <w:color w:val="0079C2"/>
          <w:szCs w:val="24"/>
        </w:rPr>
        <w:t>hat is working well</w:t>
      </w:r>
      <w:r w:rsidR="00B8778D" w:rsidRPr="00ED3D85">
        <w:rPr>
          <w:rFonts w:cs="Arial"/>
          <w:b/>
          <w:color w:val="0079C2"/>
          <w:szCs w:val="24"/>
        </w:rPr>
        <w:t>;</w:t>
      </w:r>
      <w:r w:rsidR="00D85004" w:rsidRPr="00ED3D85">
        <w:rPr>
          <w:rFonts w:cs="Arial"/>
          <w:b/>
          <w:color w:val="0079C2"/>
          <w:szCs w:val="24"/>
        </w:rPr>
        <w:t xml:space="preserve"> </w:t>
      </w:r>
      <w:r w:rsidR="001A63DE" w:rsidRPr="00ED3D85">
        <w:rPr>
          <w:rFonts w:cs="Arial"/>
          <w:b/>
          <w:color w:val="0079C2"/>
          <w:szCs w:val="24"/>
        </w:rPr>
        <w:t>b</w:t>
      </w:r>
      <w:r w:rsidR="00D85004" w:rsidRPr="00ED3D85">
        <w:rPr>
          <w:rFonts w:cs="Arial"/>
          <w:b/>
          <w:color w:val="0079C2"/>
          <w:szCs w:val="24"/>
        </w:rPr>
        <w:t>arriers and challenges</w:t>
      </w:r>
      <w:r w:rsidR="00B8778D" w:rsidRPr="00ED3D85">
        <w:rPr>
          <w:rFonts w:cs="Arial"/>
          <w:b/>
          <w:color w:val="0079C2"/>
          <w:szCs w:val="24"/>
        </w:rPr>
        <w:t>;</w:t>
      </w:r>
      <w:r w:rsidR="00D85004" w:rsidRPr="00ED3D85">
        <w:rPr>
          <w:rFonts w:cs="Arial"/>
          <w:b/>
          <w:color w:val="0079C2"/>
          <w:szCs w:val="24"/>
        </w:rPr>
        <w:t xml:space="preserve"> </w:t>
      </w:r>
      <w:r w:rsidR="001A63DE" w:rsidRPr="00ED3D85">
        <w:rPr>
          <w:rFonts w:cs="Arial"/>
          <w:b/>
          <w:color w:val="0079C2"/>
          <w:szCs w:val="24"/>
        </w:rPr>
        <w:t>w</w:t>
      </w:r>
      <w:r w:rsidR="00D85004" w:rsidRPr="00ED3D85">
        <w:rPr>
          <w:rFonts w:cs="Arial"/>
          <w:b/>
          <w:color w:val="0079C2"/>
          <w:szCs w:val="24"/>
        </w:rPr>
        <w:t>hat can be improved</w:t>
      </w:r>
      <w:r w:rsidR="00B8778D" w:rsidRPr="00ED3D85">
        <w:rPr>
          <w:rFonts w:cs="Arial"/>
          <w:b/>
          <w:color w:val="0079C2"/>
          <w:szCs w:val="24"/>
        </w:rPr>
        <w:t>;</w:t>
      </w:r>
      <w:r w:rsidR="00195E21" w:rsidRPr="00ED3D85">
        <w:rPr>
          <w:rFonts w:cs="Arial"/>
          <w:b/>
          <w:color w:val="0079C2"/>
          <w:szCs w:val="24"/>
        </w:rPr>
        <w:t xml:space="preserve"> and </w:t>
      </w:r>
      <w:r w:rsidR="001A63DE" w:rsidRPr="00ED3D85">
        <w:rPr>
          <w:rFonts w:cs="Arial"/>
          <w:b/>
          <w:color w:val="0079C2"/>
          <w:szCs w:val="24"/>
        </w:rPr>
        <w:t>c</w:t>
      </w:r>
      <w:r w:rsidR="00195E21" w:rsidRPr="00ED3D85">
        <w:rPr>
          <w:rFonts w:cs="Arial"/>
          <w:b/>
          <w:color w:val="0079C2"/>
          <w:szCs w:val="24"/>
        </w:rPr>
        <w:t>ompounding factors and inequalities</w:t>
      </w:r>
      <w:r w:rsidR="00A74187" w:rsidRPr="00ED3D85">
        <w:rPr>
          <w:rFonts w:cs="Arial"/>
          <w:b/>
          <w:color w:val="0079C2"/>
          <w:szCs w:val="24"/>
        </w:rPr>
        <w:t>.</w:t>
      </w:r>
    </w:p>
    <w:p w14:paraId="68F519AE" w14:textId="4A5C9737" w:rsidR="00586FDD" w:rsidRPr="00595FE6" w:rsidRDefault="00664EAC" w:rsidP="00D9246A">
      <w:pPr>
        <w:pStyle w:val="Heading2"/>
        <w:spacing w:before="0" w:after="120"/>
      </w:pPr>
      <w:r w:rsidRPr="00595FE6">
        <w:t>What is working well</w:t>
      </w:r>
    </w:p>
    <w:p w14:paraId="2F8EDDEC" w14:textId="72CAAFFC" w:rsidR="00F93AFE" w:rsidRDefault="00031EF9" w:rsidP="00D9246A">
      <w:pPr>
        <w:spacing w:line="240" w:lineRule="auto"/>
        <w:rPr>
          <w:rFonts w:cs="Arial"/>
          <w:szCs w:val="24"/>
        </w:rPr>
      </w:pPr>
      <w:r w:rsidRPr="007C4B38">
        <w:rPr>
          <w:rFonts w:cs="Arial"/>
          <w:b/>
          <w:color w:val="0079C2"/>
          <w:szCs w:val="24"/>
        </w:rPr>
        <w:t>Positive feedback for many providers</w:t>
      </w:r>
      <w:r w:rsidR="006724CC" w:rsidRPr="007C4B38">
        <w:rPr>
          <w:rFonts w:cs="Arial"/>
          <w:color w:val="0079C2"/>
          <w:szCs w:val="24"/>
        </w:rPr>
        <w:t xml:space="preserve">: </w:t>
      </w:r>
      <w:r w:rsidR="00A15F59" w:rsidRPr="00595FE6">
        <w:rPr>
          <w:rFonts w:cs="Arial"/>
          <w:szCs w:val="24"/>
        </w:rPr>
        <w:t>In almost all reports</w:t>
      </w:r>
      <w:r w:rsidR="007500CC">
        <w:rPr>
          <w:rFonts w:cs="Arial"/>
          <w:szCs w:val="24"/>
        </w:rPr>
        <w:t>,</w:t>
      </w:r>
      <w:r w:rsidR="00A15F59" w:rsidRPr="00595FE6">
        <w:rPr>
          <w:rFonts w:cs="Arial"/>
          <w:szCs w:val="24"/>
        </w:rPr>
        <w:t xml:space="preserve"> parent carers talk</w:t>
      </w:r>
      <w:r w:rsidR="00670229">
        <w:rPr>
          <w:rFonts w:cs="Arial"/>
          <w:szCs w:val="24"/>
        </w:rPr>
        <w:t>ed</w:t>
      </w:r>
      <w:r w:rsidR="00A15F59" w:rsidRPr="00595FE6">
        <w:rPr>
          <w:rFonts w:cs="Arial"/>
          <w:szCs w:val="24"/>
        </w:rPr>
        <w:t xml:space="preserve"> positively about the impact of many individuals</w:t>
      </w:r>
      <w:r w:rsidR="00E21ADB" w:rsidRPr="00595FE6">
        <w:rPr>
          <w:rFonts w:cs="Arial"/>
          <w:szCs w:val="24"/>
        </w:rPr>
        <w:t xml:space="preserve"> and</w:t>
      </w:r>
      <w:r w:rsidR="00A15F59" w:rsidRPr="00595FE6">
        <w:rPr>
          <w:rFonts w:cs="Arial"/>
          <w:szCs w:val="24"/>
        </w:rPr>
        <w:t xml:space="preserve"> services</w:t>
      </w:r>
      <w:r w:rsidR="00807330">
        <w:rPr>
          <w:rFonts w:cs="Arial"/>
          <w:szCs w:val="24"/>
        </w:rPr>
        <w:t xml:space="preserve">. </w:t>
      </w:r>
      <w:r w:rsidR="00ED3D85">
        <w:rPr>
          <w:rFonts w:cs="Arial"/>
          <w:szCs w:val="24"/>
        </w:rPr>
        <w:t>Including</w:t>
      </w:r>
      <w:r w:rsidR="002A22C2">
        <w:rPr>
          <w:rFonts w:cs="Arial"/>
          <w:szCs w:val="24"/>
        </w:rPr>
        <w:t xml:space="preserve"> </w:t>
      </w:r>
      <w:r w:rsidR="00B90262" w:rsidRPr="00595FE6">
        <w:rPr>
          <w:rFonts w:cs="Arial"/>
          <w:szCs w:val="24"/>
        </w:rPr>
        <w:t>proactivity, flexibility and caring</w:t>
      </w:r>
      <w:r w:rsidR="007500CC">
        <w:rPr>
          <w:rFonts w:cs="Arial"/>
          <w:szCs w:val="24"/>
        </w:rPr>
        <w:t>,</w:t>
      </w:r>
      <w:r w:rsidR="00F732F2" w:rsidRPr="00595FE6">
        <w:rPr>
          <w:rFonts w:cs="Arial"/>
          <w:szCs w:val="24"/>
        </w:rPr>
        <w:t xml:space="preserve"> </w:t>
      </w:r>
      <w:r w:rsidR="00802481">
        <w:rPr>
          <w:rFonts w:cs="Arial"/>
          <w:szCs w:val="24"/>
        </w:rPr>
        <w:t>plus</w:t>
      </w:r>
      <w:r w:rsidR="00802481" w:rsidRPr="00595FE6">
        <w:rPr>
          <w:rFonts w:cs="Arial"/>
          <w:szCs w:val="24"/>
        </w:rPr>
        <w:t xml:space="preserve"> </w:t>
      </w:r>
      <w:r w:rsidR="00E23850" w:rsidRPr="00595FE6">
        <w:rPr>
          <w:rFonts w:cs="Arial"/>
          <w:szCs w:val="24"/>
        </w:rPr>
        <w:t xml:space="preserve">the impact of empathetic and helpful professionals. </w:t>
      </w:r>
      <w:r w:rsidR="007500CC">
        <w:rPr>
          <w:rFonts w:cs="Arial"/>
          <w:szCs w:val="24"/>
        </w:rPr>
        <w:t>H</w:t>
      </w:r>
      <w:r w:rsidR="002A5436" w:rsidRPr="00595FE6">
        <w:rPr>
          <w:rFonts w:cs="Arial"/>
          <w:szCs w:val="24"/>
        </w:rPr>
        <w:t>ealth, social care, education, housing, and the community and voluntary sector</w:t>
      </w:r>
      <w:r w:rsidR="007D4359" w:rsidRPr="00595FE6">
        <w:rPr>
          <w:rFonts w:cs="Arial"/>
          <w:szCs w:val="24"/>
        </w:rPr>
        <w:t xml:space="preserve"> were identified as providing good support, </w:t>
      </w:r>
      <w:r w:rsidR="005B3257">
        <w:rPr>
          <w:rFonts w:cs="Arial"/>
          <w:szCs w:val="24"/>
        </w:rPr>
        <w:t>for</w:t>
      </w:r>
      <w:r w:rsidR="005B3257" w:rsidRPr="00595FE6">
        <w:rPr>
          <w:rFonts w:cs="Arial"/>
          <w:szCs w:val="24"/>
        </w:rPr>
        <w:t xml:space="preserve"> </w:t>
      </w:r>
      <w:r w:rsidR="002A5436" w:rsidRPr="00595FE6">
        <w:rPr>
          <w:rFonts w:cs="Arial"/>
          <w:szCs w:val="24"/>
        </w:rPr>
        <w:t xml:space="preserve">both specialist and mainstream services. </w:t>
      </w:r>
    </w:p>
    <w:p w14:paraId="5D5E5541" w14:textId="50933491" w:rsidR="00013A76" w:rsidRPr="00595FE6" w:rsidRDefault="0049204C" w:rsidP="00D9246A">
      <w:pPr>
        <w:spacing w:line="240" w:lineRule="auto"/>
        <w:rPr>
          <w:rFonts w:cs="Arial"/>
          <w:szCs w:val="24"/>
        </w:rPr>
      </w:pPr>
      <w:r w:rsidRPr="007C4B38">
        <w:rPr>
          <w:rFonts w:cs="Arial"/>
          <w:b/>
          <w:color w:val="0079C2"/>
          <w:szCs w:val="24"/>
        </w:rPr>
        <w:t xml:space="preserve">Flexible provision </w:t>
      </w:r>
      <w:r w:rsidR="008A7CDA">
        <w:rPr>
          <w:rFonts w:cs="Arial"/>
          <w:b/>
          <w:bCs/>
          <w:color w:val="0079C2"/>
          <w:szCs w:val="24"/>
        </w:rPr>
        <w:t>&amp;</w:t>
      </w:r>
      <w:r w:rsidRPr="007C4B38">
        <w:rPr>
          <w:rFonts w:cs="Arial"/>
          <w:b/>
          <w:color w:val="0079C2"/>
          <w:szCs w:val="24"/>
        </w:rPr>
        <w:t xml:space="preserve"> reasonable adjustments</w:t>
      </w:r>
      <w:r w:rsidR="006724CC" w:rsidRPr="007C4B38">
        <w:rPr>
          <w:rFonts w:cs="Arial"/>
          <w:b/>
          <w:color w:val="0079C2"/>
          <w:szCs w:val="24"/>
        </w:rPr>
        <w:t xml:space="preserve">: </w:t>
      </w:r>
      <w:r w:rsidR="00D81138" w:rsidRPr="00595FE6">
        <w:rPr>
          <w:rFonts w:cs="Arial"/>
          <w:bCs/>
          <w:szCs w:val="24"/>
        </w:rPr>
        <w:t xml:space="preserve">Parent carers </w:t>
      </w:r>
      <w:r w:rsidR="002252B7" w:rsidRPr="00595FE6">
        <w:rPr>
          <w:rFonts w:cs="Arial"/>
          <w:bCs/>
          <w:szCs w:val="24"/>
        </w:rPr>
        <w:t>report</w:t>
      </w:r>
      <w:r w:rsidR="00AF441E">
        <w:rPr>
          <w:rFonts w:cs="Arial"/>
          <w:bCs/>
          <w:szCs w:val="24"/>
        </w:rPr>
        <w:t>ed</w:t>
      </w:r>
      <w:r w:rsidR="002252B7" w:rsidRPr="00595FE6">
        <w:rPr>
          <w:rFonts w:cs="Arial"/>
          <w:bCs/>
          <w:szCs w:val="24"/>
        </w:rPr>
        <w:t xml:space="preserve"> </w:t>
      </w:r>
      <w:r w:rsidR="00D81138" w:rsidRPr="00595FE6">
        <w:rPr>
          <w:rFonts w:cs="Arial"/>
          <w:bCs/>
          <w:szCs w:val="24"/>
        </w:rPr>
        <w:t xml:space="preserve">that </w:t>
      </w:r>
      <w:r w:rsidR="006F4B05" w:rsidRPr="00595FE6">
        <w:rPr>
          <w:rFonts w:cs="Arial"/>
          <w:szCs w:val="24"/>
        </w:rPr>
        <w:t xml:space="preserve">provision </w:t>
      </w:r>
      <w:r w:rsidR="00F138FF" w:rsidRPr="00595FE6">
        <w:rPr>
          <w:rFonts w:cs="Arial"/>
          <w:szCs w:val="24"/>
        </w:rPr>
        <w:t>flexible to</w:t>
      </w:r>
      <w:r w:rsidR="006F4B05" w:rsidRPr="00595FE6">
        <w:rPr>
          <w:rFonts w:cs="Arial"/>
          <w:szCs w:val="24"/>
        </w:rPr>
        <w:t xml:space="preserve"> </w:t>
      </w:r>
      <w:r w:rsidR="00EB0044" w:rsidRPr="00595FE6">
        <w:rPr>
          <w:rFonts w:cs="Arial"/>
          <w:szCs w:val="24"/>
        </w:rPr>
        <w:t xml:space="preserve">the child and family </w:t>
      </w:r>
      <w:r w:rsidR="006F4B05" w:rsidRPr="00595FE6">
        <w:rPr>
          <w:rFonts w:cs="Arial"/>
          <w:szCs w:val="24"/>
        </w:rPr>
        <w:t xml:space="preserve">needs </w:t>
      </w:r>
      <w:r w:rsidR="006F4B05" w:rsidRPr="00595FE6">
        <w:rPr>
          <w:rFonts w:cs="Arial"/>
          <w:bCs/>
          <w:szCs w:val="24"/>
        </w:rPr>
        <w:t xml:space="preserve">has </w:t>
      </w:r>
      <w:r w:rsidR="00B80969" w:rsidRPr="00595FE6">
        <w:rPr>
          <w:rFonts w:cs="Arial"/>
          <w:bCs/>
          <w:szCs w:val="24"/>
        </w:rPr>
        <w:t xml:space="preserve">multiple </w:t>
      </w:r>
      <w:r w:rsidR="006F4B05" w:rsidRPr="00595FE6">
        <w:rPr>
          <w:rFonts w:cs="Arial"/>
          <w:bCs/>
          <w:szCs w:val="24"/>
        </w:rPr>
        <w:t>positive benefits</w:t>
      </w:r>
      <w:r w:rsidR="008A7CDA">
        <w:rPr>
          <w:rFonts w:cs="Arial"/>
          <w:bCs/>
          <w:szCs w:val="24"/>
        </w:rPr>
        <w:t>, like</w:t>
      </w:r>
      <w:r w:rsidR="00CF71FC" w:rsidRPr="00595FE6">
        <w:rPr>
          <w:rFonts w:cs="Arial"/>
          <w:szCs w:val="24"/>
        </w:rPr>
        <w:t xml:space="preserve"> </w:t>
      </w:r>
      <w:r w:rsidR="00396CDA" w:rsidRPr="00595FE6">
        <w:rPr>
          <w:rFonts w:cs="Arial"/>
          <w:szCs w:val="24"/>
        </w:rPr>
        <w:t>same day appointments</w:t>
      </w:r>
      <w:r w:rsidR="007F545E" w:rsidRPr="00595FE6">
        <w:rPr>
          <w:rFonts w:cs="Arial"/>
          <w:szCs w:val="24"/>
        </w:rPr>
        <w:t>;</w:t>
      </w:r>
      <w:r w:rsidR="00396CDA" w:rsidRPr="00595FE6">
        <w:rPr>
          <w:rFonts w:cs="Arial"/>
          <w:szCs w:val="24"/>
        </w:rPr>
        <w:t xml:space="preserve"> access to remote as well as face to face review</w:t>
      </w:r>
      <w:r w:rsidR="007F545E" w:rsidRPr="00595FE6">
        <w:rPr>
          <w:rFonts w:cs="Arial"/>
          <w:szCs w:val="24"/>
        </w:rPr>
        <w:t>;</w:t>
      </w:r>
      <w:r w:rsidR="00396CDA" w:rsidRPr="00595FE6">
        <w:rPr>
          <w:rFonts w:cs="Arial"/>
          <w:szCs w:val="24"/>
        </w:rPr>
        <w:t xml:space="preserve"> </w:t>
      </w:r>
      <w:r w:rsidR="008A40A1" w:rsidRPr="00595FE6">
        <w:rPr>
          <w:rFonts w:cs="Arial"/>
          <w:szCs w:val="24"/>
        </w:rPr>
        <w:t>face to face or online support groups</w:t>
      </w:r>
      <w:r w:rsidR="00212C14" w:rsidRPr="00595FE6">
        <w:rPr>
          <w:rFonts w:cs="Arial"/>
          <w:szCs w:val="24"/>
        </w:rPr>
        <w:t>;</w:t>
      </w:r>
      <w:r w:rsidR="00736D9C" w:rsidRPr="00595FE6">
        <w:rPr>
          <w:rFonts w:cs="Arial"/>
          <w:szCs w:val="24"/>
        </w:rPr>
        <w:t xml:space="preserve"> </w:t>
      </w:r>
      <w:r w:rsidR="00212C14" w:rsidRPr="00595FE6">
        <w:rPr>
          <w:rFonts w:cs="Arial"/>
          <w:szCs w:val="24"/>
        </w:rPr>
        <w:t>provision for pupils unable to attend school</w:t>
      </w:r>
      <w:r w:rsidR="00B72258" w:rsidRPr="00595FE6">
        <w:rPr>
          <w:rFonts w:cs="Arial"/>
          <w:szCs w:val="24"/>
        </w:rPr>
        <w:t>; within school</w:t>
      </w:r>
      <w:r w:rsidR="009E7694">
        <w:rPr>
          <w:rFonts w:cs="Arial"/>
          <w:szCs w:val="24"/>
        </w:rPr>
        <w:t>s,</w:t>
      </w:r>
      <w:r w:rsidR="00B72258" w:rsidRPr="00595FE6">
        <w:rPr>
          <w:rFonts w:cs="Arial"/>
          <w:szCs w:val="24"/>
        </w:rPr>
        <w:t xml:space="preserve"> </w:t>
      </w:r>
      <w:r w:rsidR="00BD04EA" w:rsidRPr="00595FE6">
        <w:rPr>
          <w:rFonts w:cs="Arial"/>
          <w:szCs w:val="24"/>
        </w:rPr>
        <w:t xml:space="preserve">training for professionals and </w:t>
      </w:r>
      <w:r w:rsidR="00F80417" w:rsidRPr="00595FE6">
        <w:rPr>
          <w:rFonts w:cs="Arial"/>
          <w:szCs w:val="24"/>
        </w:rPr>
        <w:t>provision</w:t>
      </w:r>
      <w:r w:rsidR="00D81138" w:rsidRPr="00595FE6">
        <w:rPr>
          <w:rFonts w:cs="Arial"/>
          <w:szCs w:val="24"/>
        </w:rPr>
        <w:t xml:space="preserve"> for sensory difficulties such as quiet rooms. </w:t>
      </w:r>
    </w:p>
    <w:p w14:paraId="22C05ADA" w14:textId="65EAAB3B" w:rsidR="00407F3A" w:rsidRPr="00595FE6" w:rsidRDefault="00664EAC" w:rsidP="00D9246A">
      <w:pPr>
        <w:spacing w:line="240" w:lineRule="auto"/>
        <w:rPr>
          <w:rFonts w:cs="Arial"/>
          <w:szCs w:val="24"/>
        </w:rPr>
      </w:pPr>
      <w:r w:rsidRPr="007C4B38">
        <w:rPr>
          <w:rFonts w:cs="Arial"/>
          <w:b/>
          <w:color w:val="0079C2"/>
          <w:szCs w:val="24"/>
        </w:rPr>
        <w:t xml:space="preserve">Communication </w:t>
      </w:r>
      <w:r w:rsidR="008A7CDA">
        <w:rPr>
          <w:rFonts w:cs="Arial"/>
          <w:b/>
          <w:bCs/>
          <w:color w:val="0079C2"/>
          <w:szCs w:val="24"/>
        </w:rPr>
        <w:t>&amp;</w:t>
      </w:r>
      <w:r w:rsidRPr="007C4B38">
        <w:rPr>
          <w:rFonts w:cs="Arial"/>
          <w:b/>
          <w:color w:val="0079C2"/>
          <w:szCs w:val="24"/>
        </w:rPr>
        <w:t xml:space="preserve"> ongoing relationship with a key professional</w:t>
      </w:r>
      <w:r w:rsidR="00396FA2" w:rsidRPr="007C4B38">
        <w:rPr>
          <w:rFonts w:cs="Arial"/>
          <w:color w:val="0079C2"/>
          <w:szCs w:val="24"/>
        </w:rPr>
        <w:t xml:space="preserve">: </w:t>
      </w:r>
      <w:r w:rsidR="00396FA2" w:rsidRPr="00595FE6">
        <w:rPr>
          <w:rFonts w:cs="Arial"/>
          <w:szCs w:val="24"/>
        </w:rPr>
        <w:t>Many reports talk</w:t>
      </w:r>
      <w:r w:rsidR="001C473E">
        <w:rPr>
          <w:rFonts w:cs="Arial"/>
          <w:szCs w:val="24"/>
        </w:rPr>
        <w:t>ed</w:t>
      </w:r>
      <w:r w:rsidR="00396FA2" w:rsidRPr="00595FE6">
        <w:rPr>
          <w:rFonts w:cs="Arial"/>
          <w:szCs w:val="24"/>
        </w:rPr>
        <w:t xml:space="preserve"> about the value of an ongoing relationship with a key professional</w:t>
      </w:r>
      <w:r w:rsidR="001C473E">
        <w:rPr>
          <w:rFonts w:cs="Arial"/>
          <w:szCs w:val="24"/>
        </w:rPr>
        <w:t>. For example,</w:t>
      </w:r>
      <w:r w:rsidR="004755B0" w:rsidRPr="00595FE6">
        <w:rPr>
          <w:rFonts w:cs="Arial"/>
          <w:szCs w:val="24"/>
        </w:rPr>
        <w:t xml:space="preserve"> </w:t>
      </w:r>
      <w:r w:rsidR="00C5414D" w:rsidRPr="00595FE6">
        <w:rPr>
          <w:rFonts w:cs="Arial"/>
          <w:szCs w:val="24"/>
        </w:rPr>
        <w:t>in</w:t>
      </w:r>
      <w:r w:rsidR="00277B41" w:rsidRPr="00595FE6">
        <w:rPr>
          <w:rFonts w:cs="Arial"/>
          <w:szCs w:val="24"/>
        </w:rPr>
        <w:t xml:space="preserve"> health and social care </w:t>
      </w:r>
      <w:r w:rsidR="00B50463" w:rsidRPr="00595FE6">
        <w:rPr>
          <w:rFonts w:cs="Arial"/>
          <w:szCs w:val="24"/>
        </w:rPr>
        <w:t>supporting</w:t>
      </w:r>
      <w:r w:rsidR="00A73E8E" w:rsidRPr="00595FE6">
        <w:rPr>
          <w:rFonts w:cs="Arial"/>
          <w:szCs w:val="24"/>
        </w:rPr>
        <w:t xml:space="preserve"> </w:t>
      </w:r>
      <w:r w:rsidR="00277B41" w:rsidRPr="00595FE6">
        <w:rPr>
          <w:rFonts w:cs="Arial"/>
          <w:szCs w:val="24"/>
        </w:rPr>
        <w:t>earlier referral</w:t>
      </w:r>
      <w:r w:rsidR="00A73E8E" w:rsidRPr="00595FE6">
        <w:rPr>
          <w:rFonts w:cs="Arial"/>
          <w:szCs w:val="24"/>
        </w:rPr>
        <w:t>,</w:t>
      </w:r>
      <w:r w:rsidR="00277B41" w:rsidRPr="00595FE6">
        <w:rPr>
          <w:rFonts w:cs="Arial"/>
          <w:szCs w:val="24"/>
        </w:rPr>
        <w:t xml:space="preserve"> </w:t>
      </w:r>
      <w:r w:rsidR="000F3D5B" w:rsidRPr="00595FE6">
        <w:rPr>
          <w:rFonts w:cs="Arial"/>
          <w:szCs w:val="24"/>
        </w:rPr>
        <w:t>and</w:t>
      </w:r>
      <w:r w:rsidR="008B44AE" w:rsidRPr="00595FE6">
        <w:rPr>
          <w:rFonts w:cs="Arial"/>
          <w:szCs w:val="24"/>
        </w:rPr>
        <w:t xml:space="preserve"> </w:t>
      </w:r>
      <w:r w:rsidR="00C5414D" w:rsidRPr="00595FE6">
        <w:rPr>
          <w:rFonts w:cs="Arial"/>
          <w:szCs w:val="24"/>
        </w:rPr>
        <w:t xml:space="preserve">in </w:t>
      </w:r>
      <w:r w:rsidR="008B44AE" w:rsidRPr="00595FE6">
        <w:rPr>
          <w:rFonts w:cs="Arial"/>
          <w:szCs w:val="24"/>
        </w:rPr>
        <w:t>school facilitat</w:t>
      </w:r>
      <w:r w:rsidR="00B50463" w:rsidRPr="00595FE6">
        <w:rPr>
          <w:rFonts w:cs="Arial"/>
          <w:szCs w:val="24"/>
        </w:rPr>
        <w:t>ing</w:t>
      </w:r>
      <w:r w:rsidR="008B44AE" w:rsidRPr="00595FE6">
        <w:rPr>
          <w:rFonts w:cs="Arial"/>
          <w:szCs w:val="24"/>
        </w:rPr>
        <w:t xml:space="preserve"> tailored support and communication</w:t>
      </w:r>
      <w:r w:rsidR="000D4EE0" w:rsidRPr="00595FE6">
        <w:rPr>
          <w:rFonts w:cs="Arial"/>
          <w:szCs w:val="24"/>
        </w:rPr>
        <w:t xml:space="preserve"> between school and home</w:t>
      </w:r>
      <w:r w:rsidR="008B44AE" w:rsidRPr="00595FE6">
        <w:rPr>
          <w:rFonts w:cs="Arial"/>
          <w:szCs w:val="24"/>
        </w:rPr>
        <w:t>.</w:t>
      </w:r>
      <w:r w:rsidR="00E41ACC" w:rsidRPr="00595FE6">
        <w:rPr>
          <w:rFonts w:cs="Arial"/>
          <w:szCs w:val="24"/>
        </w:rPr>
        <w:t xml:space="preserve"> </w:t>
      </w:r>
      <w:r w:rsidR="00F33EF5" w:rsidRPr="00595FE6">
        <w:rPr>
          <w:rFonts w:cs="Arial"/>
          <w:szCs w:val="24"/>
        </w:rPr>
        <w:t xml:space="preserve">Benefits mentioned included </w:t>
      </w:r>
      <w:r w:rsidR="00E41ACC" w:rsidRPr="00595FE6">
        <w:rPr>
          <w:rFonts w:cs="Arial"/>
          <w:szCs w:val="24"/>
        </w:rPr>
        <w:t>improving confidence</w:t>
      </w:r>
      <w:r w:rsidR="00810386" w:rsidRPr="00595FE6">
        <w:rPr>
          <w:rFonts w:cs="Arial"/>
          <w:szCs w:val="24"/>
        </w:rPr>
        <w:t xml:space="preserve">, </w:t>
      </w:r>
      <w:r w:rsidR="00E41ACC" w:rsidRPr="00595FE6">
        <w:rPr>
          <w:rFonts w:cs="Arial"/>
          <w:szCs w:val="24"/>
        </w:rPr>
        <w:t>attendance</w:t>
      </w:r>
      <w:r w:rsidR="00810386" w:rsidRPr="00595FE6">
        <w:rPr>
          <w:rFonts w:cs="Arial"/>
          <w:szCs w:val="24"/>
        </w:rPr>
        <w:t>,</w:t>
      </w:r>
      <w:r w:rsidR="00E41ACC" w:rsidRPr="00595FE6">
        <w:rPr>
          <w:rFonts w:cs="Arial"/>
          <w:szCs w:val="24"/>
        </w:rPr>
        <w:t xml:space="preserve"> </w:t>
      </w:r>
      <w:r w:rsidR="00EC23FE" w:rsidRPr="00595FE6">
        <w:rPr>
          <w:rFonts w:cs="Arial"/>
          <w:szCs w:val="24"/>
        </w:rPr>
        <w:t>and</w:t>
      </w:r>
      <w:r w:rsidR="00E41ACC" w:rsidRPr="00595FE6">
        <w:rPr>
          <w:rFonts w:cs="Arial"/>
          <w:szCs w:val="24"/>
        </w:rPr>
        <w:t xml:space="preserve"> </w:t>
      </w:r>
      <w:r w:rsidR="00DF18BE" w:rsidRPr="00595FE6">
        <w:rPr>
          <w:rFonts w:cs="Arial"/>
          <w:szCs w:val="24"/>
        </w:rPr>
        <w:t>identifying</w:t>
      </w:r>
      <w:r w:rsidR="00E41ACC" w:rsidRPr="00595FE6">
        <w:rPr>
          <w:rFonts w:cs="Arial"/>
          <w:szCs w:val="24"/>
        </w:rPr>
        <w:t xml:space="preserve"> issues before they escalate.</w:t>
      </w:r>
    </w:p>
    <w:p w14:paraId="3BB21FC6" w14:textId="3081EC58" w:rsidR="003149BC" w:rsidRPr="00595FE6" w:rsidRDefault="00664EAC" w:rsidP="00D9246A">
      <w:pPr>
        <w:spacing w:line="240" w:lineRule="auto"/>
        <w:rPr>
          <w:rFonts w:eastAsia="Times New Roman" w:cs="Arial"/>
          <w:color w:val="000000"/>
          <w:szCs w:val="24"/>
          <w:lang w:eastAsia="en-GB"/>
        </w:rPr>
      </w:pPr>
      <w:r w:rsidRPr="007C4B38">
        <w:rPr>
          <w:rFonts w:cs="Arial"/>
          <w:b/>
          <w:color w:val="0079C2"/>
          <w:szCs w:val="24"/>
        </w:rPr>
        <w:t>Social &amp; community groups</w:t>
      </w:r>
      <w:r w:rsidR="00005C3E" w:rsidRPr="007C4B38">
        <w:rPr>
          <w:rFonts w:cs="Arial"/>
          <w:color w:val="0079C2"/>
          <w:szCs w:val="24"/>
        </w:rPr>
        <w:t>:</w:t>
      </w:r>
      <w:r w:rsidR="009719B7" w:rsidRPr="007C4B38">
        <w:rPr>
          <w:rFonts w:cs="Arial"/>
          <w:color w:val="0079C2"/>
          <w:szCs w:val="24"/>
        </w:rPr>
        <w:t xml:space="preserve"> </w:t>
      </w:r>
      <w:r w:rsidR="009719B7" w:rsidRPr="00595FE6">
        <w:rPr>
          <w:rFonts w:cs="Arial"/>
          <w:szCs w:val="24"/>
        </w:rPr>
        <w:t>Parent carers talk</w:t>
      </w:r>
      <w:r w:rsidR="0078486C">
        <w:rPr>
          <w:rFonts w:cs="Arial"/>
          <w:szCs w:val="24"/>
        </w:rPr>
        <w:t>ed</w:t>
      </w:r>
      <w:r w:rsidR="009719B7" w:rsidRPr="00595FE6">
        <w:rPr>
          <w:rFonts w:cs="Arial"/>
          <w:szCs w:val="24"/>
        </w:rPr>
        <w:t xml:space="preserve"> about the importance of community groups,</w:t>
      </w:r>
      <w:r w:rsidR="008B1D23" w:rsidRPr="00595FE6">
        <w:rPr>
          <w:rFonts w:cs="Arial"/>
          <w:szCs w:val="24"/>
        </w:rPr>
        <w:t xml:space="preserve"> which allow their child to meet in supportive spaces, build social relationships and take part in activities that promote wellbeing and life skills.</w:t>
      </w:r>
      <w:r w:rsidR="003149BC" w:rsidRPr="00595FE6">
        <w:rPr>
          <w:rFonts w:cs="Arial"/>
          <w:szCs w:val="24"/>
        </w:rPr>
        <w:t xml:space="preserve"> </w:t>
      </w:r>
      <w:r w:rsidR="003149BC" w:rsidRPr="00595FE6">
        <w:rPr>
          <w:rFonts w:eastAsia="Times New Roman" w:cs="Arial"/>
          <w:color w:val="000000"/>
          <w:szCs w:val="24"/>
          <w:lang w:eastAsia="en-GB"/>
        </w:rPr>
        <w:t>Many also talk</w:t>
      </w:r>
      <w:r w:rsidR="002F1874">
        <w:rPr>
          <w:rFonts w:eastAsia="Times New Roman" w:cs="Arial"/>
          <w:color w:val="000000"/>
          <w:szCs w:val="24"/>
          <w:lang w:eastAsia="en-GB"/>
        </w:rPr>
        <w:t>ed</w:t>
      </w:r>
      <w:r w:rsidR="003149BC" w:rsidRPr="00595FE6">
        <w:rPr>
          <w:rFonts w:eastAsia="Times New Roman" w:cs="Arial"/>
          <w:color w:val="000000"/>
          <w:szCs w:val="24"/>
          <w:lang w:eastAsia="en-GB"/>
        </w:rPr>
        <w:t xml:space="preserve"> about </w:t>
      </w:r>
      <w:r w:rsidR="003149BC" w:rsidRPr="00595FE6">
        <w:rPr>
          <w:rFonts w:eastAsia="Times New Roman" w:cs="Arial"/>
          <w:color w:val="000000"/>
          <w:szCs w:val="24"/>
          <w:lang w:eastAsia="en-GB"/>
        </w:rPr>
        <w:lastRenderedPageBreak/>
        <w:t>the value for parent carers themselves, to make connection with other families in similar positions, share knowledge and</w:t>
      </w:r>
      <w:r w:rsidR="00051A32">
        <w:rPr>
          <w:rFonts w:eastAsia="Times New Roman" w:cs="Arial"/>
          <w:color w:val="000000"/>
          <w:szCs w:val="24"/>
          <w:lang w:eastAsia="en-GB"/>
        </w:rPr>
        <w:t xml:space="preserve"> provide</w:t>
      </w:r>
      <w:r w:rsidR="003149BC" w:rsidRPr="00595FE6">
        <w:rPr>
          <w:rFonts w:eastAsia="Times New Roman" w:cs="Arial"/>
          <w:color w:val="000000"/>
          <w:szCs w:val="24"/>
          <w:lang w:eastAsia="en-GB"/>
        </w:rPr>
        <w:t xml:space="preserve"> informal peer support.</w:t>
      </w:r>
    </w:p>
    <w:p w14:paraId="725FD98A" w14:textId="5BEB7AD6" w:rsidR="00664EAC" w:rsidRPr="00595FE6" w:rsidRDefault="00664EAC" w:rsidP="00D9246A">
      <w:pPr>
        <w:spacing w:line="240" w:lineRule="auto"/>
        <w:rPr>
          <w:rFonts w:cs="Arial"/>
          <w:szCs w:val="24"/>
        </w:rPr>
      </w:pPr>
      <w:r w:rsidRPr="007C4B38">
        <w:rPr>
          <w:rFonts w:cs="Arial"/>
          <w:b/>
          <w:color w:val="0079C2"/>
          <w:szCs w:val="24"/>
        </w:rPr>
        <w:t xml:space="preserve">Support </w:t>
      </w:r>
      <w:r w:rsidR="008A7CDA">
        <w:rPr>
          <w:rFonts w:cs="Arial"/>
          <w:b/>
          <w:bCs/>
          <w:color w:val="0079C2"/>
          <w:szCs w:val="24"/>
        </w:rPr>
        <w:t>&amp;</w:t>
      </w:r>
      <w:r w:rsidRPr="007C4B38">
        <w:rPr>
          <w:rFonts w:cs="Arial"/>
          <w:b/>
          <w:color w:val="0079C2"/>
          <w:szCs w:val="24"/>
        </w:rPr>
        <w:t xml:space="preserve"> advocacy from </w:t>
      </w:r>
      <w:r w:rsidR="00051A32" w:rsidRPr="007C4B38">
        <w:rPr>
          <w:rFonts w:cs="Arial"/>
          <w:b/>
          <w:color w:val="0079C2"/>
          <w:szCs w:val="24"/>
        </w:rPr>
        <w:t xml:space="preserve">community and voluntary </w:t>
      </w:r>
      <w:r w:rsidR="003B6344" w:rsidRPr="007C4B38">
        <w:rPr>
          <w:rFonts w:cs="Arial"/>
          <w:b/>
          <w:color w:val="0079C2"/>
          <w:szCs w:val="24"/>
        </w:rPr>
        <w:t>services (</w:t>
      </w:r>
      <w:r w:rsidRPr="007C4B38">
        <w:rPr>
          <w:rFonts w:cs="Arial"/>
          <w:b/>
          <w:color w:val="0079C2"/>
          <w:szCs w:val="24"/>
        </w:rPr>
        <w:t>CVS</w:t>
      </w:r>
      <w:r w:rsidR="003B6344" w:rsidRPr="007C4B38">
        <w:rPr>
          <w:rFonts w:cs="Arial"/>
          <w:b/>
          <w:color w:val="0079C2"/>
          <w:szCs w:val="24"/>
        </w:rPr>
        <w:t>)</w:t>
      </w:r>
      <w:r w:rsidR="00FC6EEF" w:rsidRPr="007C4B38">
        <w:rPr>
          <w:rFonts w:cs="Arial"/>
          <w:color w:val="0079C2"/>
          <w:szCs w:val="24"/>
        </w:rPr>
        <w:t xml:space="preserve">: </w:t>
      </w:r>
      <w:r w:rsidR="00FC6EEF" w:rsidRPr="00595FE6">
        <w:rPr>
          <w:rFonts w:cs="Arial"/>
          <w:szCs w:val="24"/>
        </w:rPr>
        <w:t>That provide support and advocacy to families and create welcoming spaces. Parent carers talk</w:t>
      </w:r>
      <w:r w:rsidR="003B6344">
        <w:rPr>
          <w:rFonts w:cs="Arial"/>
          <w:szCs w:val="24"/>
        </w:rPr>
        <w:t>ed</w:t>
      </w:r>
      <w:r w:rsidR="00FC6EEF" w:rsidRPr="00595FE6">
        <w:rPr>
          <w:rFonts w:cs="Arial"/>
          <w:szCs w:val="24"/>
        </w:rPr>
        <w:t xml:space="preserve"> about the value of family support courses and workshops that provide practical advice and guidance on things like applying for financial support and housing. </w:t>
      </w:r>
    </w:p>
    <w:p w14:paraId="628B063E" w14:textId="46369153" w:rsidR="00D854C6" w:rsidRPr="00595FE6" w:rsidRDefault="00664EAC" w:rsidP="00D9246A">
      <w:pPr>
        <w:spacing w:line="240" w:lineRule="auto"/>
        <w:rPr>
          <w:rFonts w:cs="Arial"/>
          <w:szCs w:val="24"/>
          <w:lang w:eastAsia="en-GB"/>
        </w:rPr>
      </w:pPr>
      <w:r w:rsidRPr="007C4B38">
        <w:rPr>
          <w:rFonts w:cs="Arial"/>
          <w:b/>
          <w:color w:val="0079C2"/>
          <w:szCs w:val="24"/>
        </w:rPr>
        <w:t>Accessible green spaces</w:t>
      </w:r>
      <w:r w:rsidR="00D854C6" w:rsidRPr="007C4B38">
        <w:rPr>
          <w:rFonts w:cs="Arial"/>
          <w:color w:val="0079C2"/>
          <w:szCs w:val="24"/>
        </w:rPr>
        <w:t xml:space="preserve">: </w:t>
      </w:r>
      <w:r w:rsidR="00D854C6" w:rsidRPr="00595FE6">
        <w:rPr>
          <w:rFonts w:cs="Arial"/>
          <w:szCs w:val="24"/>
          <w:lang w:eastAsia="en-GB"/>
        </w:rPr>
        <w:t>A few reports mention</w:t>
      </w:r>
      <w:r w:rsidR="008163D4">
        <w:rPr>
          <w:rFonts w:cs="Arial"/>
          <w:szCs w:val="24"/>
          <w:lang w:eastAsia="en-GB"/>
        </w:rPr>
        <w:t>ed</w:t>
      </w:r>
      <w:r w:rsidR="00D854C6" w:rsidRPr="00595FE6">
        <w:rPr>
          <w:rFonts w:cs="Arial"/>
          <w:szCs w:val="24"/>
          <w:lang w:eastAsia="en-GB"/>
        </w:rPr>
        <w:t xml:space="preserve"> accessible spaces</w:t>
      </w:r>
      <w:r w:rsidR="00E06CD4">
        <w:rPr>
          <w:rFonts w:cs="Arial"/>
          <w:szCs w:val="24"/>
          <w:lang w:eastAsia="en-GB"/>
        </w:rPr>
        <w:t>,</w:t>
      </w:r>
      <w:r w:rsidR="00D854C6" w:rsidRPr="00595FE6">
        <w:rPr>
          <w:rFonts w:cs="Arial"/>
          <w:szCs w:val="24"/>
          <w:lang w:eastAsia="en-GB"/>
        </w:rPr>
        <w:t xml:space="preserve"> such as parks</w:t>
      </w:r>
      <w:r w:rsidR="00E06CD4">
        <w:rPr>
          <w:rFonts w:cs="Arial"/>
          <w:szCs w:val="24"/>
          <w:lang w:eastAsia="en-GB"/>
        </w:rPr>
        <w:t>,</w:t>
      </w:r>
      <w:r w:rsidR="00D854C6" w:rsidRPr="00595FE6">
        <w:rPr>
          <w:rFonts w:cs="Arial"/>
          <w:szCs w:val="24"/>
          <w:lang w:eastAsia="en-GB"/>
        </w:rPr>
        <w:t xml:space="preserve"> with equipment or areas for </w:t>
      </w:r>
      <w:r w:rsidR="00D854C6" w:rsidRPr="00A3080F">
        <w:rPr>
          <w:rFonts w:eastAsia="Times New Roman" w:cs="Arial"/>
          <w:color w:val="000000"/>
          <w:szCs w:val="24"/>
          <w:lang w:eastAsia="en-GB"/>
        </w:rPr>
        <w:t>children</w:t>
      </w:r>
      <w:r w:rsidR="00D854C6" w:rsidRPr="00595FE6">
        <w:rPr>
          <w:rFonts w:cs="Arial"/>
          <w:szCs w:val="24"/>
          <w:lang w:eastAsia="en-GB"/>
        </w:rPr>
        <w:t xml:space="preserve"> with special educational needs or disabilities to use</w:t>
      </w:r>
      <w:r w:rsidR="003F79DC">
        <w:rPr>
          <w:rFonts w:cs="Arial"/>
          <w:szCs w:val="24"/>
          <w:lang w:eastAsia="en-GB"/>
        </w:rPr>
        <w:t xml:space="preserve"> as well as</w:t>
      </w:r>
      <w:r w:rsidR="00D854C6" w:rsidRPr="00595FE6">
        <w:rPr>
          <w:rFonts w:cs="Arial"/>
          <w:szCs w:val="24"/>
          <w:lang w:eastAsia="en-GB"/>
        </w:rPr>
        <w:t xml:space="preserve"> welcoming and inclusive environments across the city more widely.</w:t>
      </w:r>
    </w:p>
    <w:p w14:paraId="6DE548E2" w14:textId="26DFCBFC" w:rsidR="00664EAC" w:rsidRPr="00595FE6" w:rsidRDefault="00664EAC" w:rsidP="00D9246A">
      <w:pPr>
        <w:spacing w:line="240" w:lineRule="auto"/>
        <w:rPr>
          <w:rFonts w:cs="Arial"/>
          <w:szCs w:val="24"/>
        </w:rPr>
      </w:pPr>
      <w:r w:rsidRPr="007C4B38">
        <w:rPr>
          <w:rFonts w:cs="Arial"/>
          <w:b/>
          <w:color w:val="0079C2"/>
          <w:szCs w:val="24"/>
        </w:rPr>
        <w:t>Co-production in service design</w:t>
      </w:r>
      <w:r w:rsidR="00E24C2A" w:rsidRPr="007C4B38">
        <w:rPr>
          <w:rFonts w:cs="Arial"/>
          <w:color w:val="0079C2"/>
          <w:szCs w:val="24"/>
        </w:rPr>
        <w:t xml:space="preserve">: </w:t>
      </w:r>
      <w:r w:rsidR="00E24C2A" w:rsidRPr="00A3080F">
        <w:rPr>
          <w:rFonts w:eastAsia="Times New Roman" w:cs="Arial"/>
          <w:color w:val="000000"/>
          <w:szCs w:val="24"/>
          <w:lang w:eastAsia="en-GB"/>
        </w:rPr>
        <w:t>Several</w:t>
      </w:r>
      <w:r w:rsidR="00E24C2A" w:rsidRPr="00595FE6">
        <w:rPr>
          <w:rFonts w:cs="Arial"/>
          <w:szCs w:val="24"/>
        </w:rPr>
        <w:t xml:space="preserve"> reports </w:t>
      </w:r>
      <w:r w:rsidR="00C85539">
        <w:rPr>
          <w:rFonts w:cs="Arial"/>
          <w:szCs w:val="24"/>
        </w:rPr>
        <w:t>mentioned</w:t>
      </w:r>
      <w:r w:rsidR="00E24C2A" w:rsidRPr="00595FE6">
        <w:rPr>
          <w:rFonts w:cs="Arial"/>
          <w:szCs w:val="24"/>
        </w:rPr>
        <w:t xml:space="preserve"> the impact of effective co-production between organisations and communities, </w:t>
      </w:r>
      <w:r w:rsidR="005D3D81">
        <w:rPr>
          <w:rFonts w:cs="Arial"/>
          <w:szCs w:val="24"/>
        </w:rPr>
        <w:t>leading to</w:t>
      </w:r>
      <w:r w:rsidR="00E24C2A" w:rsidRPr="00595FE6">
        <w:rPr>
          <w:rFonts w:cs="Arial"/>
          <w:szCs w:val="24"/>
        </w:rPr>
        <w:t xml:space="preserve"> improvements to the school transport system, new roles </w:t>
      </w:r>
      <w:r w:rsidR="005D3D81">
        <w:rPr>
          <w:rFonts w:cs="Arial"/>
          <w:szCs w:val="24"/>
        </w:rPr>
        <w:t>&amp;</w:t>
      </w:r>
      <w:r w:rsidR="00E24C2A" w:rsidRPr="00595FE6">
        <w:rPr>
          <w:rFonts w:cs="Arial"/>
          <w:szCs w:val="24"/>
        </w:rPr>
        <w:t xml:space="preserve"> resources such as the Social Communication Resource </w:t>
      </w:r>
      <w:r w:rsidR="005D3D81">
        <w:rPr>
          <w:rFonts w:cs="Arial"/>
          <w:szCs w:val="24"/>
        </w:rPr>
        <w:t>&amp;</w:t>
      </w:r>
      <w:r w:rsidR="00E24C2A" w:rsidRPr="00595FE6">
        <w:rPr>
          <w:rFonts w:cs="Arial"/>
          <w:szCs w:val="24"/>
        </w:rPr>
        <w:t xml:space="preserve"> Hidden Children Officer role, </w:t>
      </w:r>
      <w:r w:rsidR="005D3D81">
        <w:rPr>
          <w:rFonts w:cs="Arial"/>
          <w:szCs w:val="24"/>
        </w:rPr>
        <w:t>&amp;</w:t>
      </w:r>
      <w:r w:rsidR="00E24C2A" w:rsidRPr="00595FE6">
        <w:rPr>
          <w:rFonts w:cs="Arial"/>
          <w:szCs w:val="24"/>
        </w:rPr>
        <w:t xml:space="preserve"> creating avenues for </w:t>
      </w:r>
      <w:r w:rsidR="005D3D81" w:rsidRPr="00595FE6">
        <w:rPr>
          <w:rFonts w:cs="Arial"/>
          <w:szCs w:val="24"/>
        </w:rPr>
        <w:t xml:space="preserve">parent carer </w:t>
      </w:r>
      <w:r w:rsidR="00E24C2A" w:rsidRPr="00595FE6">
        <w:rPr>
          <w:rFonts w:cs="Arial"/>
          <w:szCs w:val="24"/>
        </w:rPr>
        <w:t>feedback.</w:t>
      </w:r>
    </w:p>
    <w:p w14:paraId="321C5433" w14:textId="7A023616" w:rsidR="00471BAA" w:rsidRPr="00595FE6" w:rsidRDefault="00471BAA" w:rsidP="00D9246A">
      <w:pPr>
        <w:pStyle w:val="Heading2"/>
        <w:spacing w:before="0" w:after="120"/>
      </w:pPr>
      <w:r w:rsidRPr="00595FE6">
        <w:t>Barriers and challenges</w:t>
      </w:r>
    </w:p>
    <w:p w14:paraId="30467D87" w14:textId="72DCB897" w:rsidR="003A5AAF" w:rsidRPr="00595FE6" w:rsidRDefault="00B811F5" w:rsidP="00D9246A">
      <w:pPr>
        <w:spacing w:line="240" w:lineRule="auto"/>
        <w:rPr>
          <w:rFonts w:cs="Arial"/>
          <w:szCs w:val="24"/>
        </w:rPr>
      </w:pPr>
      <w:r w:rsidRPr="00A05984">
        <w:rPr>
          <w:rFonts w:cs="Arial"/>
          <w:b/>
          <w:color w:val="0079C2"/>
          <w:szCs w:val="24"/>
        </w:rPr>
        <w:t xml:space="preserve">Assessment &amp; diagnosis pathway for </w:t>
      </w:r>
      <w:r w:rsidR="00927AC1">
        <w:rPr>
          <w:rFonts w:cs="Arial"/>
          <w:b/>
          <w:bCs/>
          <w:color w:val="0079C2"/>
          <w:szCs w:val="24"/>
        </w:rPr>
        <w:t>n</w:t>
      </w:r>
      <w:r w:rsidRPr="00A05984">
        <w:rPr>
          <w:rFonts w:cs="Arial"/>
          <w:b/>
          <w:bCs/>
          <w:color w:val="0079C2"/>
          <w:szCs w:val="24"/>
        </w:rPr>
        <w:t>eurodevelopmental</w:t>
      </w:r>
      <w:r w:rsidRPr="00A05984">
        <w:rPr>
          <w:rFonts w:cs="Arial"/>
          <w:b/>
          <w:color w:val="0079C2"/>
          <w:szCs w:val="24"/>
        </w:rPr>
        <w:t xml:space="preserve"> conditions</w:t>
      </w:r>
      <w:r w:rsidR="00E6504E" w:rsidRPr="00A05984">
        <w:rPr>
          <w:rFonts w:cs="Arial"/>
          <w:b/>
          <w:color w:val="0079C2"/>
          <w:szCs w:val="24"/>
        </w:rPr>
        <w:t xml:space="preserve">: </w:t>
      </w:r>
      <w:r w:rsidR="00E6504E" w:rsidRPr="00595FE6">
        <w:rPr>
          <w:rFonts w:cs="Arial"/>
          <w:szCs w:val="24"/>
        </w:rPr>
        <w:t>Parent carers in many reports talk</w:t>
      </w:r>
      <w:r w:rsidR="001D485B">
        <w:rPr>
          <w:rFonts w:cs="Arial"/>
          <w:szCs w:val="24"/>
        </w:rPr>
        <w:t>ed</w:t>
      </w:r>
      <w:r w:rsidR="00E6504E" w:rsidRPr="00595FE6">
        <w:rPr>
          <w:rFonts w:cs="Arial"/>
          <w:szCs w:val="24"/>
        </w:rPr>
        <w:t xml:space="preserve"> about the difficulty of accessing</w:t>
      </w:r>
      <w:r w:rsidR="004E6F2C" w:rsidRPr="00595FE6">
        <w:rPr>
          <w:rFonts w:cs="Arial"/>
          <w:szCs w:val="24"/>
        </w:rPr>
        <w:t xml:space="preserve"> </w:t>
      </w:r>
      <w:r w:rsidR="00E6504E" w:rsidRPr="00595FE6">
        <w:rPr>
          <w:rFonts w:cs="Arial"/>
          <w:szCs w:val="24"/>
        </w:rPr>
        <w:t xml:space="preserve">assessment for conditions such as autism and ADHD, </w:t>
      </w:r>
      <w:r w:rsidR="00C95EDF">
        <w:rPr>
          <w:rFonts w:cs="Arial"/>
          <w:szCs w:val="24"/>
        </w:rPr>
        <w:t xml:space="preserve">with </w:t>
      </w:r>
      <w:r w:rsidR="00E6504E" w:rsidRPr="00595FE6">
        <w:rPr>
          <w:rFonts w:cs="Arial"/>
          <w:szCs w:val="24"/>
        </w:rPr>
        <w:t xml:space="preserve">particular </w:t>
      </w:r>
      <w:r w:rsidR="00C95EDF">
        <w:rPr>
          <w:rFonts w:cs="Arial"/>
          <w:szCs w:val="24"/>
        </w:rPr>
        <w:t xml:space="preserve">emphasis on </w:t>
      </w:r>
      <w:r w:rsidR="00E6504E" w:rsidRPr="00595FE6">
        <w:rPr>
          <w:rFonts w:cs="Arial"/>
          <w:szCs w:val="24"/>
        </w:rPr>
        <w:t>long waiting times.</w:t>
      </w:r>
      <w:r w:rsidR="00DA718C" w:rsidRPr="00595FE6">
        <w:rPr>
          <w:rFonts w:cs="Arial"/>
          <w:szCs w:val="24"/>
        </w:rPr>
        <w:t xml:space="preserve"> </w:t>
      </w:r>
      <w:r w:rsidR="00DA718C" w:rsidRPr="00A3080F">
        <w:rPr>
          <w:rFonts w:eastAsia="Times New Roman" w:cs="Arial"/>
          <w:color w:val="000000"/>
          <w:szCs w:val="24"/>
          <w:lang w:eastAsia="en-GB"/>
        </w:rPr>
        <w:t>There</w:t>
      </w:r>
      <w:r w:rsidR="00DA718C" w:rsidRPr="00595FE6">
        <w:rPr>
          <w:rFonts w:cs="Arial"/>
          <w:szCs w:val="24"/>
        </w:rPr>
        <w:t xml:space="preserve"> is often a feeling that getting an assessment depends significantly on advocacy by parent carers and individual professionals.</w:t>
      </w:r>
      <w:r w:rsidR="003A5AAF" w:rsidRPr="00595FE6">
        <w:rPr>
          <w:rFonts w:cs="Arial"/>
          <w:szCs w:val="24"/>
        </w:rPr>
        <w:t xml:space="preserve"> </w:t>
      </w:r>
      <w:r w:rsidR="00C95EDF">
        <w:rPr>
          <w:rFonts w:cs="Arial"/>
          <w:szCs w:val="24"/>
        </w:rPr>
        <w:t>The p</w:t>
      </w:r>
      <w:r w:rsidR="003A5AAF" w:rsidRPr="00595FE6">
        <w:rPr>
          <w:rFonts w:cs="Arial"/>
          <w:szCs w:val="24"/>
        </w:rPr>
        <w:t>rocess is stressful for families, who feel that the challenges their child faces worsen while waiting.</w:t>
      </w:r>
    </w:p>
    <w:p w14:paraId="6217B8F0" w14:textId="1ADB4F24" w:rsidR="00B811F5" w:rsidRPr="00595FE6" w:rsidRDefault="00B811F5" w:rsidP="00D9246A">
      <w:pPr>
        <w:spacing w:line="240" w:lineRule="auto"/>
        <w:rPr>
          <w:rFonts w:cs="Arial"/>
          <w:szCs w:val="24"/>
        </w:rPr>
      </w:pPr>
      <w:r w:rsidRPr="00A05984">
        <w:rPr>
          <w:rFonts w:cs="Arial"/>
          <w:b/>
          <w:color w:val="0079C2"/>
          <w:szCs w:val="24"/>
        </w:rPr>
        <w:t>Support for those without diagnosis</w:t>
      </w:r>
      <w:r w:rsidR="0068334E" w:rsidRPr="00A05984">
        <w:rPr>
          <w:rFonts w:cs="Arial"/>
          <w:b/>
          <w:color w:val="0079C2"/>
          <w:szCs w:val="24"/>
        </w:rPr>
        <w:t>:</w:t>
      </w:r>
      <w:r w:rsidR="0068334E" w:rsidRPr="00595FE6">
        <w:rPr>
          <w:rFonts w:cs="Arial"/>
          <w:szCs w:val="24"/>
        </w:rPr>
        <w:t xml:space="preserve"> </w:t>
      </w:r>
      <w:r w:rsidR="001D3A64" w:rsidRPr="00595FE6">
        <w:rPr>
          <w:rFonts w:cs="Arial"/>
          <w:szCs w:val="24"/>
        </w:rPr>
        <w:t>S</w:t>
      </w:r>
      <w:r w:rsidR="0068334E" w:rsidRPr="00595FE6">
        <w:rPr>
          <w:rFonts w:cs="Arial"/>
          <w:szCs w:val="24"/>
        </w:rPr>
        <w:t>everal reports mention</w:t>
      </w:r>
      <w:r w:rsidR="005547FB">
        <w:rPr>
          <w:rFonts w:cs="Arial"/>
          <w:szCs w:val="24"/>
        </w:rPr>
        <w:t>ed</w:t>
      </w:r>
      <w:r w:rsidR="0068334E" w:rsidRPr="00595FE6">
        <w:rPr>
          <w:rFonts w:cs="Arial"/>
          <w:szCs w:val="24"/>
        </w:rPr>
        <w:t xml:space="preserve"> finding it difficult to obtain educational </w:t>
      </w:r>
      <w:r w:rsidR="00B14FD4" w:rsidRPr="00595FE6">
        <w:rPr>
          <w:rFonts w:cs="Arial"/>
          <w:szCs w:val="24"/>
        </w:rPr>
        <w:t xml:space="preserve">or </w:t>
      </w:r>
      <w:r w:rsidR="0068334E" w:rsidRPr="00595FE6">
        <w:rPr>
          <w:rFonts w:cs="Arial"/>
          <w:szCs w:val="24"/>
        </w:rPr>
        <w:t>workplace</w:t>
      </w:r>
      <w:r w:rsidR="00B14FD4" w:rsidRPr="00595FE6">
        <w:rPr>
          <w:rFonts w:cs="Arial"/>
          <w:szCs w:val="24"/>
        </w:rPr>
        <w:t xml:space="preserve"> support</w:t>
      </w:r>
      <w:r w:rsidR="0068334E" w:rsidRPr="00595FE6">
        <w:rPr>
          <w:rFonts w:cs="Arial"/>
          <w:szCs w:val="24"/>
        </w:rPr>
        <w:t xml:space="preserve"> without a diagnosis, despite guidelines </w:t>
      </w:r>
      <w:r w:rsidR="00434EBB">
        <w:rPr>
          <w:rFonts w:cs="Arial"/>
          <w:szCs w:val="24"/>
        </w:rPr>
        <w:t xml:space="preserve">stating </w:t>
      </w:r>
      <w:r w:rsidR="0068334E" w:rsidRPr="00595FE6">
        <w:rPr>
          <w:rFonts w:cs="Arial"/>
          <w:szCs w:val="24"/>
        </w:rPr>
        <w:t>that provision should be need-</w:t>
      </w:r>
      <w:r w:rsidR="006915F9" w:rsidRPr="00595FE6">
        <w:rPr>
          <w:rFonts w:cs="Arial"/>
          <w:szCs w:val="24"/>
        </w:rPr>
        <w:t xml:space="preserve">based </w:t>
      </w:r>
      <w:r w:rsidR="0068334E" w:rsidRPr="00595FE6">
        <w:rPr>
          <w:rFonts w:cs="Arial"/>
          <w:szCs w:val="24"/>
        </w:rPr>
        <w:t>rather than diagnosis-based.</w:t>
      </w:r>
    </w:p>
    <w:p w14:paraId="431EC9EC" w14:textId="62A02164" w:rsidR="00B811F5" w:rsidRPr="00595FE6" w:rsidRDefault="00B811F5" w:rsidP="00D9246A">
      <w:pPr>
        <w:spacing w:line="240" w:lineRule="auto"/>
        <w:rPr>
          <w:rFonts w:cs="Arial"/>
          <w:szCs w:val="24"/>
          <w:lang w:eastAsia="en-GB"/>
        </w:rPr>
      </w:pPr>
      <w:r w:rsidRPr="00A05984">
        <w:rPr>
          <w:rFonts w:cs="Arial"/>
          <w:b/>
          <w:color w:val="0079C2"/>
          <w:szCs w:val="24"/>
        </w:rPr>
        <w:t>Waiting times &amp; capacity for therapies</w:t>
      </w:r>
      <w:r w:rsidR="00034E3D" w:rsidRPr="00A05984">
        <w:rPr>
          <w:rFonts w:cs="Arial"/>
          <w:b/>
          <w:color w:val="0079C2"/>
          <w:szCs w:val="24"/>
        </w:rPr>
        <w:t xml:space="preserve">: </w:t>
      </w:r>
      <w:r w:rsidR="007B19E6" w:rsidRPr="00595FE6">
        <w:rPr>
          <w:rFonts w:cs="Arial"/>
          <w:szCs w:val="24"/>
          <w:lang w:eastAsia="en-GB"/>
        </w:rPr>
        <w:t>Parent carers talk</w:t>
      </w:r>
      <w:r w:rsidR="003C14AE">
        <w:rPr>
          <w:rFonts w:cs="Arial"/>
          <w:szCs w:val="24"/>
          <w:lang w:eastAsia="en-GB"/>
        </w:rPr>
        <w:t>ed</w:t>
      </w:r>
      <w:r w:rsidR="007B19E6" w:rsidRPr="00595FE6">
        <w:rPr>
          <w:rFonts w:cs="Arial"/>
          <w:szCs w:val="24"/>
          <w:lang w:eastAsia="en-GB"/>
        </w:rPr>
        <w:t xml:space="preserve"> about high thresholds for getting onto therapy lists (including </w:t>
      </w:r>
      <w:r w:rsidR="003C14AE" w:rsidRPr="00595FE6">
        <w:rPr>
          <w:rFonts w:cs="Arial"/>
          <w:szCs w:val="24"/>
          <w:lang w:eastAsia="en-GB"/>
        </w:rPr>
        <w:t xml:space="preserve">speech and language, occupational </w:t>
      </w:r>
      <w:r w:rsidR="005208B3">
        <w:rPr>
          <w:rFonts w:cs="Arial"/>
          <w:szCs w:val="24"/>
          <w:lang w:eastAsia="en-GB"/>
        </w:rPr>
        <w:t>and</w:t>
      </w:r>
      <w:r w:rsidR="003C14AE" w:rsidRPr="00595FE6">
        <w:rPr>
          <w:rFonts w:cs="Arial"/>
          <w:szCs w:val="24"/>
          <w:lang w:eastAsia="en-GB"/>
        </w:rPr>
        <w:t xml:space="preserve"> physical therap</w:t>
      </w:r>
      <w:r w:rsidR="007B19E6" w:rsidRPr="00595FE6">
        <w:rPr>
          <w:rFonts w:cs="Arial"/>
          <w:szCs w:val="24"/>
          <w:lang w:eastAsia="en-GB"/>
        </w:rPr>
        <w:t>y). M</w:t>
      </w:r>
      <w:r w:rsidR="00A10F4F" w:rsidRPr="00595FE6">
        <w:rPr>
          <w:rFonts w:cs="Arial"/>
          <w:szCs w:val="24"/>
          <w:lang w:eastAsia="en-GB"/>
        </w:rPr>
        <w:t>any parent carers emphasise</w:t>
      </w:r>
      <w:r w:rsidR="008F2C00">
        <w:rPr>
          <w:rFonts w:cs="Arial"/>
          <w:szCs w:val="24"/>
          <w:lang w:eastAsia="en-GB"/>
        </w:rPr>
        <w:t>d</w:t>
      </w:r>
      <w:r w:rsidR="00A10F4F" w:rsidRPr="00595FE6">
        <w:rPr>
          <w:rFonts w:cs="Arial"/>
          <w:szCs w:val="24"/>
          <w:lang w:eastAsia="en-GB"/>
        </w:rPr>
        <w:t xml:space="preserve"> how valuable therapy sessions are, but express</w:t>
      </w:r>
      <w:r w:rsidR="008F2C00">
        <w:rPr>
          <w:rFonts w:cs="Arial"/>
          <w:szCs w:val="24"/>
          <w:lang w:eastAsia="en-GB"/>
        </w:rPr>
        <w:t>ed</w:t>
      </w:r>
      <w:r w:rsidR="00A10F4F" w:rsidRPr="00595FE6">
        <w:rPr>
          <w:rFonts w:cs="Arial"/>
          <w:szCs w:val="24"/>
          <w:lang w:eastAsia="en-GB"/>
        </w:rPr>
        <w:t xml:space="preserve"> frustration that only a limited number are provided. Some families who can afford it feel forced to seek private sessions.</w:t>
      </w:r>
    </w:p>
    <w:p w14:paraId="667689C0" w14:textId="5BDB894E" w:rsidR="00B811F5" w:rsidRPr="00595FE6" w:rsidRDefault="00B811F5" w:rsidP="00D9246A">
      <w:pPr>
        <w:spacing w:line="240" w:lineRule="auto"/>
        <w:rPr>
          <w:rFonts w:cs="Arial"/>
          <w:szCs w:val="24"/>
        </w:rPr>
      </w:pPr>
      <w:r w:rsidRPr="00A05984">
        <w:rPr>
          <w:rFonts w:cs="Arial"/>
          <w:b/>
          <w:color w:val="0079C2"/>
          <w:szCs w:val="24"/>
        </w:rPr>
        <w:t>Gaps in social care provision</w:t>
      </w:r>
      <w:r w:rsidR="00E10455" w:rsidRPr="00A05984">
        <w:rPr>
          <w:rFonts w:cs="Arial"/>
          <w:b/>
          <w:color w:val="0079C2"/>
          <w:szCs w:val="24"/>
        </w:rPr>
        <w:t>:</w:t>
      </w:r>
      <w:r w:rsidR="00E10455" w:rsidRPr="00595FE6">
        <w:rPr>
          <w:rFonts w:cs="Arial"/>
          <w:szCs w:val="24"/>
        </w:rPr>
        <w:t xml:space="preserve"> </w:t>
      </w:r>
      <w:r w:rsidR="00380DEA" w:rsidRPr="00595FE6">
        <w:rPr>
          <w:rFonts w:cs="Arial"/>
          <w:szCs w:val="24"/>
          <w:lang w:eastAsia="en-GB"/>
        </w:rPr>
        <w:t xml:space="preserve">A few </w:t>
      </w:r>
      <w:r w:rsidR="00707B24" w:rsidRPr="00595FE6">
        <w:rPr>
          <w:rFonts w:cs="Arial"/>
          <w:szCs w:val="24"/>
          <w:lang w:eastAsia="en-GB"/>
        </w:rPr>
        <w:t xml:space="preserve">parent carers </w:t>
      </w:r>
      <w:r w:rsidR="00380DEA" w:rsidRPr="00595FE6">
        <w:rPr>
          <w:rFonts w:cs="Arial"/>
          <w:szCs w:val="24"/>
          <w:lang w:eastAsia="en-GB"/>
        </w:rPr>
        <w:t xml:space="preserve">describe a shortage of </w:t>
      </w:r>
      <w:r w:rsidR="004635E8" w:rsidRPr="00595FE6">
        <w:rPr>
          <w:rFonts w:cs="Arial"/>
          <w:szCs w:val="24"/>
          <w:lang w:eastAsia="en-GB"/>
        </w:rPr>
        <w:t xml:space="preserve">personal assistants </w:t>
      </w:r>
      <w:r w:rsidR="00380DEA" w:rsidRPr="00595FE6">
        <w:rPr>
          <w:rFonts w:cs="Arial"/>
          <w:szCs w:val="24"/>
          <w:lang w:eastAsia="en-GB"/>
        </w:rPr>
        <w:t xml:space="preserve">which many families rely on, and a long wait for assessment for social care support. </w:t>
      </w:r>
      <w:r w:rsidR="002774C1" w:rsidRPr="00595FE6">
        <w:rPr>
          <w:rFonts w:cs="Arial"/>
          <w:szCs w:val="24"/>
          <w:lang w:eastAsia="en-GB"/>
        </w:rPr>
        <w:t>Many reports also describe</w:t>
      </w:r>
      <w:r w:rsidR="00F07AA4">
        <w:rPr>
          <w:rFonts w:cs="Arial"/>
          <w:szCs w:val="24"/>
          <w:lang w:eastAsia="en-GB"/>
        </w:rPr>
        <w:t>d</w:t>
      </w:r>
      <w:r w:rsidR="002774C1" w:rsidRPr="00595FE6">
        <w:rPr>
          <w:rFonts w:cs="Arial"/>
          <w:szCs w:val="24"/>
          <w:lang w:eastAsia="en-GB"/>
        </w:rPr>
        <w:t xml:space="preserve"> insufficient respite care and short breaks. Eligibility thresholds</w:t>
      </w:r>
      <w:r w:rsidR="002774C1" w:rsidRPr="00595FE6" w:rsidDel="00F07AA4">
        <w:rPr>
          <w:rFonts w:cs="Arial"/>
          <w:szCs w:val="24"/>
          <w:lang w:eastAsia="en-GB"/>
        </w:rPr>
        <w:t xml:space="preserve"> </w:t>
      </w:r>
      <w:r w:rsidR="00F07AA4">
        <w:rPr>
          <w:rFonts w:cs="Arial"/>
          <w:szCs w:val="24"/>
          <w:lang w:eastAsia="en-GB"/>
        </w:rPr>
        <w:t>were</w:t>
      </w:r>
      <w:r w:rsidR="00F07AA4" w:rsidRPr="00595FE6">
        <w:rPr>
          <w:rFonts w:cs="Arial"/>
          <w:szCs w:val="24"/>
          <w:lang w:eastAsia="en-GB"/>
        </w:rPr>
        <w:t xml:space="preserve"> </w:t>
      </w:r>
      <w:r w:rsidR="002774C1" w:rsidRPr="00595FE6">
        <w:rPr>
          <w:rFonts w:cs="Arial"/>
          <w:szCs w:val="24"/>
          <w:lang w:eastAsia="en-GB"/>
        </w:rPr>
        <w:t>felt to be prohibitively high and exclude</w:t>
      </w:r>
      <w:r w:rsidR="00F07AA4">
        <w:rPr>
          <w:rFonts w:cs="Arial"/>
          <w:szCs w:val="24"/>
          <w:lang w:eastAsia="en-GB"/>
        </w:rPr>
        <w:t>d</w:t>
      </w:r>
      <w:r w:rsidR="002774C1" w:rsidRPr="00595FE6">
        <w:rPr>
          <w:rFonts w:cs="Arial"/>
          <w:szCs w:val="24"/>
          <w:lang w:eastAsia="en-GB"/>
        </w:rPr>
        <w:t xml:space="preserve"> autistic children and young people without a learning disability.</w:t>
      </w:r>
    </w:p>
    <w:p w14:paraId="55FE5069" w14:textId="3CD8B95E" w:rsidR="00B811F5" w:rsidRPr="00595FE6" w:rsidRDefault="00B811F5" w:rsidP="00D9246A">
      <w:pPr>
        <w:spacing w:line="240" w:lineRule="auto"/>
        <w:rPr>
          <w:rFonts w:cs="Arial"/>
          <w:szCs w:val="24"/>
        </w:rPr>
      </w:pPr>
      <w:r w:rsidRPr="00A05984">
        <w:rPr>
          <w:rFonts w:cs="Arial"/>
          <w:b/>
          <w:color w:val="0079C2"/>
          <w:szCs w:val="24"/>
        </w:rPr>
        <w:t>Navigating a complex system</w:t>
      </w:r>
      <w:r w:rsidR="00A06895" w:rsidRPr="00A05984">
        <w:rPr>
          <w:rFonts w:cs="Arial"/>
          <w:b/>
          <w:color w:val="0079C2"/>
          <w:szCs w:val="24"/>
        </w:rPr>
        <w:t>:</w:t>
      </w:r>
      <w:r w:rsidR="0015049C" w:rsidRPr="00595FE6">
        <w:rPr>
          <w:rFonts w:cs="Arial"/>
          <w:i/>
          <w:iCs/>
          <w:szCs w:val="24"/>
        </w:rPr>
        <w:t xml:space="preserve"> </w:t>
      </w:r>
      <w:r w:rsidR="0015049C" w:rsidRPr="00595FE6">
        <w:rPr>
          <w:rFonts w:cs="Arial"/>
          <w:szCs w:val="24"/>
        </w:rPr>
        <w:t xml:space="preserve">A common experience across education, health and social care </w:t>
      </w:r>
      <w:r w:rsidR="00C210FC">
        <w:rPr>
          <w:rFonts w:cs="Arial"/>
          <w:szCs w:val="24"/>
        </w:rPr>
        <w:t>was</w:t>
      </w:r>
      <w:r w:rsidR="00C210FC" w:rsidRPr="00595FE6">
        <w:rPr>
          <w:rFonts w:cs="Arial"/>
          <w:szCs w:val="24"/>
        </w:rPr>
        <w:t xml:space="preserve"> </w:t>
      </w:r>
      <w:r w:rsidR="0015049C" w:rsidRPr="00595FE6">
        <w:rPr>
          <w:rFonts w:cs="Arial"/>
          <w:szCs w:val="24"/>
        </w:rPr>
        <w:t>the challenge of negotiating the system</w:t>
      </w:r>
      <w:r w:rsidR="00022733">
        <w:rPr>
          <w:rFonts w:cs="Arial"/>
          <w:szCs w:val="24"/>
        </w:rPr>
        <w:t xml:space="preserve">, </w:t>
      </w:r>
      <w:r w:rsidR="00CC2C2C">
        <w:rPr>
          <w:rFonts w:cs="Arial"/>
          <w:szCs w:val="24"/>
        </w:rPr>
        <w:t xml:space="preserve">such as </w:t>
      </w:r>
      <w:r w:rsidR="006A2A98">
        <w:rPr>
          <w:rFonts w:cs="Arial"/>
          <w:szCs w:val="24"/>
        </w:rPr>
        <w:t xml:space="preserve">the </w:t>
      </w:r>
      <w:r w:rsidR="00CC2C2C" w:rsidRPr="00595FE6">
        <w:rPr>
          <w:rFonts w:cs="Arial"/>
          <w:szCs w:val="24"/>
        </w:rPr>
        <w:t xml:space="preserve">social care assessment and the </w:t>
      </w:r>
      <w:r w:rsidR="001572D3">
        <w:rPr>
          <w:rFonts w:cs="Arial"/>
          <w:szCs w:val="24"/>
        </w:rPr>
        <w:t>EHC Plan</w:t>
      </w:r>
      <w:r w:rsidR="00CC2C2C" w:rsidRPr="00595FE6">
        <w:rPr>
          <w:rFonts w:cs="Arial"/>
          <w:szCs w:val="24"/>
        </w:rPr>
        <w:t xml:space="preserve"> process</w:t>
      </w:r>
      <w:r w:rsidR="00784A73">
        <w:rPr>
          <w:rFonts w:cs="Arial"/>
          <w:szCs w:val="24"/>
        </w:rPr>
        <w:t xml:space="preserve">, </w:t>
      </w:r>
      <w:r w:rsidR="0015049C" w:rsidRPr="00595FE6">
        <w:rPr>
          <w:rFonts w:cs="Arial"/>
          <w:szCs w:val="24"/>
        </w:rPr>
        <w:t>which is perceived by many to be complex and disjointed</w:t>
      </w:r>
      <w:r w:rsidR="00C74021" w:rsidRPr="00595FE6">
        <w:rPr>
          <w:rFonts w:cs="Arial"/>
          <w:szCs w:val="24"/>
        </w:rPr>
        <w:t>.</w:t>
      </w:r>
      <w:r w:rsidR="004B18F8" w:rsidRPr="00595FE6">
        <w:rPr>
          <w:rFonts w:cs="Arial"/>
          <w:szCs w:val="24"/>
        </w:rPr>
        <w:t xml:space="preserve"> Differences in services, eligibility criteria and pathways across </w:t>
      </w:r>
      <w:r w:rsidR="00022733">
        <w:rPr>
          <w:rFonts w:cs="Arial"/>
          <w:szCs w:val="24"/>
        </w:rPr>
        <w:t>areas</w:t>
      </w:r>
      <w:r w:rsidR="004B18F8" w:rsidRPr="00595FE6">
        <w:rPr>
          <w:rFonts w:cs="Arial"/>
          <w:szCs w:val="24"/>
        </w:rPr>
        <w:t xml:space="preserve"> </w:t>
      </w:r>
      <w:r w:rsidR="00C210FC">
        <w:rPr>
          <w:rFonts w:cs="Arial"/>
          <w:szCs w:val="24"/>
        </w:rPr>
        <w:t>was</w:t>
      </w:r>
      <w:r w:rsidR="00C210FC" w:rsidRPr="00595FE6">
        <w:rPr>
          <w:rFonts w:cs="Arial"/>
          <w:szCs w:val="24"/>
        </w:rPr>
        <w:t xml:space="preserve"> </w:t>
      </w:r>
      <w:r w:rsidR="004B18F8" w:rsidRPr="00595FE6">
        <w:rPr>
          <w:rFonts w:cs="Arial"/>
          <w:szCs w:val="24"/>
        </w:rPr>
        <w:t>felt to create confusion and inequity of access.</w:t>
      </w:r>
      <w:r w:rsidR="00E97E6A" w:rsidRPr="00595FE6">
        <w:rPr>
          <w:rFonts w:cs="Arial"/>
          <w:szCs w:val="24"/>
        </w:rPr>
        <w:t xml:space="preserve"> Many parent carers describe</w:t>
      </w:r>
      <w:r w:rsidR="006E2165">
        <w:rPr>
          <w:rFonts w:cs="Arial"/>
          <w:szCs w:val="24"/>
        </w:rPr>
        <w:t>d</w:t>
      </w:r>
      <w:r w:rsidR="00E97E6A" w:rsidRPr="00595FE6">
        <w:rPr>
          <w:rFonts w:cs="Arial"/>
          <w:szCs w:val="24"/>
        </w:rPr>
        <w:t xml:space="preserve"> the strain of advocating for their child in a complex system</w:t>
      </w:r>
      <w:r w:rsidR="00E92E27" w:rsidRPr="00595FE6">
        <w:rPr>
          <w:rFonts w:cs="Arial"/>
          <w:szCs w:val="24"/>
        </w:rPr>
        <w:t xml:space="preserve"> and the impact on their mental health.</w:t>
      </w:r>
    </w:p>
    <w:p w14:paraId="185FBDD0" w14:textId="19B8D6E6" w:rsidR="00B811F5" w:rsidRPr="00595FE6" w:rsidRDefault="00B811F5" w:rsidP="00D9246A">
      <w:pPr>
        <w:spacing w:line="240" w:lineRule="auto"/>
        <w:rPr>
          <w:rFonts w:cs="Arial"/>
          <w:szCs w:val="24"/>
        </w:rPr>
      </w:pPr>
      <w:r w:rsidRPr="00A05984">
        <w:rPr>
          <w:rFonts w:cs="Arial"/>
          <w:b/>
          <w:color w:val="0079C2"/>
          <w:szCs w:val="24"/>
        </w:rPr>
        <w:t>Lack of understanding &amp; adaptations made by services</w:t>
      </w:r>
      <w:r w:rsidR="00A06895" w:rsidRPr="00A05984">
        <w:rPr>
          <w:rFonts w:cs="Arial"/>
          <w:b/>
          <w:color w:val="0079C2"/>
          <w:szCs w:val="24"/>
        </w:rPr>
        <w:t>:</w:t>
      </w:r>
      <w:r w:rsidR="00411F82" w:rsidRPr="00595FE6">
        <w:rPr>
          <w:rFonts w:cs="Arial"/>
          <w:i/>
          <w:iCs/>
          <w:szCs w:val="24"/>
        </w:rPr>
        <w:t xml:space="preserve"> </w:t>
      </w:r>
      <w:r w:rsidR="00411F82" w:rsidRPr="00595FE6">
        <w:rPr>
          <w:rFonts w:cs="Arial"/>
          <w:szCs w:val="24"/>
        </w:rPr>
        <w:t xml:space="preserve">Most reports </w:t>
      </w:r>
      <w:r w:rsidR="00276E43">
        <w:rPr>
          <w:rFonts w:cs="Arial"/>
          <w:szCs w:val="24"/>
        </w:rPr>
        <w:t>highlighted</w:t>
      </w:r>
      <w:r w:rsidR="00411F82" w:rsidRPr="00595FE6">
        <w:rPr>
          <w:rFonts w:cs="Arial"/>
          <w:szCs w:val="24"/>
        </w:rPr>
        <w:t xml:space="preserve"> a lack of understanding among professionals</w:t>
      </w:r>
      <w:r w:rsidR="00276E43">
        <w:rPr>
          <w:rFonts w:cs="Arial"/>
          <w:szCs w:val="24"/>
        </w:rPr>
        <w:t>, particularly</w:t>
      </w:r>
      <w:r w:rsidR="00DD6E2F" w:rsidRPr="00595FE6">
        <w:rPr>
          <w:rFonts w:cs="Arial"/>
          <w:szCs w:val="24"/>
        </w:rPr>
        <w:t xml:space="preserve"> in relation to autism</w:t>
      </w:r>
      <w:r w:rsidR="00276E43">
        <w:rPr>
          <w:rFonts w:cs="Arial"/>
          <w:szCs w:val="24"/>
        </w:rPr>
        <w:t xml:space="preserve"> (especially</w:t>
      </w:r>
      <w:r w:rsidR="00DD6E2F" w:rsidRPr="00595FE6">
        <w:rPr>
          <w:rFonts w:cs="Arial"/>
          <w:szCs w:val="24"/>
        </w:rPr>
        <w:t xml:space="preserve"> in girls</w:t>
      </w:r>
      <w:r w:rsidR="00276E43">
        <w:rPr>
          <w:rFonts w:cs="Arial"/>
          <w:szCs w:val="24"/>
        </w:rPr>
        <w:t>)</w:t>
      </w:r>
      <w:r w:rsidR="00DD6E2F" w:rsidRPr="00595FE6">
        <w:rPr>
          <w:rFonts w:cs="Arial"/>
          <w:szCs w:val="24"/>
        </w:rPr>
        <w:t xml:space="preserve"> and ADHD</w:t>
      </w:r>
      <w:r w:rsidR="005F0B0D" w:rsidRPr="00595FE6">
        <w:rPr>
          <w:rFonts w:cs="Arial"/>
          <w:szCs w:val="24"/>
        </w:rPr>
        <w:t xml:space="preserve">. </w:t>
      </w:r>
      <w:r w:rsidR="00BC21D2" w:rsidRPr="00595FE6">
        <w:rPr>
          <w:rFonts w:cs="Arial"/>
          <w:szCs w:val="24"/>
        </w:rPr>
        <w:t>H</w:t>
      </w:r>
      <w:r w:rsidR="005F0B0D" w:rsidRPr="00595FE6">
        <w:rPr>
          <w:rFonts w:cs="Arial"/>
          <w:szCs w:val="24"/>
        </w:rPr>
        <w:t xml:space="preserve">ealthcare environments can cause sensory overload and behavioural challenges, making it difficult to attend appointments. </w:t>
      </w:r>
      <w:r w:rsidR="00060558" w:rsidRPr="00595FE6">
        <w:rPr>
          <w:rFonts w:cs="Arial"/>
          <w:szCs w:val="24"/>
        </w:rPr>
        <w:t>E</w:t>
      </w:r>
      <w:r w:rsidR="002418BF" w:rsidRPr="00595FE6">
        <w:rPr>
          <w:rFonts w:cs="Arial"/>
          <w:szCs w:val="24"/>
        </w:rPr>
        <w:t xml:space="preserve">ducation settings </w:t>
      </w:r>
      <w:r w:rsidR="00D13615" w:rsidRPr="00595FE6">
        <w:rPr>
          <w:rFonts w:cs="Arial"/>
          <w:szCs w:val="24"/>
        </w:rPr>
        <w:t xml:space="preserve">can </w:t>
      </w:r>
      <w:r w:rsidR="002418BF" w:rsidRPr="00595FE6">
        <w:rPr>
          <w:rFonts w:cs="Arial"/>
          <w:szCs w:val="24"/>
        </w:rPr>
        <w:t>lack recognition of behaviours, and accommodations for sensory needs or emotional dysregulation.</w:t>
      </w:r>
    </w:p>
    <w:p w14:paraId="2C019D18" w14:textId="7B8E6CFC" w:rsidR="00B811F5" w:rsidRPr="00595FE6" w:rsidRDefault="00B811F5" w:rsidP="00D9246A">
      <w:pPr>
        <w:spacing w:line="240" w:lineRule="auto"/>
        <w:rPr>
          <w:rFonts w:cs="Arial"/>
          <w:szCs w:val="24"/>
          <w:lang w:eastAsia="en-GB"/>
        </w:rPr>
      </w:pPr>
      <w:r w:rsidRPr="00A05984">
        <w:rPr>
          <w:rFonts w:cs="Arial"/>
          <w:b/>
          <w:color w:val="0079C2"/>
          <w:szCs w:val="24"/>
        </w:rPr>
        <w:t>Perception of stigma &amp; blame</w:t>
      </w:r>
      <w:r w:rsidR="000B249E" w:rsidRPr="00A05984">
        <w:rPr>
          <w:rFonts w:cs="Arial"/>
          <w:b/>
          <w:color w:val="0079C2"/>
          <w:szCs w:val="24"/>
        </w:rPr>
        <w:t>:</w:t>
      </w:r>
      <w:r w:rsidR="00564A35" w:rsidRPr="00A05984">
        <w:rPr>
          <w:rFonts w:cs="Arial"/>
          <w:b/>
          <w:color w:val="0079C2"/>
          <w:szCs w:val="24"/>
        </w:rPr>
        <w:t xml:space="preserve"> </w:t>
      </w:r>
      <w:r w:rsidR="00564A35" w:rsidRPr="00595FE6">
        <w:rPr>
          <w:rFonts w:cs="Arial"/>
          <w:szCs w:val="24"/>
          <w:lang w:eastAsia="en-GB"/>
        </w:rPr>
        <w:t>Some parent carers report</w:t>
      </w:r>
      <w:r w:rsidR="007F2004">
        <w:rPr>
          <w:rFonts w:cs="Arial"/>
          <w:szCs w:val="24"/>
          <w:lang w:eastAsia="en-GB"/>
        </w:rPr>
        <w:t>ed</w:t>
      </w:r>
      <w:r w:rsidR="00564A35" w:rsidRPr="00595FE6">
        <w:rPr>
          <w:rFonts w:cs="Arial"/>
          <w:szCs w:val="24"/>
          <w:lang w:eastAsia="en-GB"/>
        </w:rPr>
        <w:t xml:space="preserve"> that a feeling or fear of being judged for their parenting skills prevent</w:t>
      </w:r>
      <w:r w:rsidR="00D65301">
        <w:rPr>
          <w:rFonts w:cs="Arial"/>
          <w:szCs w:val="24"/>
          <w:lang w:eastAsia="en-GB"/>
        </w:rPr>
        <w:t>ed</w:t>
      </w:r>
      <w:r w:rsidR="00564A35" w:rsidRPr="00595FE6">
        <w:rPr>
          <w:rFonts w:cs="Arial"/>
          <w:szCs w:val="24"/>
          <w:lang w:eastAsia="en-GB"/>
        </w:rPr>
        <w:t xml:space="preserve"> them from accessing support.</w:t>
      </w:r>
      <w:r w:rsidR="007C331F" w:rsidRPr="00595FE6">
        <w:rPr>
          <w:rFonts w:cs="Arial"/>
          <w:szCs w:val="24"/>
          <w:lang w:eastAsia="en-GB"/>
        </w:rPr>
        <w:t xml:space="preserve"> </w:t>
      </w:r>
      <w:r w:rsidR="00276E43">
        <w:rPr>
          <w:rFonts w:cs="Arial"/>
          <w:szCs w:val="24"/>
          <w:lang w:eastAsia="en-GB"/>
        </w:rPr>
        <w:t>They</w:t>
      </w:r>
      <w:r w:rsidR="007C331F" w:rsidRPr="00595FE6">
        <w:rPr>
          <w:rFonts w:cs="Arial"/>
          <w:szCs w:val="24"/>
          <w:lang w:eastAsia="en-GB"/>
        </w:rPr>
        <w:t xml:space="preserve"> </w:t>
      </w:r>
      <w:r w:rsidR="007C331F" w:rsidRPr="00595FE6">
        <w:rPr>
          <w:rFonts w:cs="Arial"/>
          <w:szCs w:val="24"/>
          <w:lang w:eastAsia="en-GB"/>
        </w:rPr>
        <w:lastRenderedPageBreak/>
        <w:t>also reported feeling a sense of shame and failure connected to their child’s poor attendance at school, and a fear of being fined for this.</w:t>
      </w:r>
    </w:p>
    <w:p w14:paraId="257B19C1" w14:textId="42FE505B" w:rsidR="00CE7A84" w:rsidRPr="00595FE6" w:rsidRDefault="00B811F5" w:rsidP="00D9246A">
      <w:pPr>
        <w:spacing w:line="240" w:lineRule="auto"/>
        <w:rPr>
          <w:rFonts w:cs="Arial"/>
          <w:szCs w:val="24"/>
          <w:lang w:eastAsia="en-GB"/>
        </w:rPr>
      </w:pPr>
      <w:r w:rsidRPr="00A05984">
        <w:rPr>
          <w:rFonts w:cs="Arial"/>
          <w:b/>
          <w:color w:val="0079C2"/>
          <w:szCs w:val="24"/>
        </w:rPr>
        <w:t>Impact on health &amp; wellbeing of wider family</w:t>
      </w:r>
      <w:r w:rsidR="000B249E" w:rsidRPr="00A05984">
        <w:rPr>
          <w:rFonts w:cs="Arial"/>
          <w:b/>
          <w:color w:val="0079C2"/>
          <w:szCs w:val="24"/>
        </w:rPr>
        <w:t>:</w:t>
      </w:r>
      <w:r w:rsidR="003621CA" w:rsidRPr="00595FE6">
        <w:rPr>
          <w:rFonts w:cs="Arial"/>
          <w:i/>
          <w:iCs/>
          <w:szCs w:val="24"/>
        </w:rPr>
        <w:t xml:space="preserve"> </w:t>
      </w:r>
      <w:r w:rsidR="003621CA" w:rsidRPr="00595FE6">
        <w:rPr>
          <w:rFonts w:cs="Arial"/>
          <w:szCs w:val="24"/>
          <w:lang w:eastAsia="en-GB"/>
        </w:rPr>
        <w:t>Most reports talk</w:t>
      </w:r>
      <w:r w:rsidR="005359A3">
        <w:rPr>
          <w:rFonts w:cs="Arial"/>
          <w:szCs w:val="24"/>
          <w:lang w:eastAsia="en-GB"/>
        </w:rPr>
        <w:t>ed</w:t>
      </w:r>
      <w:r w:rsidR="003621CA" w:rsidRPr="00595FE6">
        <w:rPr>
          <w:rFonts w:cs="Arial"/>
          <w:szCs w:val="24"/>
          <w:lang w:eastAsia="en-GB"/>
        </w:rPr>
        <w:t xml:space="preserve"> about the strain on the whole family of caring responsibilities in the context of limitations in support.</w:t>
      </w:r>
      <w:r w:rsidR="00CE7A84" w:rsidRPr="00595FE6">
        <w:rPr>
          <w:rFonts w:cs="Arial"/>
          <w:szCs w:val="24"/>
          <w:lang w:eastAsia="en-GB"/>
        </w:rPr>
        <w:t xml:space="preserve"> Caring responsibilities create a challenge for some parents to remain in paid employment. This, compounded by the cost</w:t>
      </w:r>
      <w:r w:rsidR="00276E43" w:rsidRPr="00595FE6">
        <w:rPr>
          <w:rFonts w:cs="Arial"/>
          <w:szCs w:val="24"/>
          <w:lang w:eastAsia="en-GB"/>
        </w:rPr>
        <w:t>-</w:t>
      </w:r>
      <w:r w:rsidR="00CE7A84" w:rsidRPr="00595FE6">
        <w:rPr>
          <w:rFonts w:cs="Arial"/>
          <w:szCs w:val="24"/>
          <w:lang w:eastAsia="en-GB"/>
        </w:rPr>
        <w:t>of</w:t>
      </w:r>
      <w:r w:rsidR="00276E43" w:rsidRPr="00595FE6">
        <w:rPr>
          <w:rFonts w:cs="Arial"/>
          <w:szCs w:val="24"/>
          <w:lang w:eastAsia="en-GB"/>
        </w:rPr>
        <w:t>-</w:t>
      </w:r>
      <w:r w:rsidR="00CE7A84" w:rsidRPr="00595FE6">
        <w:rPr>
          <w:rFonts w:cs="Arial"/>
          <w:szCs w:val="24"/>
          <w:lang w:eastAsia="en-GB"/>
        </w:rPr>
        <w:t xml:space="preserve">living crisis, </w:t>
      </w:r>
      <w:r w:rsidR="00383947">
        <w:rPr>
          <w:rFonts w:cs="Arial"/>
          <w:szCs w:val="24"/>
          <w:lang w:eastAsia="en-GB"/>
        </w:rPr>
        <w:t>was</w:t>
      </w:r>
      <w:r w:rsidR="00383947" w:rsidRPr="00595FE6">
        <w:rPr>
          <w:rFonts w:cs="Arial"/>
          <w:szCs w:val="24"/>
          <w:lang w:eastAsia="en-GB"/>
        </w:rPr>
        <w:t xml:space="preserve"> </w:t>
      </w:r>
      <w:r w:rsidR="00CE7A84" w:rsidRPr="00595FE6">
        <w:rPr>
          <w:rFonts w:cs="Arial"/>
          <w:szCs w:val="24"/>
          <w:lang w:eastAsia="en-GB"/>
        </w:rPr>
        <w:t xml:space="preserve">causing financial hardship. </w:t>
      </w:r>
    </w:p>
    <w:p w14:paraId="327044E3" w14:textId="5658C34A" w:rsidR="00B3051C" w:rsidRPr="00595FE6" w:rsidRDefault="00B3051C" w:rsidP="00D9246A">
      <w:pPr>
        <w:pStyle w:val="Heading2"/>
        <w:spacing w:before="0" w:after="120"/>
      </w:pPr>
      <w:r w:rsidRPr="00595FE6">
        <w:t>What can be improved</w:t>
      </w:r>
    </w:p>
    <w:p w14:paraId="769CB4AA" w14:textId="72487F6C" w:rsidR="00435A36" w:rsidRPr="00595FE6" w:rsidRDefault="00435A36" w:rsidP="00D9246A">
      <w:pPr>
        <w:spacing w:line="240" w:lineRule="auto"/>
        <w:rPr>
          <w:rFonts w:cs="Arial"/>
          <w:szCs w:val="24"/>
        </w:rPr>
      </w:pPr>
      <w:r w:rsidRPr="00A05984">
        <w:rPr>
          <w:rFonts w:cs="Arial"/>
          <w:b/>
          <w:color w:val="0079C2"/>
          <w:szCs w:val="24"/>
        </w:rPr>
        <w:t>Earlier identification &amp; shorter wait for support</w:t>
      </w:r>
      <w:r w:rsidR="00A06895" w:rsidRPr="00A05984">
        <w:rPr>
          <w:rFonts w:cs="Arial"/>
          <w:b/>
          <w:color w:val="0079C2"/>
          <w:szCs w:val="24"/>
        </w:rPr>
        <w:t>:</w:t>
      </w:r>
      <w:r w:rsidR="00670209" w:rsidRPr="00595FE6">
        <w:rPr>
          <w:rFonts w:cs="Arial"/>
          <w:i/>
          <w:iCs/>
          <w:szCs w:val="24"/>
        </w:rPr>
        <w:t xml:space="preserve"> </w:t>
      </w:r>
      <w:r w:rsidR="00670209" w:rsidRPr="00595FE6">
        <w:rPr>
          <w:rFonts w:cs="Arial"/>
          <w:szCs w:val="24"/>
        </w:rPr>
        <w:t>Parent carers talk</w:t>
      </w:r>
      <w:r w:rsidR="00FD70EC">
        <w:rPr>
          <w:rFonts w:cs="Arial"/>
          <w:szCs w:val="24"/>
        </w:rPr>
        <w:t>ed</w:t>
      </w:r>
      <w:r w:rsidR="00670209" w:rsidRPr="00595FE6">
        <w:rPr>
          <w:rFonts w:cs="Arial"/>
          <w:szCs w:val="24"/>
        </w:rPr>
        <w:t xml:space="preserve"> about a need </w:t>
      </w:r>
      <w:r w:rsidR="00F018DD" w:rsidRPr="00595FE6">
        <w:rPr>
          <w:rFonts w:cs="Arial"/>
          <w:szCs w:val="24"/>
        </w:rPr>
        <w:t>for early</w:t>
      </w:r>
      <w:r w:rsidR="00670209" w:rsidRPr="00595FE6">
        <w:rPr>
          <w:rFonts w:cs="Arial"/>
          <w:szCs w:val="24"/>
        </w:rPr>
        <w:t xml:space="preserve"> </w:t>
      </w:r>
      <w:r w:rsidR="00F018DD" w:rsidRPr="00595FE6">
        <w:rPr>
          <w:rFonts w:cs="Arial"/>
          <w:szCs w:val="24"/>
        </w:rPr>
        <w:t>identification</w:t>
      </w:r>
      <w:r w:rsidR="00772C63" w:rsidRPr="00595FE6">
        <w:rPr>
          <w:rFonts w:cs="Arial"/>
          <w:szCs w:val="24"/>
        </w:rPr>
        <w:t xml:space="preserve"> and intervention</w:t>
      </w:r>
      <w:r w:rsidR="007E66E4" w:rsidRPr="00595FE6">
        <w:rPr>
          <w:rFonts w:cs="Arial"/>
          <w:szCs w:val="24"/>
        </w:rPr>
        <w:t>,</w:t>
      </w:r>
      <w:r w:rsidR="009E7D2B" w:rsidRPr="00595FE6">
        <w:rPr>
          <w:rFonts w:cs="Arial"/>
          <w:szCs w:val="24"/>
        </w:rPr>
        <w:t xml:space="preserve"> </w:t>
      </w:r>
      <w:r w:rsidR="00DE0249" w:rsidRPr="00595FE6">
        <w:rPr>
          <w:rFonts w:cs="Arial"/>
          <w:szCs w:val="24"/>
        </w:rPr>
        <w:t>suggesting</w:t>
      </w:r>
      <w:r w:rsidR="009E7D2B" w:rsidRPr="00595FE6">
        <w:rPr>
          <w:rFonts w:cs="Arial"/>
          <w:szCs w:val="24"/>
        </w:rPr>
        <w:t xml:space="preserve"> </w:t>
      </w:r>
      <w:r w:rsidR="00670209" w:rsidRPr="00595FE6">
        <w:rPr>
          <w:rFonts w:cs="Arial"/>
          <w:szCs w:val="24"/>
        </w:rPr>
        <w:t>training professionals in recognition of neurodivergence</w:t>
      </w:r>
      <w:r w:rsidR="000D0FA7" w:rsidRPr="00595FE6">
        <w:rPr>
          <w:rFonts w:cs="Arial"/>
          <w:szCs w:val="24"/>
        </w:rPr>
        <w:t xml:space="preserve">. </w:t>
      </w:r>
      <w:r w:rsidR="00D20793" w:rsidRPr="00595FE6">
        <w:rPr>
          <w:rFonts w:cs="Arial"/>
          <w:szCs w:val="24"/>
        </w:rPr>
        <w:t xml:space="preserve">Support </w:t>
      </w:r>
      <w:r w:rsidR="00670209" w:rsidRPr="00595FE6">
        <w:rPr>
          <w:rFonts w:cs="Arial"/>
          <w:szCs w:val="24"/>
        </w:rPr>
        <w:t>offered</w:t>
      </w:r>
      <w:r w:rsidR="00046BD2" w:rsidRPr="00595FE6">
        <w:rPr>
          <w:rFonts w:cs="Arial"/>
          <w:szCs w:val="24"/>
        </w:rPr>
        <w:t xml:space="preserve"> </w:t>
      </w:r>
      <w:r w:rsidR="007D01CF" w:rsidRPr="00595FE6">
        <w:rPr>
          <w:rFonts w:cs="Arial"/>
          <w:szCs w:val="24"/>
        </w:rPr>
        <w:t xml:space="preserve">straight away </w:t>
      </w:r>
      <w:r w:rsidR="00D20793" w:rsidRPr="00595FE6">
        <w:rPr>
          <w:rFonts w:cs="Arial"/>
          <w:szCs w:val="24"/>
        </w:rPr>
        <w:t>would</w:t>
      </w:r>
      <w:r w:rsidR="00046BD2" w:rsidRPr="00595FE6">
        <w:rPr>
          <w:rFonts w:cs="Arial"/>
          <w:szCs w:val="24"/>
        </w:rPr>
        <w:t xml:space="preserve"> avoid </w:t>
      </w:r>
      <w:r w:rsidR="007D01CF" w:rsidRPr="00595FE6">
        <w:rPr>
          <w:rFonts w:cs="Arial"/>
          <w:szCs w:val="24"/>
        </w:rPr>
        <w:t xml:space="preserve">families </w:t>
      </w:r>
      <w:r w:rsidR="00046BD2" w:rsidRPr="00595FE6">
        <w:rPr>
          <w:rFonts w:cs="Arial"/>
          <w:szCs w:val="24"/>
        </w:rPr>
        <w:t>reaching crisis point and smooth transitions between different schools, services, and into adulthood.</w:t>
      </w:r>
    </w:p>
    <w:p w14:paraId="74CBE7C6" w14:textId="2836F93D" w:rsidR="00435A36" w:rsidRPr="00595FE6" w:rsidRDefault="00435A36" w:rsidP="00D9246A">
      <w:pPr>
        <w:spacing w:line="240" w:lineRule="auto"/>
        <w:rPr>
          <w:rFonts w:cs="Arial"/>
          <w:szCs w:val="24"/>
          <w:lang w:eastAsia="en-GB"/>
        </w:rPr>
      </w:pPr>
      <w:r w:rsidRPr="00A05984">
        <w:rPr>
          <w:rFonts w:cs="Arial"/>
          <w:b/>
          <w:color w:val="0079C2"/>
          <w:szCs w:val="24"/>
        </w:rPr>
        <w:t xml:space="preserve">Interim support while on </w:t>
      </w:r>
      <w:r w:rsidR="00923AE4" w:rsidRPr="00A05984">
        <w:rPr>
          <w:rFonts w:cs="Arial"/>
          <w:b/>
          <w:color w:val="0079C2"/>
          <w:szCs w:val="24"/>
        </w:rPr>
        <w:t xml:space="preserve">neurodevelopmental </w:t>
      </w:r>
      <w:r w:rsidRPr="00A05984">
        <w:rPr>
          <w:rFonts w:cs="Arial"/>
          <w:b/>
          <w:color w:val="0079C2"/>
          <w:szCs w:val="24"/>
        </w:rPr>
        <w:t>waiting list</w:t>
      </w:r>
      <w:r w:rsidR="006149D7" w:rsidRPr="00A05984">
        <w:rPr>
          <w:rFonts w:cs="Arial"/>
          <w:b/>
          <w:color w:val="0079C2"/>
          <w:szCs w:val="24"/>
        </w:rPr>
        <w:t>:</w:t>
      </w:r>
      <w:r w:rsidR="00C10ADC" w:rsidRPr="00A05984">
        <w:rPr>
          <w:rFonts w:cs="Arial"/>
          <w:b/>
          <w:color w:val="0079C2"/>
          <w:szCs w:val="24"/>
        </w:rPr>
        <w:t xml:space="preserve"> </w:t>
      </w:r>
      <w:r w:rsidR="00624153" w:rsidRPr="00595FE6">
        <w:rPr>
          <w:rFonts w:cs="Arial"/>
          <w:i/>
          <w:iCs/>
          <w:szCs w:val="24"/>
        </w:rPr>
        <w:t>S</w:t>
      </w:r>
      <w:r w:rsidR="00C10ADC" w:rsidRPr="00595FE6">
        <w:rPr>
          <w:rFonts w:cs="Arial"/>
          <w:szCs w:val="24"/>
          <w:lang w:eastAsia="en-GB"/>
        </w:rPr>
        <w:t xml:space="preserve">upport </w:t>
      </w:r>
      <w:r w:rsidR="00953E58" w:rsidRPr="00595FE6">
        <w:rPr>
          <w:rFonts w:cs="Arial"/>
          <w:szCs w:val="24"/>
          <w:lang w:eastAsia="en-GB"/>
        </w:rPr>
        <w:t xml:space="preserve">needs </w:t>
      </w:r>
      <w:r w:rsidR="00C10ADC" w:rsidRPr="00595FE6">
        <w:rPr>
          <w:rFonts w:cs="Arial"/>
          <w:szCs w:val="24"/>
          <w:lang w:eastAsia="en-GB"/>
        </w:rPr>
        <w:t xml:space="preserve">for families who are </w:t>
      </w:r>
      <w:r w:rsidR="00B30FA0" w:rsidRPr="00595FE6">
        <w:rPr>
          <w:rFonts w:cs="Arial"/>
          <w:szCs w:val="24"/>
          <w:lang w:eastAsia="en-GB"/>
        </w:rPr>
        <w:t xml:space="preserve">on the </w:t>
      </w:r>
      <w:r w:rsidR="00C10ADC" w:rsidRPr="00595FE6">
        <w:rPr>
          <w:rFonts w:cs="Arial"/>
          <w:szCs w:val="24"/>
          <w:lang w:eastAsia="en-GB"/>
        </w:rPr>
        <w:t xml:space="preserve">pathway </w:t>
      </w:r>
      <w:r w:rsidR="006B5E1F" w:rsidRPr="00595FE6">
        <w:rPr>
          <w:rFonts w:cs="Arial"/>
          <w:szCs w:val="24"/>
          <w:lang w:eastAsia="en-GB"/>
        </w:rPr>
        <w:t>(without a diagnosis)</w:t>
      </w:r>
      <w:r w:rsidR="006B5E1F">
        <w:rPr>
          <w:rFonts w:cs="Arial"/>
          <w:szCs w:val="24"/>
          <w:lang w:eastAsia="en-GB"/>
        </w:rPr>
        <w:t xml:space="preserve"> </w:t>
      </w:r>
      <w:r w:rsidR="00C10ADC" w:rsidRPr="00595FE6">
        <w:rPr>
          <w:rFonts w:cs="Arial"/>
          <w:szCs w:val="24"/>
          <w:lang w:eastAsia="en-GB"/>
        </w:rPr>
        <w:t>came up in many reports</w:t>
      </w:r>
      <w:r w:rsidR="006B5E1F">
        <w:rPr>
          <w:rFonts w:cs="Arial"/>
          <w:szCs w:val="24"/>
          <w:lang w:eastAsia="en-GB"/>
        </w:rPr>
        <w:t>.</w:t>
      </w:r>
      <w:r w:rsidR="005D1BD9" w:rsidRPr="00595FE6">
        <w:rPr>
          <w:rFonts w:cs="Arial"/>
          <w:szCs w:val="24"/>
          <w:lang w:eastAsia="en-GB"/>
        </w:rPr>
        <w:t xml:space="preserve"> </w:t>
      </w:r>
      <w:r w:rsidR="00624153" w:rsidRPr="00595FE6">
        <w:rPr>
          <w:rFonts w:cs="Arial"/>
          <w:szCs w:val="24"/>
          <w:lang w:eastAsia="en-GB"/>
        </w:rPr>
        <w:t>Many parent carers fe</w:t>
      </w:r>
      <w:r w:rsidR="00B30399">
        <w:rPr>
          <w:rFonts w:cs="Arial"/>
          <w:szCs w:val="24"/>
          <w:lang w:eastAsia="en-GB"/>
        </w:rPr>
        <w:t>lt</w:t>
      </w:r>
      <w:r w:rsidR="00624153" w:rsidRPr="00595FE6">
        <w:rPr>
          <w:rFonts w:cs="Arial"/>
          <w:szCs w:val="24"/>
          <w:lang w:eastAsia="en-GB"/>
        </w:rPr>
        <w:t xml:space="preserve"> there</w:t>
      </w:r>
      <w:r w:rsidR="00624153" w:rsidRPr="00595FE6" w:rsidDel="00644FA3">
        <w:rPr>
          <w:rFonts w:cs="Arial"/>
          <w:szCs w:val="24"/>
          <w:lang w:eastAsia="en-GB"/>
        </w:rPr>
        <w:t xml:space="preserve"> </w:t>
      </w:r>
      <w:r w:rsidR="00644FA3">
        <w:rPr>
          <w:rFonts w:cs="Arial"/>
          <w:szCs w:val="24"/>
          <w:lang w:eastAsia="en-GB"/>
        </w:rPr>
        <w:t>was</w:t>
      </w:r>
      <w:r w:rsidR="00644FA3" w:rsidRPr="00595FE6">
        <w:rPr>
          <w:rFonts w:cs="Arial"/>
          <w:szCs w:val="24"/>
          <w:lang w:eastAsia="en-GB"/>
        </w:rPr>
        <w:t xml:space="preserve"> </w:t>
      </w:r>
      <w:r w:rsidR="00624153" w:rsidRPr="00595FE6">
        <w:rPr>
          <w:rFonts w:cs="Arial"/>
          <w:szCs w:val="24"/>
          <w:lang w:eastAsia="en-GB"/>
        </w:rPr>
        <w:t>a lack of transparency about the process and would like clear information</w:t>
      </w:r>
      <w:r w:rsidR="00412538">
        <w:rPr>
          <w:rFonts w:cs="Arial"/>
          <w:szCs w:val="24"/>
          <w:lang w:eastAsia="en-GB"/>
        </w:rPr>
        <w:t>, including</w:t>
      </w:r>
      <w:r w:rsidR="00DA6A6D">
        <w:rPr>
          <w:rFonts w:cs="Arial"/>
          <w:szCs w:val="24"/>
          <w:lang w:eastAsia="en-GB"/>
        </w:rPr>
        <w:t xml:space="preserve"> information </w:t>
      </w:r>
      <w:r w:rsidR="00412538">
        <w:rPr>
          <w:rFonts w:cs="Arial"/>
          <w:szCs w:val="24"/>
          <w:lang w:eastAsia="en-GB"/>
        </w:rPr>
        <w:t>on</w:t>
      </w:r>
      <w:r w:rsidR="00E43ED8">
        <w:rPr>
          <w:rFonts w:cs="Arial"/>
          <w:szCs w:val="24"/>
          <w:lang w:eastAsia="en-GB"/>
        </w:rPr>
        <w:t xml:space="preserve"> t</w:t>
      </w:r>
      <w:r w:rsidR="00077B3C" w:rsidRPr="00595FE6">
        <w:rPr>
          <w:rFonts w:cs="Arial"/>
          <w:szCs w:val="24"/>
          <w:lang w:eastAsia="en-GB"/>
        </w:rPr>
        <w:t>raining and support on managing their child’s needs whilst awaiting diagnosis</w:t>
      </w:r>
      <w:r w:rsidR="0087774F">
        <w:rPr>
          <w:rFonts w:cs="Arial"/>
          <w:szCs w:val="24"/>
          <w:lang w:eastAsia="en-GB"/>
        </w:rPr>
        <w:t>,</w:t>
      </w:r>
      <w:r w:rsidR="00077B3C" w:rsidRPr="00595FE6">
        <w:rPr>
          <w:rFonts w:cs="Arial"/>
          <w:szCs w:val="24"/>
          <w:lang w:eastAsia="en-GB"/>
        </w:rPr>
        <w:t xml:space="preserve"> </w:t>
      </w:r>
      <w:r w:rsidR="00D77675">
        <w:rPr>
          <w:rFonts w:cs="Arial"/>
          <w:szCs w:val="24"/>
          <w:lang w:eastAsia="en-GB"/>
        </w:rPr>
        <w:t>support with</w:t>
      </w:r>
      <w:r w:rsidR="00E14441" w:rsidRPr="00595FE6">
        <w:rPr>
          <w:rFonts w:cs="Arial"/>
          <w:szCs w:val="24"/>
          <w:lang w:eastAsia="en-GB"/>
        </w:rPr>
        <w:t xml:space="preserve"> education</w:t>
      </w:r>
      <w:r w:rsidR="00592C61" w:rsidRPr="00595FE6">
        <w:rPr>
          <w:rFonts w:cs="Arial"/>
          <w:szCs w:val="24"/>
          <w:lang w:eastAsia="en-GB"/>
        </w:rPr>
        <w:t xml:space="preserve"> and sign posting</w:t>
      </w:r>
      <w:r w:rsidR="00D507EE" w:rsidRPr="00595FE6">
        <w:rPr>
          <w:rFonts w:cs="Arial"/>
          <w:szCs w:val="24"/>
          <w:lang w:eastAsia="en-GB"/>
        </w:rPr>
        <w:t>;</w:t>
      </w:r>
      <w:r w:rsidR="00F1230B" w:rsidRPr="00595FE6">
        <w:rPr>
          <w:rFonts w:cs="Arial"/>
          <w:szCs w:val="24"/>
          <w:lang w:eastAsia="en-GB"/>
        </w:rPr>
        <w:t xml:space="preserve"> </w:t>
      </w:r>
      <w:r w:rsidR="00E14441" w:rsidRPr="00595FE6">
        <w:rPr>
          <w:rFonts w:cs="Arial"/>
          <w:szCs w:val="24"/>
          <w:lang w:eastAsia="en-GB"/>
        </w:rPr>
        <w:t xml:space="preserve">making </w:t>
      </w:r>
      <w:r w:rsidR="00F1230B" w:rsidRPr="00595FE6">
        <w:rPr>
          <w:rFonts w:cs="Arial"/>
          <w:szCs w:val="24"/>
          <w:lang w:eastAsia="en-GB"/>
        </w:rPr>
        <w:t xml:space="preserve">home </w:t>
      </w:r>
      <w:r w:rsidR="00E14441" w:rsidRPr="00595FE6">
        <w:rPr>
          <w:rFonts w:cs="Arial"/>
          <w:szCs w:val="24"/>
          <w:lang w:eastAsia="en-GB"/>
        </w:rPr>
        <w:t>adaptations; family support work; mental health support</w:t>
      </w:r>
      <w:r w:rsidR="00133844" w:rsidRPr="00595FE6">
        <w:rPr>
          <w:rFonts w:cs="Arial"/>
          <w:szCs w:val="24"/>
          <w:lang w:eastAsia="en-GB"/>
        </w:rPr>
        <w:t>;</w:t>
      </w:r>
      <w:r w:rsidR="00EC001A" w:rsidRPr="00595FE6">
        <w:rPr>
          <w:rFonts w:cs="Arial"/>
          <w:szCs w:val="24"/>
          <w:lang w:eastAsia="en-GB"/>
        </w:rPr>
        <w:t xml:space="preserve"> </w:t>
      </w:r>
      <w:r w:rsidR="00E14441" w:rsidRPr="00595FE6">
        <w:rPr>
          <w:rFonts w:cs="Arial"/>
          <w:szCs w:val="24"/>
          <w:lang w:eastAsia="en-GB"/>
        </w:rPr>
        <w:t>managing challenging or dangerous behaviour; supporting children to remain in school.</w:t>
      </w:r>
    </w:p>
    <w:p w14:paraId="2A2D26DD" w14:textId="7890919F" w:rsidR="00BB1B4F" w:rsidRDefault="00435A36" w:rsidP="00D9246A">
      <w:pPr>
        <w:spacing w:line="240" w:lineRule="auto"/>
        <w:rPr>
          <w:rFonts w:cs="Arial"/>
          <w:szCs w:val="24"/>
          <w:lang w:eastAsia="en-GB"/>
        </w:rPr>
      </w:pPr>
      <w:r w:rsidRPr="00A05984">
        <w:rPr>
          <w:rFonts w:cs="Arial"/>
          <w:b/>
          <w:color w:val="0079C2"/>
          <w:szCs w:val="24"/>
        </w:rPr>
        <w:t>Mental health services</w:t>
      </w:r>
      <w:r w:rsidR="006149D7" w:rsidRPr="00A05984">
        <w:rPr>
          <w:rFonts w:cs="Arial"/>
          <w:b/>
          <w:color w:val="0079C2"/>
          <w:szCs w:val="24"/>
        </w:rPr>
        <w:t>:</w:t>
      </w:r>
      <w:r w:rsidR="00555FAE" w:rsidRPr="00595FE6">
        <w:rPr>
          <w:rFonts w:cs="Arial"/>
          <w:i/>
          <w:iCs/>
          <w:szCs w:val="24"/>
        </w:rPr>
        <w:t xml:space="preserve"> </w:t>
      </w:r>
      <w:r w:rsidR="00EB2429">
        <w:rPr>
          <w:rFonts w:cs="Arial"/>
          <w:szCs w:val="24"/>
          <w:lang w:eastAsia="en-GB"/>
        </w:rPr>
        <w:t>T</w:t>
      </w:r>
      <w:r w:rsidR="00555FAE" w:rsidRPr="00595FE6">
        <w:rPr>
          <w:rFonts w:cs="Arial"/>
          <w:szCs w:val="24"/>
          <w:lang w:eastAsia="en-GB"/>
        </w:rPr>
        <w:t xml:space="preserve">here </w:t>
      </w:r>
      <w:r w:rsidR="00F4298C">
        <w:rPr>
          <w:rFonts w:cs="Arial"/>
          <w:szCs w:val="24"/>
          <w:lang w:eastAsia="en-GB"/>
        </w:rPr>
        <w:t>was</w:t>
      </w:r>
      <w:r w:rsidR="00F4298C" w:rsidRPr="00595FE6">
        <w:rPr>
          <w:rFonts w:cs="Arial"/>
          <w:szCs w:val="24"/>
          <w:lang w:eastAsia="en-GB"/>
        </w:rPr>
        <w:t xml:space="preserve"> </w:t>
      </w:r>
      <w:r w:rsidR="00555FAE" w:rsidRPr="00595FE6">
        <w:rPr>
          <w:rFonts w:cs="Arial"/>
          <w:szCs w:val="24"/>
          <w:lang w:eastAsia="en-GB"/>
        </w:rPr>
        <w:t xml:space="preserve">mixed experience accessing mental health </w:t>
      </w:r>
      <w:r w:rsidR="00396E99">
        <w:rPr>
          <w:rFonts w:cs="Arial"/>
          <w:szCs w:val="24"/>
          <w:lang w:eastAsia="en-GB"/>
        </w:rPr>
        <w:t>services</w:t>
      </w:r>
      <w:r w:rsidR="00555FAE" w:rsidRPr="00595FE6">
        <w:rPr>
          <w:rFonts w:cs="Arial"/>
          <w:szCs w:val="24"/>
          <w:lang w:eastAsia="en-GB"/>
        </w:rPr>
        <w:t>. Some parent carers report</w:t>
      </w:r>
      <w:r w:rsidR="00893004">
        <w:rPr>
          <w:rFonts w:cs="Arial"/>
          <w:szCs w:val="24"/>
          <w:lang w:eastAsia="en-GB"/>
        </w:rPr>
        <w:t>ed</w:t>
      </w:r>
      <w:r w:rsidR="00555FAE" w:rsidRPr="00595FE6">
        <w:rPr>
          <w:rFonts w:cs="Arial"/>
          <w:szCs w:val="24"/>
          <w:lang w:eastAsia="en-GB"/>
        </w:rPr>
        <w:t xml:space="preserve"> good experiences when they can access services</w:t>
      </w:r>
      <w:r w:rsidR="00EB2429">
        <w:rPr>
          <w:rFonts w:cs="Arial"/>
          <w:szCs w:val="24"/>
          <w:lang w:eastAsia="en-GB"/>
        </w:rPr>
        <w:t xml:space="preserve">, </w:t>
      </w:r>
      <w:r w:rsidR="00396E99">
        <w:rPr>
          <w:rFonts w:cs="Arial"/>
          <w:szCs w:val="24"/>
          <w:lang w:eastAsia="en-GB"/>
        </w:rPr>
        <w:t>for</w:t>
      </w:r>
      <w:r w:rsidR="00EB2429">
        <w:rPr>
          <w:rFonts w:cs="Arial"/>
          <w:szCs w:val="24"/>
          <w:lang w:eastAsia="en-GB"/>
        </w:rPr>
        <w:t xml:space="preserve"> some there were</w:t>
      </w:r>
      <w:r w:rsidR="00052A38" w:rsidRPr="00595FE6">
        <w:rPr>
          <w:rFonts w:cs="Arial"/>
          <w:szCs w:val="24"/>
          <w:lang w:eastAsia="en-GB"/>
        </w:rPr>
        <w:t xml:space="preserve"> difficulties accessing mental health review and </w:t>
      </w:r>
      <w:r w:rsidR="00573468" w:rsidRPr="00595FE6">
        <w:rPr>
          <w:rFonts w:cs="Arial"/>
          <w:szCs w:val="24"/>
          <w:lang w:eastAsia="en-GB"/>
        </w:rPr>
        <w:t>service</w:t>
      </w:r>
      <w:r w:rsidR="006E62DB" w:rsidRPr="00595FE6">
        <w:rPr>
          <w:rFonts w:cs="Arial"/>
          <w:szCs w:val="24"/>
          <w:lang w:eastAsia="en-GB"/>
        </w:rPr>
        <w:t>s</w:t>
      </w:r>
      <w:r w:rsidR="00573468" w:rsidRPr="00595FE6">
        <w:rPr>
          <w:rFonts w:cs="Arial"/>
          <w:szCs w:val="24"/>
          <w:lang w:eastAsia="en-GB"/>
        </w:rPr>
        <w:t xml:space="preserve"> ha</w:t>
      </w:r>
      <w:r w:rsidR="006E62DB" w:rsidRPr="00595FE6">
        <w:rPr>
          <w:rFonts w:cs="Arial"/>
          <w:szCs w:val="24"/>
          <w:lang w:eastAsia="en-GB"/>
        </w:rPr>
        <w:t>v</w:t>
      </w:r>
      <w:r w:rsidR="002446F9">
        <w:rPr>
          <w:rFonts w:cs="Arial"/>
          <w:szCs w:val="24"/>
          <w:lang w:eastAsia="en-GB"/>
        </w:rPr>
        <w:t>ing</w:t>
      </w:r>
      <w:r w:rsidR="00573468" w:rsidRPr="00595FE6">
        <w:rPr>
          <w:rFonts w:cs="Arial"/>
          <w:szCs w:val="24"/>
          <w:lang w:eastAsia="en-GB"/>
        </w:rPr>
        <w:t xml:space="preserve"> </w:t>
      </w:r>
      <w:r w:rsidR="00052A38" w:rsidRPr="00595FE6">
        <w:rPr>
          <w:rFonts w:cs="Arial"/>
          <w:szCs w:val="24"/>
          <w:lang w:eastAsia="en-GB"/>
        </w:rPr>
        <w:t>high thresholds and limited number of sessions.</w:t>
      </w:r>
      <w:r w:rsidR="00573468" w:rsidRPr="00595FE6">
        <w:rPr>
          <w:rFonts w:cs="Arial"/>
          <w:szCs w:val="24"/>
          <w:lang w:eastAsia="en-GB"/>
        </w:rPr>
        <w:t xml:space="preserve"> </w:t>
      </w:r>
    </w:p>
    <w:p w14:paraId="7F30A2ED" w14:textId="239892D5" w:rsidR="00C320A1" w:rsidRDefault="00DE03E4" w:rsidP="00D9246A">
      <w:pPr>
        <w:spacing w:line="240" w:lineRule="auto"/>
        <w:rPr>
          <w:rFonts w:cs="Arial"/>
          <w:szCs w:val="24"/>
          <w:lang w:eastAsia="en-GB"/>
        </w:rPr>
      </w:pPr>
      <w:r w:rsidRPr="00A05984">
        <w:rPr>
          <w:rFonts w:cs="Arial"/>
          <w:b/>
          <w:color w:val="0079C2"/>
          <w:szCs w:val="24"/>
        </w:rPr>
        <w:t>Adapt to specific needs:</w:t>
      </w:r>
      <w:r w:rsidRPr="00595FE6">
        <w:rPr>
          <w:rFonts w:cs="Arial"/>
          <w:szCs w:val="24"/>
        </w:rPr>
        <w:t xml:space="preserve"> </w:t>
      </w:r>
      <w:r w:rsidR="00F45BDC" w:rsidRPr="00595FE6">
        <w:rPr>
          <w:rFonts w:cs="Arial"/>
          <w:szCs w:val="24"/>
          <w:lang w:eastAsia="en-GB"/>
        </w:rPr>
        <w:t xml:space="preserve">Parent carers </w:t>
      </w:r>
      <w:r w:rsidR="00573468" w:rsidRPr="00595FE6">
        <w:rPr>
          <w:rFonts w:cs="Arial"/>
          <w:szCs w:val="24"/>
          <w:lang w:eastAsia="en-GB"/>
        </w:rPr>
        <w:t>describe</w:t>
      </w:r>
      <w:r w:rsidR="00BB1B4F">
        <w:rPr>
          <w:rFonts w:cs="Arial"/>
          <w:szCs w:val="24"/>
          <w:lang w:eastAsia="en-GB"/>
        </w:rPr>
        <w:t>d</w:t>
      </w:r>
      <w:r w:rsidR="00573468" w:rsidRPr="00595FE6">
        <w:rPr>
          <w:rFonts w:cs="Arial"/>
          <w:szCs w:val="24"/>
          <w:lang w:eastAsia="en-GB"/>
        </w:rPr>
        <w:t xml:space="preserve"> the need for services which consider mental health and neurodevelopmental conditions together</w:t>
      </w:r>
      <w:r w:rsidR="00396E99">
        <w:rPr>
          <w:rFonts w:cs="Arial"/>
          <w:szCs w:val="24"/>
          <w:lang w:eastAsia="en-GB"/>
        </w:rPr>
        <w:t>,</w:t>
      </w:r>
      <w:r w:rsidR="00573468" w:rsidRPr="00595FE6">
        <w:rPr>
          <w:rFonts w:cs="Arial"/>
          <w:szCs w:val="24"/>
          <w:lang w:eastAsia="en-GB"/>
        </w:rPr>
        <w:t xml:space="preserve"> adapted to the particular needs of neurodivergent children and young people.</w:t>
      </w:r>
      <w:r w:rsidR="007C2DFD" w:rsidRPr="00595FE6">
        <w:rPr>
          <w:rFonts w:cs="Arial"/>
          <w:szCs w:val="24"/>
          <w:lang w:eastAsia="en-GB"/>
        </w:rPr>
        <w:t xml:space="preserve"> </w:t>
      </w:r>
    </w:p>
    <w:p w14:paraId="00B46963" w14:textId="114426B3" w:rsidR="007C2DFD" w:rsidRPr="00595FE6" w:rsidRDefault="00470673" w:rsidP="00D9246A">
      <w:pPr>
        <w:spacing w:line="240" w:lineRule="auto"/>
        <w:rPr>
          <w:rFonts w:cs="Arial"/>
          <w:szCs w:val="24"/>
          <w:lang w:eastAsia="en-GB"/>
        </w:rPr>
      </w:pPr>
      <w:r w:rsidRPr="00A05984">
        <w:rPr>
          <w:rFonts w:cs="Arial"/>
          <w:b/>
          <w:color w:val="0079C2"/>
          <w:szCs w:val="24"/>
        </w:rPr>
        <w:t>Intervene earlier:</w:t>
      </w:r>
      <w:r w:rsidRPr="00595FE6">
        <w:rPr>
          <w:rFonts w:cs="Arial"/>
          <w:szCs w:val="24"/>
          <w:lang w:eastAsia="en-GB"/>
        </w:rPr>
        <w:t xml:space="preserve"> </w:t>
      </w:r>
      <w:r w:rsidR="007C2DFD" w:rsidRPr="00595FE6">
        <w:rPr>
          <w:rFonts w:cs="Arial"/>
          <w:szCs w:val="24"/>
          <w:lang w:eastAsia="en-GB"/>
        </w:rPr>
        <w:t>In several reports</w:t>
      </w:r>
      <w:r w:rsidR="009C3470">
        <w:rPr>
          <w:rFonts w:cs="Arial"/>
          <w:szCs w:val="24"/>
          <w:lang w:eastAsia="en-GB"/>
        </w:rPr>
        <w:t>,</w:t>
      </w:r>
      <w:r w:rsidR="007C2DFD" w:rsidRPr="00595FE6">
        <w:rPr>
          <w:rFonts w:cs="Arial"/>
          <w:szCs w:val="24"/>
          <w:lang w:eastAsia="en-GB"/>
        </w:rPr>
        <w:t xml:space="preserve"> parent carers </w:t>
      </w:r>
      <w:r w:rsidR="004F57F6">
        <w:rPr>
          <w:rFonts w:cs="Arial"/>
          <w:szCs w:val="24"/>
          <w:lang w:eastAsia="en-GB"/>
        </w:rPr>
        <w:t xml:space="preserve">highlight that </w:t>
      </w:r>
      <w:r w:rsidR="007C2DFD" w:rsidRPr="00595FE6">
        <w:rPr>
          <w:rFonts w:cs="Arial"/>
          <w:szCs w:val="24"/>
          <w:lang w:eastAsia="en-GB"/>
        </w:rPr>
        <w:t>support that is only available when in crisis</w:t>
      </w:r>
      <w:r w:rsidR="004F57F6">
        <w:rPr>
          <w:rFonts w:cs="Arial"/>
          <w:szCs w:val="24"/>
          <w:lang w:eastAsia="en-GB"/>
        </w:rPr>
        <w:t>, is</w:t>
      </w:r>
      <w:r w:rsidR="007C2DFD" w:rsidRPr="00595FE6">
        <w:rPr>
          <w:rFonts w:cs="Arial"/>
          <w:szCs w:val="24"/>
          <w:lang w:eastAsia="en-GB"/>
        </w:rPr>
        <w:t xml:space="preserve"> difficult to access even then</w:t>
      </w:r>
      <w:r w:rsidR="004F57F6">
        <w:rPr>
          <w:rFonts w:cs="Arial"/>
          <w:szCs w:val="24"/>
          <w:lang w:eastAsia="en-GB"/>
        </w:rPr>
        <w:t xml:space="preserve"> and</w:t>
      </w:r>
      <w:r w:rsidR="007C2DFD" w:rsidRPr="00595FE6">
        <w:rPr>
          <w:rFonts w:cs="Arial"/>
          <w:szCs w:val="24"/>
          <w:lang w:eastAsia="en-GB"/>
        </w:rPr>
        <w:t xml:space="preserve"> emphasise</w:t>
      </w:r>
      <w:r w:rsidR="009C3470">
        <w:rPr>
          <w:rFonts w:cs="Arial"/>
          <w:szCs w:val="24"/>
          <w:lang w:eastAsia="en-GB"/>
        </w:rPr>
        <w:t>d</w:t>
      </w:r>
      <w:r w:rsidR="007C2DFD" w:rsidRPr="00595FE6">
        <w:rPr>
          <w:rFonts w:cs="Arial"/>
          <w:szCs w:val="24"/>
          <w:lang w:eastAsia="en-GB"/>
        </w:rPr>
        <w:t xml:space="preserve"> that earlier intervention is needed to avoid reaching this point.</w:t>
      </w:r>
    </w:p>
    <w:p w14:paraId="37BDAF0E" w14:textId="76EBFFBB" w:rsidR="0019547B" w:rsidRDefault="00435A36" w:rsidP="00D9246A">
      <w:pPr>
        <w:spacing w:line="240" w:lineRule="auto"/>
        <w:rPr>
          <w:rFonts w:cs="Arial"/>
          <w:b/>
          <w:bCs/>
          <w:szCs w:val="24"/>
        </w:rPr>
      </w:pPr>
      <w:r w:rsidRPr="00A05984">
        <w:rPr>
          <w:rFonts w:cs="Arial"/>
          <w:b/>
          <w:color w:val="0079C2"/>
          <w:szCs w:val="24"/>
        </w:rPr>
        <w:t>Access to activity programmes &amp; respite care</w:t>
      </w:r>
      <w:r w:rsidR="000B249E" w:rsidRPr="00A05984">
        <w:rPr>
          <w:rFonts w:cs="Arial"/>
          <w:b/>
          <w:color w:val="0079C2"/>
          <w:szCs w:val="24"/>
        </w:rPr>
        <w:t>:</w:t>
      </w:r>
      <w:r w:rsidR="000B249E">
        <w:rPr>
          <w:rFonts w:cs="Arial"/>
          <w:szCs w:val="24"/>
        </w:rPr>
        <w:t xml:space="preserve"> </w:t>
      </w:r>
      <w:r w:rsidR="00823F44" w:rsidRPr="00595FE6">
        <w:rPr>
          <w:rFonts w:cs="Arial"/>
          <w:szCs w:val="24"/>
          <w:lang w:eastAsia="en-GB"/>
        </w:rPr>
        <w:t>Parent carers in many reports talk</w:t>
      </w:r>
      <w:r w:rsidR="007C1C75">
        <w:rPr>
          <w:rFonts w:cs="Arial"/>
          <w:szCs w:val="24"/>
          <w:lang w:eastAsia="en-GB"/>
        </w:rPr>
        <w:t>ed</w:t>
      </w:r>
      <w:r w:rsidR="00823F44" w:rsidRPr="00595FE6">
        <w:rPr>
          <w:rFonts w:cs="Arial"/>
          <w:szCs w:val="24"/>
          <w:lang w:eastAsia="en-GB"/>
        </w:rPr>
        <w:t xml:space="preserve"> about the need for activity programmes and respite services that are accessible to a wider range of families, including </w:t>
      </w:r>
      <w:r w:rsidR="007D393F">
        <w:rPr>
          <w:rFonts w:cs="Arial"/>
          <w:szCs w:val="24"/>
          <w:lang w:eastAsia="en-GB"/>
        </w:rPr>
        <w:t xml:space="preserve">having </w:t>
      </w:r>
      <w:r w:rsidR="00823F44" w:rsidRPr="00595FE6">
        <w:rPr>
          <w:rFonts w:cs="Arial"/>
          <w:szCs w:val="24"/>
          <w:lang w:eastAsia="en-GB"/>
        </w:rPr>
        <w:t>options throughout the week and in school holidays.</w:t>
      </w:r>
      <w:r w:rsidR="007B5B9F" w:rsidRPr="00595FE6">
        <w:rPr>
          <w:rFonts w:cs="Arial"/>
          <w:szCs w:val="24"/>
          <w:lang w:eastAsia="en-GB"/>
        </w:rPr>
        <w:t xml:space="preserve"> Several reports also described a lack of provision for neurodivergent children and young people without a learning disability.</w:t>
      </w:r>
      <w:r w:rsidR="006A6B7D">
        <w:rPr>
          <w:rFonts w:cs="Arial"/>
          <w:b/>
          <w:bCs/>
          <w:szCs w:val="24"/>
        </w:rPr>
        <w:t xml:space="preserve"> </w:t>
      </w:r>
      <w:r w:rsidRPr="00595FE6">
        <w:rPr>
          <w:rFonts w:cs="Arial"/>
          <w:b/>
          <w:bCs/>
          <w:szCs w:val="24"/>
        </w:rPr>
        <w:t xml:space="preserve"> </w:t>
      </w:r>
    </w:p>
    <w:p w14:paraId="252F556F" w14:textId="6E7503BC" w:rsidR="00435A36" w:rsidRPr="00595FE6" w:rsidRDefault="005E5C81" w:rsidP="00D9246A">
      <w:pPr>
        <w:spacing w:line="240" w:lineRule="auto"/>
        <w:rPr>
          <w:rFonts w:cs="Arial"/>
          <w:szCs w:val="24"/>
          <w:lang w:eastAsia="en-GB"/>
        </w:rPr>
      </w:pPr>
      <w:r w:rsidRPr="00A05984">
        <w:rPr>
          <w:rFonts w:cs="Arial"/>
          <w:b/>
          <w:color w:val="0079C2"/>
          <w:szCs w:val="24"/>
        </w:rPr>
        <w:t>S</w:t>
      </w:r>
      <w:r w:rsidR="00435A36" w:rsidRPr="00A05984">
        <w:rPr>
          <w:rFonts w:cs="Arial"/>
          <w:b/>
          <w:color w:val="0079C2"/>
          <w:szCs w:val="24"/>
        </w:rPr>
        <w:t>upport &amp; community groups</w:t>
      </w:r>
      <w:r w:rsidR="006149D7" w:rsidRPr="00A05984">
        <w:rPr>
          <w:rFonts w:cs="Arial"/>
          <w:b/>
          <w:color w:val="0079C2"/>
          <w:szCs w:val="24"/>
        </w:rPr>
        <w:t>:</w:t>
      </w:r>
      <w:r w:rsidR="00E26D4D" w:rsidRPr="00595FE6">
        <w:rPr>
          <w:rFonts w:cs="Arial"/>
          <w:i/>
          <w:iCs/>
          <w:szCs w:val="24"/>
        </w:rPr>
        <w:t xml:space="preserve"> </w:t>
      </w:r>
      <w:r w:rsidR="00E26D4D" w:rsidRPr="00595FE6">
        <w:rPr>
          <w:rFonts w:cs="Arial"/>
          <w:szCs w:val="24"/>
          <w:lang w:eastAsia="en-GB"/>
        </w:rPr>
        <w:t>Parent carers in many reports talk</w:t>
      </w:r>
      <w:r w:rsidR="004C0964">
        <w:rPr>
          <w:rFonts w:cs="Arial"/>
          <w:szCs w:val="24"/>
          <w:lang w:eastAsia="en-GB"/>
        </w:rPr>
        <w:t>ed</w:t>
      </w:r>
      <w:r w:rsidR="00E26D4D" w:rsidRPr="00595FE6">
        <w:rPr>
          <w:rFonts w:cs="Arial"/>
          <w:szCs w:val="24"/>
          <w:lang w:eastAsia="en-GB"/>
        </w:rPr>
        <w:t xml:space="preserve"> about a need for more funding and availability of community groups and courses.</w:t>
      </w:r>
    </w:p>
    <w:p w14:paraId="30EFF68D" w14:textId="32C3E591" w:rsidR="002D2C6A" w:rsidRDefault="007645CF" w:rsidP="00D9246A">
      <w:pPr>
        <w:spacing w:line="240" w:lineRule="auto"/>
        <w:rPr>
          <w:rFonts w:cs="Arial"/>
          <w:szCs w:val="24"/>
        </w:rPr>
      </w:pPr>
      <w:r w:rsidRPr="00A05984">
        <w:rPr>
          <w:rFonts w:cs="Arial"/>
          <w:b/>
          <w:bCs/>
          <w:color w:val="0079C2"/>
          <w:szCs w:val="24"/>
        </w:rPr>
        <w:t xml:space="preserve">Earlier </w:t>
      </w:r>
      <w:r w:rsidR="004F57F6">
        <w:rPr>
          <w:rFonts w:cs="Arial"/>
          <w:b/>
          <w:bCs/>
          <w:color w:val="0079C2"/>
          <w:szCs w:val="24"/>
        </w:rPr>
        <w:t>transition</w:t>
      </w:r>
      <w:r w:rsidRPr="00A05984">
        <w:rPr>
          <w:rFonts w:cs="Arial"/>
          <w:b/>
          <w:color w:val="0079C2"/>
          <w:szCs w:val="24"/>
        </w:rPr>
        <w:t xml:space="preserve"> planning:</w:t>
      </w:r>
      <w:r w:rsidRPr="00595FE6">
        <w:rPr>
          <w:rFonts w:cs="Arial"/>
          <w:b/>
          <w:bCs/>
          <w:szCs w:val="24"/>
        </w:rPr>
        <w:t xml:space="preserve"> </w:t>
      </w:r>
      <w:r w:rsidR="00223BB2" w:rsidRPr="00595FE6">
        <w:rPr>
          <w:rFonts w:cs="Arial"/>
          <w:szCs w:val="24"/>
          <w:lang w:eastAsia="en-GB"/>
        </w:rPr>
        <w:t xml:space="preserve">The need for better advance planning and support at key transition points is a </w:t>
      </w:r>
      <w:r w:rsidR="00E12DB8" w:rsidRPr="00595FE6">
        <w:rPr>
          <w:rFonts w:cs="Arial"/>
          <w:szCs w:val="24"/>
          <w:lang w:eastAsia="en-GB"/>
        </w:rPr>
        <w:t xml:space="preserve">key </w:t>
      </w:r>
      <w:r w:rsidR="00223BB2" w:rsidRPr="00595FE6">
        <w:rPr>
          <w:rFonts w:cs="Arial"/>
          <w:szCs w:val="24"/>
          <w:lang w:eastAsia="en-GB"/>
        </w:rPr>
        <w:t>theme across services</w:t>
      </w:r>
      <w:r w:rsidR="006924C2">
        <w:rPr>
          <w:rFonts w:cs="Arial"/>
          <w:szCs w:val="24"/>
          <w:lang w:eastAsia="en-GB"/>
        </w:rPr>
        <w:t>, with</w:t>
      </w:r>
      <w:r w:rsidR="00972F62">
        <w:rPr>
          <w:rFonts w:cs="Arial"/>
          <w:szCs w:val="24"/>
          <w:lang w:eastAsia="en-GB"/>
        </w:rPr>
        <w:t xml:space="preserve"> </w:t>
      </w:r>
      <w:r w:rsidR="00972F62" w:rsidRPr="00595FE6">
        <w:rPr>
          <w:rFonts w:cs="Arial"/>
          <w:szCs w:val="24"/>
          <w:lang w:eastAsia="en-GB"/>
        </w:rPr>
        <w:t>continuity of care between child and adult health and social care</w:t>
      </w:r>
      <w:r w:rsidR="002D6D95">
        <w:rPr>
          <w:rFonts w:cs="Arial"/>
          <w:szCs w:val="24"/>
        </w:rPr>
        <w:t>. There was a</w:t>
      </w:r>
      <w:r w:rsidR="00972F62" w:rsidRPr="00595FE6">
        <w:rPr>
          <w:rFonts w:cs="Arial"/>
          <w:szCs w:val="24"/>
        </w:rPr>
        <w:t xml:space="preserve"> </w:t>
      </w:r>
      <w:r w:rsidR="00E80F2D" w:rsidRPr="00595FE6">
        <w:rPr>
          <w:rFonts w:cs="Arial"/>
          <w:szCs w:val="24"/>
          <w:lang w:eastAsia="en-GB"/>
        </w:rPr>
        <w:t>perceived gap in adult mental health services for young people with neurodevelopmental conditions</w:t>
      </w:r>
      <w:r w:rsidR="003B7059">
        <w:rPr>
          <w:rFonts w:cs="Arial"/>
          <w:szCs w:val="24"/>
        </w:rPr>
        <w:t xml:space="preserve">. </w:t>
      </w:r>
      <w:r w:rsidR="004F57F6">
        <w:rPr>
          <w:rFonts w:cs="Arial"/>
          <w:szCs w:val="24"/>
        </w:rPr>
        <w:t>Plus</w:t>
      </w:r>
      <w:r w:rsidR="00E80F2D" w:rsidRPr="00595FE6">
        <w:rPr>
          <w:rFonts w:cs="Arial"/>
          <w:szCs w:val="24"/>
        </w:rPr>
        <w:t xml:space="preserve"> </w:t>
      </w:r>
      <w:r w:rsidR="00D821E7" w:rsidRPr="00595FE6">
        <w:rPr>
          <w:rFonts w:cs="Arial"/>
          <w:szCs w:val="24"/>
          <w:lang w:eastAsia="en-GB"/>
        </w:rPr>
        <w:t>inconsistency in annual health checks for young people with learning disabilities</w:t>
      </w:r>
      <w:r w:rsidR="009A71FD" w:rsidRPr="00595FE6">
        <w:rPr>
          <w:rFonts w:cs="Arial"/>
          <w:szCs w:val="24"/>
        </w:rPr>
        <w:t>,</w:t>
      </w:r>
      <w:r w:rsidR="00FC597D" w:rsidRPr="00595FE6">
        <w:rPr>
          <w:rFonts w:cs="Arial"/>
          <w:szCs w:val="24"/>
        </w:rPr>
        <w:t xml:space="preserve"> </w:t>
      </w:r>
      <w:r w:rsidR="00044EA2" w:rsidRPr="00595FE6">
        <w:rPr>
          <w:rFonts w:cs="Arial"/>
          <w:szCs w:val="24"/>
          <w:lang w:eastAsia="en-GB"/>
        </w:rPr>
        <w:t>long waiting times for assessment</w:t>
      </w:r>
      <w:r w:rsidR="00044EA2" w:rsidRPr="00595FE6">
        <w:rPr>
          <w:rFonts w:cs="Arial"/>
          <w:szCs w:val="24"/>
        </w:rPr>
        <w:t xml:space="preserve"> </w:t>
      </w:r>
      <w:r w:rsidR="00FC597D" w:rsidRPr="00595FE6">
        <w:rPr>
          <w:rFonts w:cs="Arial"/>
          <w:szCs w:val="24"/>
        </w:rPr>
        <w:t xml:space="preserve">and </w:t>
      </w:r>
      <w:r w:rsidR="00FC597D" w:rsidRPr="00595FE6">
        <w:rPr>
          <w:rFonts w:cs="Arial"/>
          <w:szCs w:val="24"/>
          <w:lang w:eastAsia="en-GB"/>
        </w:rPr>
        <w:t>handover gaps between child and adult social care</w:t>
      </w:r>
      <w:r w:rsidR="00C12C84" w:rsidRPr="00595FE6">
        <w:rPr>
          <w:rFonts w:cs="Arial"/>
          <w:szCs w:val="24"/>
          <w:lang w:eastAsia="en-GB"/>
        </w:rPr>
        <w:t>.</w:t>
      </w:r>
      <w:r w:rsidR="00C12C84" w:rsidRPr="00595FE6">
        <w:rPr>
          <w:rFonts w:cs="Arial"/>
          <w:szCs w:val="24"/>
        </w:rPr>
        <w:t xml:space="preserve"> </w:t>
      </w:r>
    </w:p>
    <w:p w14:paraId="43FE349C" w14:textId="48ABB343" w:rsidR="002D2C6A" w:rsidRDefault="00435A36" w:rsidP="00D9246A">
      <w:pPr>
        <w:spacing w:line="240" w:lineRule="auto"/>
        <w:rPr>
          <w:rFonts w:cs="Arial"/>
          <w:szCs w:val="24"/>
          <w:lang w:eastAsia="en-GB"/>
        </w:rPr>
      </w:pPr>
      <w:r w:rsidRPr="00A05984">
        <w:rPr>
          <w:rFonts w:cs="Arial"/>
          <w:b/>
          <w:color w:val="0079C2"/>
          <w:szCs w:val="24"/>
        </w:rPr>
        <w:t>More options for education, training &amp; employment</w:t>
      </w:r>
      <w:r w:rsidR="00C12C84" w:rsidRPr="00A05984">
        <w:rPr>
          <w:rFonts w:cs="Arial"/>
          <w:b/>
          <w:color w:val="0079C2"/>
          <w:szCs w:val="24"/>
        </w:rPr>
        <w:t>:</w:t>
      </w:r>
      <w:r w:rsidR="00B56953" w:rsidRPr="00595FE6">
        <w:rPr>
          <w:rFonts w:cs="Arial"/>
          <w:b/>
          <w:bCs/>
          <w:szCs w:val="24"/>
        </w:rPr>
        <w:t xml:space="preserve"> </w:t>
      </w:r>
      <w:r w:rsidR="00581BDF">
        <w:rPr>
          <w:rFonts w:cs="Arial"/>
          <w:szCs w:val="24"/>
          <w:lang w:eastAsia="en-GB"/>
        </w:rPr>
        <w:t>Many reports highlighted that p</w:t>
      </w:r>
      <w:r w:rsidR="00261D29" w:rsidRPr="00595FE6">
        <w:rPr>
          <w:rFonts w:cs="Arial"/>
          <w:szCs w:val="24"/>
          <w:lang w:eastAsia="en-GB"/>
        </w:rPr>
        <w:t>arent carers would like to see services encourage ambitions and aspirations for the next stage for young people with all degrees of needs</w:t>
      </w:r>
      <w:r w:rsidR="006924C2">
        <w:rPr>
          <w:rFonts w:cs="Arial"/>
          <w:szCs w:val="24"/>
          <w:lang w:eastAsia="en-GB"/>
        </w:rPr>
        <w:t>, including</w:t>
      </w:r>
      <w:r w:rsidR="001D1EC9" w:rsidRPr="00595FE6">
        <w:rPr>
          <w:rFonts w:cs="Arial"/>
          <w:szCs w:val="24"/>
          <w:lang w:eastAsia="en-GB"/>
        </w:rPr>
        <w:t xml:space="preserve"> access to earlier careers advice and a broader range of vocational training, work experience and supported internships.</w:t>
      </w:r>
      <w:r w:rsidR="00230E88" w:rsidRPr="00595FE6">
        <w:rPr>
          <w:rFonts w:cs="Arial"/>
          <w:szCs w:val="24"/>
          <w:lang w:eastAsia="en-GB"/>
        </w:rPr>
        <w:t xml:space="preserve"> </w:t>
      </w:r>
    </w:p>
    <w:p w14:paraId="62CC9DA6" w14:textId="161B484E" w:rsidR="00435A36" w:rsidRPr="00595FE6" w:rsidRDefault="00400992" w:rsidP="00D9246A">
      <w:pPr>
        <w:spacing w:line="240" w:lineRule="auto"/>
        <w:rPr>
          <w:rFonts w:cs="Arial"/>
          <w:b/>
          <w:bCs/>
          <w:szCs w:val="24"/>
        </w:rPr>
      </w:pPr>
      <w:r w:rsidRPr="00A05984">
        <w:rPr>
          <w:rFonts w:cs="Arial"/>
          <w:b/>
          <w:color w:val="0079C2"/>
          <w:szCs w:val="24"/>
        </w:rPr>
        <w:lastRenderedPageBreak/>
        <w:t>Practical support</w:t>
      </w:r>
      <w:r w:rsidR="004F57F6">
        <w:rPr>
          <w:rFonts w:cs="Arial"/>
          <w:b/>
          <w:bCs/>
          <w:color w:val="0079C2"/>
          <w:szCs w:val="24"/>
        </w:rPr>
        <w:t xml:space="preserve"> into adult life</w:t>
      </w:r>
      <w:r w:rsidRPr="00A05984">
        <w:rPr>
          <w:rFonts w:cs="Arial"/>
          <w:b/>
          <w:color w:val="0079C2"/>
          <w:szCs w:val="24"/>
        </w:rPr>
        <w:t>:</w:t>
      </w:r>
      <w:r w:rsidRPr="00595FE6">
        <w:rPr>
          <w:rFonts w:cs="Arial"/>
          <w:b/>
          <w:bCs/>
          <w:szCs w:val="24"/>
        </w:rPr>
        <w:t xml:space="preserve"> </w:t>
      </w:r>
      <w:r w:rsidR="00230E88" w:rsidRPr="00595FE6">
        <w:rPr>
          <w:rFonts w:cs="Arial"/>
          <w:szCs w:val="24"/>
          <w:lang w:eastAsia="en-GB"/>
        </w:rPr>
        <w:t>Some parent carers describe</w:t>
      </w:r>
      <w:r w:rsidR="00230B1B">
        <w:rPr>
          <w:rFonts w:cs="Arial"/>
          <w:szCs w:val="24"/>
          <w:lang w:eastAsia="en-GB"/>
        </w:rPr>
        <w:t>d</w:t>
      </w:r>
      <w:r w:rsidR="00230E88" w:rsidRPr="00595FE6">
        <w:rPr>
          <w:rFonts w:cs="Arial"/>
          <w:szCs w:val="24"/>
          <w:lang w:eastAsia="en-GB"/>
        </w:rPr>
        <w:t xml:space="preserve"> a need for practical support into adult life, including skills training and support into independent living</w:t>
      </w:r>
      <w:r w:rsidR="00CE2ED0">
        <w:rPr>
          <w:rFonts w:cs="Arial"/>
          <w:szCs w:val="24"/>
          <w:lang w:eastAsia="en-GB"/>
        </w:rPr>
        <w:t xml:space="preserve"> </w:t>
      </w:r>
      <w:proofErr w:type="spellStart"/>
      <w:r w:rsidR="00CE2ED0">
        <w:rPr>
          <w:rFonts w:cs="Arial"/>
          <w:szCs w:val="24"/>
          <w:lang w:eastAsia="en-GB"/>
        </w:rPr>
        <w:t>eg</w:t>
      </w:r>
      <w:proofErr w:type="spellEnd"/>
      <w:r w:rsidR="00632312">
        <w:rPr>
          <w:rFonts w:cs="Arial"/>
          <w:szCs w:val="24"/>
          <w:lang w:eastAsia="en-GB"/>
        </w:rPr>
        <w:t xml:space="preserve"> </w:t>
      </w:r>
      <w:r w:rsidRPr="00595FE6">
        <w:rPr>
          <w:rFonts w:cs="Arial"/>
          <w:szCs w:val="24"/>
          <w:lang w:eastAsia="en-GB"/>
        </w:rPr>
        <w:t>finance, paperwork, cooking</w:t>
      </w:r>
      <w:r w:rsidR="00230E88" w:rsidRPr="00595FE6">
        <w:rPr>
          <w:rFonts w:cs="Arial"/>
          <w:szCs w:val="24"/>
          <w:lang w:eastAsia="en-GB"/>
        </w:rPr>
        <w:t>.</w:t>
      </w:r>
      <w:r w:rsidR="00680D01" w:rsidRPr="00595FE6">
        <w:rPr>
          <w:rFonts w:cs="Arial"/>
          <w:szCs w:val="24"/>
          <w:lang w:eastAsia="en-GB"/>
        </w:rPr>
        <w:t xml:space="preserve"> Several highlight</w:t>
      </w:r>
      <w:r w:rsidR="00632312">
        <w:rPr>
          <w:rFonts w:cs="Arial"/>
          <w:szCs w:val="24"/>
          <w:lang w:eastAsia="en-GB"/>
        </w:rPr>
        <w:t>ed</w:t>
      </w:r>
      <w:r w:rsidR="00680D01" w:rsidRPr="00595FE6">
        <w:rPr>
          <w:rFonts w:cs="Arial"/>
          <w:szCs w:val="24"/>
          <w:lang w:eastAsia="en-GB"/>
        </w:rPr>
        <w:t xml:space="preserve"> a need for more communication</w:t>
      </w:r>
      <w:r w:rsidR="0015370F">
        <w:rPr>
          <w:rFonts w:cs="Arial"/>
          <w:szCs w:val="24"/>
          <w:lang w:eastAsia="en-GB"/>
        </w:rPr>
        <w:t>,</w:t>
      </w:r>
      <w:r w:rsidR="00680D01" w:rsidRPr="00595FE6">
        <w:rPr>
          <w:rFonts w:cs="Arial"/>
          <w:szCs w:val="24"/>
          <w:lang w:eastAsia="en-GB"/>
        </w:rPr>
        <w:t xml:space="preserve"> transparency around consent, capacity and parental responsibility.</w:t>
      </w:r>
    </w:p>
    <w:p w14:paraId="65D063F2" w14:textId="4582ABF4" w:rsidR="005D38F7" w:rsidRPr="00595FE6" w:rsidRDefault="005D38F7" w:rsidP="00D9246A">
      <w:pPr>
        <w:spacing w:line="240" w:lineRule="auto"/>
        <w:rPr>
          <w:rFonts w:cs="Arial"/>
          <w:szCs w:val="24"/>
        </w:rPr>
      </w:pPr>
      <w:r w:rsidRPr="00A05984">
        <w:rPr>
          <w:rFonts w:cs="Arial"/>
          <w:b/>
          <w:color w:val="0079C2"/>
          <w:szCs w:val="24"/>
        </w:rPr>
        <w:t>Specific gaps in local provision</w:t>
      </w:r>
      <w:r w:rsidR="006149D7" w:rsidRPr="00A05984">
        <w:rPr>
          <w:rFonts w:cs="Arial"/>
          <w:b/>
          <w:color w:val="0079C2"/>
          <w:szCs w:val="24"/>
        </w:rPr>
        <w:t xml:space="preserve">: </w:t>
      </w:r>
      <w:r w:rsidRPr="00595FE6">
        <w:rPr>
          <w:rFonts w:cs="Arial"/>
          <w:szCs w:val="24"/>
        </w:rPr>
        <w:t>Parent carers in several reports talk</w:t>
      </w:r>
      <w:r w:rsidR="00B94802">
        <w:rPr>
          <w:rFonts w:cs="Arial"/>
          <w:szCs w:val="24"/>
        </w:rPr>
        <w:t>ed</w:t>
      </w:r>
      <w:r w:rsidRPr="00595FE6">
        <w:rPr>
          <w:rFonts w:cs="Arial"/>
          <w:szCs w:val="24"/>
        </w:rPr>
        <w:t xml:space="preserve"> about a gap in understanding and provision for those with ADHD, Tics and Tourette’s, specific learning difficulties, </w:t>
      </w:r>
      <w:r w:rsidR="0078770B" w:rsidRPr="00595FE6">
        <w:rPr>
          <w:rFonts w:cs="Arial"/>
          <w:szCs w:val="24"/>
        </w:rPr>
        <w:t>Foetal</w:t>
      </w:r>
      <w:r w:rsidRPr="00595FE6">
        <w:rPr>
          <w:rFonts w:cs="Arial"/>
          <w:szCs w:val="24"/>
        </w:rPr>
        <w:t xml:space="preserve"> Alcohol Spectrum Disorders, </w:t>
      </w:r>
      <w:r w:rsidR="00C946F4">
        <w:rPr>
          <w:rFonts w:cs="Arial"/>
          <w:szCs w:val="24"/>
        </w:rPr>
        <w:t xml:space="preserve">and </w:t>
      </w:r>
      <w:r w:rsidRPr="00595FE6">
        <w:rPr>
          <w:rFonts w:cs="Arial"/>
          <w:szCs w:val="24"/>
        </w:rPr>
        <w:t xml:space="preserve">Down Syndrome. </w:t>
      </w:r>
    </w:p>
    <w:p w14:paraId="06973128" w14:textId="2FB1A67D" w:rsidR="005D38F7" w:rsidRPr="00595FE6" w:rsidRDefault="005D38F7" w:rsidP="00D9246A">
      <w:pPr>
        <w:spacing w:line="240" w:lineRule="auto"/>
        <w:rPr>
          <w:rFonts w:cs="Arial"/>
          <w:szCs w:val="24"/>
        </w:rPr>
      </w:pPr>
      <w:r w:rsidRPr="00A05984">
        <w:rPr>
          <w:rFonts w:cs="Arial"/>
          <w:b/>
          <w:color w:val="0079C2"/>
          <w:szCs w:val="24"/>
        </w:rPr>
        <w:t>Communication &amp; co-production</w:t>
      </w:r>
      <w:r w:rsidR="00A27D01" w:rsidRPr="00A05984">
        <w:rPr>
          <w:rFonts w:cs="Arial"/>
          <w:b/>
          <w:color w:val="0079C2"/>
          <w:szCs w:val="24"/>
        </w:rPr>
        <w:t xml:space="preserve">: </w:t>
      </w:r>
      <w:r w:rsidRPr="00595FE6">
        <w:rPr>
          <w:rFonts w:cs="Arial"/>
          <w:szCs w:val="24"/>
        </w:rPr>
        <w:t>Parent carers want their expertise about their child valued and several reports specif</w:t>
      </w:r>
      <w:r w:rsidR="002D4DDA">
        <w:rPr>
          <w:rFonts w:cs="Arial"/>
          <w:szCs w:val="24"/>
        </w:rPr>
        <w:t>ied</w:t>
      </w:r>
      <w:r w:rsidRPr="00595FE6">
        <w:rPr>
          <w:rFonts w:cs="Arial"/>
          <w:szCs w:val="24"/>
        </w:rPr>
        <w:t xml:space="preserve"> that services should be designed in collaboration with families. Almost all the reports highlight</w:t>
      </w:r>
      <w:r w:rsidR="002D4DDA">
        <w:rPr>
          <w:rFonts w:cs="Arial"/>
          <w:szCs w:val="24"/>
        </w:rPr>
        <w:t>ed</w:t>
      </w:r>
      <w:r w:rsidRPr="00595FE6">
        <w:rPr>
          <w:rFonts w:cs="Arial"/>
          <w:szCs w:val="24"/>
        </w:rPr>
        <w:t xml:space="preserve"> the importance of good communication between families and professionals, and a clear point of contact within services. </w:t>
      </w:r>
    </w:p>
    <w:p w14:paraId="714570C5" w14:textId="04459981" w:rsidR="005D38F7" w:rsidRPr="00595FE6" w:rsidRDefault="005D38F7" w:rsidP="00D9246A">
      <w:pPr>
        <w:spacing w:line="240" w:lineRule="auto"/>
        <w:rPr>
          <w:rFonts w:cs="Arial"/>
          <w:szCs w:val="24"/>
        </w:rPr>
      </w:pPr>
      <w:r w:rsidRPr="00A05984">
        <w:rPr>
          <w:rFonts w:cs="Arial"/>
          <w:b/>
          <w:color w:val="0079C2"/>
          <w:szCs w:val="24"/>
        </w:rPr>
        <w:t xml:space="preserve">Training &amp; </w:t>
      </w:r>
      <w:r w:rsidR="0005224E" w:rsidRPr="00A05984">
        <w:rPr>
          <w:rFonts w:cs="Arial"/>
          <w:b/>
          <w:color w:val="0079C2"/>
          <w:szCs w:val="24"/>
        </w:rPr>
        <w:t>n</w:t>
      </w:r>
      <w:r w:rsidRPr="00A05984">
        <w:rPr>
          <w:rFonts w:cs="Arial"/>
          <w:b/>
          <w:color w:val="0079C2"/>
          <w:szCs w:val="24"/>
        </w:rPr>
        <w:t>euro-affirmative culture</w:t>
      </w:r>
      <w:r w:rsidR="00A27D01" w:rsidRPr="00A05984">
        <w:rPr>
          <w:rFonts w:cs="Arial"/>
          <w:b/>
          <w:color w:val="0079C2"/>
          <w:szCs w:val="24"/>
        </w:rPr>
        <w:t>:</w:t>
      </w:r>
      <w:r w:rsidR="00A27D01">
        <w:rPr>
          <w:rFonts w:cs="Arial"/>
          <w:szCs w:val="24"/>
        </w:rPr>
        <w:t xml:space="preserve"> </w:t>
      </w:r>
      <w:r w:rsidRPr="00595FE6">
        <w:rPr>
          <w:rFonts w:cs="Arial"/>
          <w:szCs w:val="24"/>
        </w:rPr>
        <w:t>Many parent carers talk</w:t>
      </w:r>
      <w:r w:rsidR="0005224E">
        <w:rPr>
          <w:rFonts w:cs="Arial"/>
          <w:szCs w:val="24"/>
        </w:rPr>
        <w:t>ed</w:t>
      </w:r>
      <w:r w:rsidRPr="00595FE6">
        <w:rPr>
          <w:rFonts w:cs="Arial"/>
          <w:szCs w:val="24"/>
        </w:rPr>
        <w:t xml:space="preserve"> about the need for practitioner training across all settings</w:t>
      </w:r>
      <w:r w:rsidR="00176AA1">
        <w:rPr>
          <w:rFonts w:cs="Arial"/>
          <w:szCs w:val="24"/>
        </w:rPr>
        <w:t>;</w:t>
      </w:r>
      <w:r w:rsidRPr="00595FE6">
        <w:rPr>
          <w:rFonts w:cs="Arial"/>
          <w:szCs w:val="24"/>
        </w:rPr>
        <w:t xml:space="preserve"> to improve understanding of how children and young people with differing conditions experience life</w:t>
      </w:r>
      <w:r w:rsidR="00176AA1">
        <w:rPr>
          <w:rFonts w:cs="Arial"/>
          <w:szCs w:val="24"/>
        </w:rPr>
        <w:t>;</w:t>
      </w:r>
      <w:r w:rsidRPr="00595FE6">
        <w:rPr>
          <w:rFonts w:cs="Arial"/>
          <w:szCs w:val="24"/>
        </w:rPr>
        <w:t xml:space="preserve"> how to communicate effectively</w:t>
      </w:r>
      <w:r w:rsidR="00CE3D1B">
        <w:rPr>
          <w:rFonts w:cs="Arial"/>
          <w:szCs w:val="24"/>
        </w:rPr>
        <w:t>;</w:t>
      </w:r>
      <w:r w:rsidRPr="00595FE6">
        <w:rPr>
          <w:rFonts w:cs="Arial"/>
          <w:szCs w:val="24"/>
        </w:rPr>
        <w:t xml:space="preserve"> and how to make tailored adaptations to support them. Parent carers emphasise</w:t>
      </w:r>
      <w:r w:rsidR="00CE3D1B">
        <w:rPr>
          <w:rFonts w:cs="Arial"/>
          <w:szCs w:val="24"/>
        </w:rPr>
        <w:t>d</w:t>
      </w:r>
      <w:r w:rsidRPr="00595FE6">
        <w:rPr>
          <w:rFonts w:cs="Arial"/>
          <w:szCs w:val="24"/>
        </w:rPr>
        <w:t xml:space="preserve"> the importance of a neuro-affirmative culture that is flexible, facilitates participation, recognises strengths and supports potential.</w:t>
      </w:r>
    </w:p>
    <w:p w14:paraId="100419F9" w14:textId="77777777" w:rsidR="005D38F7" w:rsidRPr="00595FE6" w:rsidRDefault="005D38F7" w:rsidP="00D9246A">
      <w:pPr>
        <w:pStyle w:val="Heading2"/>
        <w:spacing w:before="0" w:after="120"/>
      </w:pPr>
      <w:r w:rsidRPr="00595FE6">
        <w:t>Compounding factors &amp; inequalities</w:t>
      </w:r>
    </w:p>
    <w:p w14:paraId="08652839" w14:textId="3D4457E3" w:rsidR="005D38F7" w:rsidRPr="00595FE6" w:rsidRDefault="005D38F7" w:rsidP="00D9246A">
      <w:pPr>
        <w:spacing w:line="240" w:lineRule="auto"/>
        <w:rPr>
          <w:rFonts w:cs="Arial"/>
          <w:szCs w:val="24"/>
        </w:rPr>
      </w:pPr>
      <w:r w:rsidRPr="00595FE6">
        <w:rPr>
          <w:rFonts w:cs="Arial"/>
          <w:szCs w:val="24"/>
        </w:rPr>
        <w:t>This section pull</w:t>
      </w:r>
      <w:r w:rsidR="000C2447">
        <w:rPr>
          <w:rFonts w:cs="Arial"/>
          <w:szCs w:val="24"/>
        </w:rPr>
        <w:t>ed</w:t>
      </w:r>
      <w:r w:rsidRPr="00595FE6">
        <w:rPr>
          <w:rFonts w:cs="Arial"/>
          <w:szCs w:val="24"/>
        </w:rPr>
        <w:t xml:space="preserve"> out parent carer feedback on challenges that compound difficulties in getting support for their children, including for those who are LGBQ+</w:t>
      </w:r>
      <w:r w:rsidR="002648C9">
        <w:rPr>
          <w:rFonts w:cs="Arial"/>
          <w:szCs w:val="24"/>
        </w:rPr>
        <w:t>, TNBI</w:t>
      </w:r>
      <w:r w:rsidRPr="00595FE6">
        <w:rPr>
          <w:rFonts w:cs="Arial"/>
          <w:szCs w:val="24"/>
        </w:rPr>
        <w:t xml:space="preserve"> and/or Black and Racially Minoritised, where other family members have disabilities</w:t>
      </w:r>
      <w:r w:rsidR="002648C9">
        <w:rPr>
          <w:rFonts w:cs="Arial"/>
          <w:szCs w:val="24"/>
        </w:rPr>
        <w:t>,</w:t>
      </w:r>
      <w:r w:rsidRPr="00595FE6">
        <w:rPr>
          <w:rFonts w:cs="Arial"/>
          <w:szCs w:val="24"/>
        </w:rPr>
        <w:t xml:space="preserve"> are neurodivergent, or single parents. </w:t>
      </w:r>
      <w:r w:rsidR="002648C9">
        <w:rPr>
          <w:rFonts w:cs="Arial"/>
          <w:szCs w:val="24"/>
        </w:rPr>
        <w:t>As</w:t>
      </w:r>
      <w:r w:rsidRPr="00595FE6">
        <w:rPr>
          <w:rFonts w:cs="Arial"/>
          <w:szCs w:val="24"/>
        </w:rPr>
        <w:t xml:space="preserve"> we only used existing reports, this section </w:t>
      </w:r>
      <w:r w:rsidR="000C2447">
        <w:rPr>
          <w:rFonts w:cs="Arial"/>
          <w:szCs w:val="24"/>
        </w:rPr>
        <w:t>does</w:t>
      </w:r>
      <w:r w:rsidR="000C2447" w:rsidRPr="00595FE6">
        <w:rPr>
          <w:rFonts w:cs="Arial"/>
          <w:szCs w:val="24"/>
        </w:rPr>
        <w:t xml:space="preserve"> </w:t>
      </w:r>
      <w:r w:rsidRPr="00595FE6">
        <w:rPr>
          <w:rFonts w:cs="Arial"/>
          <w:szCs w:val="24"/>
        </w:rPr>
        <w:t xml:space="preserve">not capture the full range of experiences and may </w:t>
      </w:r>
      <w:r w:rsidR="002648C9">
        <w:rPr>
          <w:rFonts w:cs="Arial"/>
          <w:szCs w:val="24"/>
        </w:rPr>
        <w:t>not</w:t>
      </w:r>
      <w:r w:rsidRPr="00595FE6">
        <w:rPr>
          <w:rFonts w:cs="Arial"/>
          <w:szCs w:val="24"/>
        </w:rPr>
        <w:t xml:space="preserve"> represent </w:t>
      </w:r>
      <w:r w:rsidR="002648C9">
        <w:rPr>
          <w:rFonts w:cs="Arial"/>
          <w:szCs w:val="24"/>
        </w:rPr>
        <w:t>some</w:t>
      </w:r>
      <w:r w:rsidRPr="00595FE6">
        <w:rPr>
          <w:rFonts w:cs="Arial"/>
          <w:szCs w:val="24"/>
        </w:rPr>
        <w:t xml:space="preserve"> groups. </w:t>
      </w:r>
    </w:p>
    <w:p w14:paraId="2BC4C01D" w14:textId="59E9EF0E" w:rsidR="005D38F7" w:rsidRPr="00595FE6" w:rsidRDefault="005D38F7" w:rsidP="0096012C">
      <w:pPr>
        <w:pStyle w:val="Heading3"/>
      </w:pPr>
      <w:r w:rsidRPr="00595FE6">
        <w:t>Barriers and inequalities</w:t>
      </w:r>
    </w:p>
    <w:p w14:paraId="360AF539" w14:textId="27F4550D" w:rsidR="005D38F7" w:rsidRPr="00595FE6" w:rsidRDefault="005D38F7" w:rsidP="00D9246A">
      <w:pPr>
        <w:spacing w:line="240" w:lineRule="auto"/>
        <w:rPr>
          <w:rFonts w:cs="Arial"/>
          <w:szCs w:val="24"/>
        </w:rPr>
      </w:pPr>
      <w:r w:rsidRPr="00A05984">
        <w:rPr>
          <w:rFonts w:cs="Arial"/>
          <w:b/>
          <w:color w:val="0079C2"/>
          <w:szCs w:val="24"/>
        </w:rPr>
        <w:t>Cultural stigma, awareness and language barriers:</w:t>
      </w:r>
      <w:r w:rsidRPr="00595FE6">
        <w:rPr>
          <w:rFonts w:cs="Arial"/>
          <w:szCs w:val="24"/>
        </w:rPr>
        <w:t xml:space="preserve"> Cultural stigma can be a barrier to engaging with support</w:t>
      </w:r>
      <w:r w:rsidR="00DB213A">
        <w:rPr>
          <w:rFonts w:cs="Arial"/>
          <w:szCs w:val="24"/>
        </w:rPr>
        <w:t>.</w:t>
      </w:r>
      <w:r w:rsidRPr="00595FE6">
        <w:rPr>
          <w:rFonts w:cs="Arial"/>
          <w:szCs w:val="24"/>
        </w:rPr>
        <w:t xml:space="preserve"> </w:t>
      </w:r>
      <w:r w:rsidR="00DB213A">
        <w:rPr>
          <w:rFonts w:cs="Arial"/>
          <w:szCs w:val="24"/>
        </w:rPr>
        <w:t>I</w:t>
      </w:r>
      <w:r w:rsidRPr="00595FE6">
        <w:rPr>
          <w:rFonts w:cs="Arial"/>
          <w:szCs w:val="24"/>
        </w:rPr>
        <w:t xml:space="preserve">n some communities there may be limited awareness or differing understandings of conditions like autism, and </w:t>
      </w:r>
      <w:r w:rsidR="00AD5A91">
        <w:rPr>
          <w:rFonts w:cs="Arial"/>
          <w:szCs w:val="24"/>
        </w:rPr>
        <w:t xml:space="preserve">there may be </w:t>
      </w:r>
      <w:r w:rsidRPr="00595FE6">
        <w:rPr>
          <w:rFonts w:cs="Arial"/>
          <w:szCs w:val="24"/>
        </w:rPr>
        <w:t>language barriers for those with English as a second language. Parent carers describe</w:t>
      </w:r>
      <w:r w:rsidR="00BA3469">
        <w:rPr>
          <w:rFonts w:cs="Arial"/>
          <w:szCs w:val="24"/>
        </w:rPr>
        <w:t>d</w:t>
      </w:r>
      <w:r w:rsidRPr="00595FE6">
        <w:rPr>
          <w:rFonts w:cs="Arial"/>
          <w:szCs w:val="24"/>
        </w:rPr>
        <w:t xml:space="preserve"> the importance of providers taking these differences into account when planning individual support</w:t>
      </w:r>
      <w:r w:rsidR="00875278">
        <w:rPr>
          <w:rFonts w:cs="Arial"/>
          <w:szCs w:val="24"/>
        </w:rPr>
        <w:t>.</w:t>
      </w:r>
    </w:p>
    <w:p w14:paraId="5D6E59A2" w14:textId="5131193B" w:rsidR="005D38F7" w:rsidRPr="00595FE6" w:rsidRDefault="005D38F7" w:rsidP="00D9246A">
      <w:pPr>
        <w:spacing w:line="240" w:lineRule="auto"/>
        <w:rPr>
          <w:rFonts w:cs="Arial"/>
          <w:szCs w:val="24"/>
        </w:rPr>
      </w:pPr>
      <w:r w:rsidRPr="00A05984">
        <w:rPr>
          <w:rFonts w:cs="Arial"/>
          <w:b/>
          <w:color w:val="0079C2"/>
          <w:szCs w:val="24"/>
        </w:rPr>
        <w:t>Parent carer neurodivergence or disability:</w:t>
      </w:r>
      <w:r w:rsidRPr="00595FE6">
        <w:rPr>
          <w:rFonts w:cs="Arial"/>
          <w:b/>
          <w:bCs/>
          <w:szCs w:val="24"/>
        </w:rPr>
        <w:t xml:space="preserve"> </w:t>
      </w:r>
      <w:r w:rsidRPr="00595FE6">
        <w:rPr>
          <w:rFonts w:cs="Arial"/>
          <w:szCs w:val="24"/>
        </w:rPr>
        <w:t>In two reports parent carers with disabilities talk</w:t>
      </w:r>
      <w:r w:rsidR="00A51358">
        <w:rPr>
          <w:rFonts w:cs="Arial"/>
          <w:szCs w:val="24"/>
        </w:rPr>
        <w:t>ed</w:t>
      </w:r>
      <w:r w:rsidRPr="00595FE6">
        <w:rPr>
          <w:rFonts w:cs="Arial"/>
          <w:szCs w:val="24"/>
        </w:rPr>
        <w:t xml:space="preserve"> about challenges accessing social care support for their children </w:t>
      </w:r>
      <w:r w:rsidR="002648C9">
        <w:rPr>
          <w:rFonts w:cs="Arial"/>
          <w:szCs w:val="24"/>
        </w:rPr>
        <w:t>and</w:t>
      </w:r>
      <w:r w:rsidRPr="00595FE6">
        <w:rPr>
          <w:rFonts w:cs="Arial"/>
          <w:szCs w:val="24"/>
        </w:rPr>
        <w:t xml:space="preserve"> themselves, and the compound effect on the mental health and wellbeing of the family. </w:t>
      </w:r>
    </w:p>
    <w:p w14:paraId="6D717217" w14:textId="7F60DEF9" w:rsidR="005D38F7" w:rsidRPr="00595FE6" w:rsidRDefault="005D38F7" w:rsidP="00D9246A">
      <w:pPr>
        <w:spacing w:line="240" w:lineRule="auto"/>
        <w:rPr>
          <w:rFonts w:cs="Arial"/>
          <w:szCs w:val="24"/>
        </w:rPr>
      </w:pPr>
      <w:r w:rsidRPr="00A05984">
        <w:rPr>
          <w:rFonts w:cs="Arial"/>
          <w:b/>
          <w:color w:val="0079C2"/>
          <w:szCs w:val="24"/>
        </w:rPr>
        <w:t>Financial hardship</w:t>
      </w:r>
      <w:r w:rsidR="00610060">
        <w:rPr>
          <w:rFonts w:cs="Arial"/>
          <w:b/>
          <w:bCs/>
          <w:color w:val="0079C2"/>
          <w:szCs w:val="24"/>
        </w:rPr>
        <w:t>, isolation</w:t>
      </w:r>
      <w:r w:rsidRPr="00A05984">
        <w:rPr>
          <w:rFonts w:cs="Arial"/>
          <w:b/>
          <w:color w:val="0079C2"/>
          <w:szCs w:val="24"/>
        </w:rPr>
        <w:t xml:space="preserve"> and single parents:</w:t>
      </w:r>
      <w:r w:rsidRPr="00595FE6">
        <w:rPr>
          <w:rFonts w:cs="Arial"/>
          <w:szCs w:val="24"/>
        </w:rPr>
        <w:t xml:space="preserve"> Financial and housing issues </w:t>
      </w:r>
      <w:r w:rsidR="002648C9">
        <w:rPr>
          <w:rFonts w:cs="Arial"/>
          <w:szCs w:val="24"/>
        </w:rPr>
        <w:t>were highlighted</w:t>
      </w:r>
      <w:r w:rsidRPr="00595FE6">
        <w:rPr>
          <w:rFonts w:cs="Arial"/>
          <w:szCs w:val="24"/>
        </w:rPr>
        <w:t xml:space="preserve"> in several reports. Low income and single parent families of children and young people with SEND face additional hardship. For single parents, affording and securing childcare is a particular challenge, and is associated with isolation</w:t>
      </w:r>
      <w:r w:rsidR="003255F0">
        <w:rPr>
          <w:rFonts w:cs="Arial"/>
          <w:szCs w:val="24"/>
        </w:rPr>
        <w:t xml:space="preserve"> and</w:t>
      </w:r>
      <w:r w:rsidRPr="00595FE6">
        <w:rPr>
          <w:rFonts w:cs="Arial"/>
          <w:szCs w:val="24"/>
        </w:rPr>
        <w:t xml:space="preserve"> </w:t>
      </w:r>
      <w:r w:rsidR="003255F0">
        <w:rPr>
          <w:rFonts w:cs="Arial"/>
          <w:szCs w:val="24"/>
        </w:rPr>
        <w:t>there is</w:t>
      </w:r>
      <w:r w:rsidRPr="00595FE6">
        <w:rPr>
          <w:rFonts w:cs="Arial"/>
          <w:szCs w:val="24"/>
        </w:rPr>
        <w:t xml:space="preserve"> a lack of peer support groups for single parents. </w:t>
      </w:r>
    </w:p>
    <w:p w14:paraId="3432DF2E" w14:textId="364169D0" w:rsidR="005D38F7" w:rsidRPr="00595FE6" w:rsidRDefault="005D38F7" w:rsidP="00D9246A">
      <w:pPr>
        <w:spacing w:line="240" w:lineRule="auto"/>
        <w:rPr>
          <w:rFonts w:cs="Arial"/>
          <w:szCs w:val="24"/>
        </w:rPr>
      </w:pPr>
      <w:r w:rsidRPr="00A05984">
        <w:rPr>
          <w:rFonts w:cs="Arial"/>
          <w:b/>
          <w:color w:val="0079C2"/>
          <w:szCs w:val="24"/>
        </w:rPr>
        <w:t>Prejudice &amp; discrimination:</w:t>
      </w:r>
      <w:r w:rsidRPr="00595FE6">
        <w:rPr>
          <w:rFonts w:cs="Arial"/>
          <w:szCs w:val="24"/>
        </w:rPr>
        <w:t xml:space="preserve"> Families from </w:t>
      </w:r>
      <w:r w:rsidR="00102593">
        <w:rPr>
          <w:rFonts w:cs="Arial"/>
          <w:szCs w:val="24"/>
        </w:rPr>
        <w:t>B</w:t>
      </w:r>
      <w:r w:rsidRPr="00595FE6">
        <w:rPr>
          <w:rFonts w:cs="Arial"/>
          <w:szCs w:val="24"/>
        </w:rPr>
        <w:t xml:space="preserve">lack and </w:t>
      </w:r>
      <w:r w:rsidR="00102593">
        <w:rPr>
          <w:rFonts w:cs="Arial"/>
          <w:szCs w:val="24"/>
        </w:rPr>
        <w:t>R</w:t>
      </w:r>
      <w:r w:rsidRPr="00595FE6">
        <w:rPr>
          <w:rFonts w:cs="Arial"/>
          <w:szCs w:val="24"/>
        </w:rPr>
        <w:t xml:space="preserve">acially </w:t>
      </w:r>
      <w:r w:rsidR="00102593">
        <w:rPr>
          <w:rFonts w:cs="Arial"/>
          <w:szCs w:val="24"/>
        </w:rPr>
        <w:t>M</w:t>
      </w:r>
      <w:r w:rsidRPr="00595FE6">
        <w:rPr>
          <w:rFonts w:cs="Arial"/>
          <w:szCs w:val="24"/>
        </w:rPr>
        <w:t>inoritised backgrounds describe</w:t>
      </w:r>
      <w:r w:rsidR="00102593">
        <w:rPr>
          <w:rFonts w:cs="Arial"/>
          <w:szCs w:val="24"/>
        </w:rPr>
        <w:t>d</w:t>
      </w:r>
      <w:r w:rsidRPr="00595FE6">
        <w:rPr>
          <w:rFonts w:cs="Arial"/>
          <w:szCs w:val="24"/>
        </w:rPr>
        <w:t xml:space="preserve"> later diagnosis and intervention. Parent carers fe</w:t>
      </w:r>
      <w:r w:rsidR="00102593">
        <w:rPr>
          <w:rFonts w:cs="Arial"/>
          <w:szCs w:val="24"/>
        </w:rPr>
        <w:t>lt</w:t>
      </w:r>
      <w:r w:rsidRPr="00595FE6">
        <w:rPr>
          <w:rFonts w:cs="Arial"/>
          <w:szCs w:val="24"/>
        </w:rPr>
        <w:t xml:space="preserve"> opportunities are </w:t>
      </w:r>
      <w:r w:rsidR="003255F0">
        <w:rPr>
          <w:rFonts w:cs="Arial"/>
          <w:szCs w:val="24"/>
        </w:rPr>
        <w:t>fewer</w:t>
      </w:r>
      <w:r w:rsidRPr="00595FE6">
        <w:rPr>
          <w:rFonts w:cs="Arial"/>
          <w:szCs w:val="24"/>
        </w:rPr>
        <w:t>, and describe</w:t>
      </w:r>
      <w:r w:rsidR="00102593">
        <w:rPr>
          <w:rFonts w:cs="Arial"/>
          <w:szCs w:val="24"/>
        </w:rPr>
        <w:t>d</w:t>
      </w:r>
      <w:r w:rsidRPr="00595FE6">
        <w:rPr>
          <w:rFonts w:cs="Arial"/>
          <w:szCs w:val="24"/>
        </w:rPr>
        <w:t xml:space="preserve"> a need for greater inclusion, particularly around transition. They talk</w:t>
      </w:r>
      <w:r w:rsidR="00CA4F52">
        <w:rPr>
          <w:rFonts w:cs="Arial"/>
          <w:szCs w:val="24"/>
        </w:rPr>
        <w:t>ed</w:t>
      </w:r>
      <w:r w:rsidRPr="00595FE6">
        <w:rPr>
          <w:rFonts w:cs="Arial"/>
          <w:szCs w:val="24"/>
        </w:rPr>
        <w:t xml:space="preserve"> about ensuring a clear transition plan, bespoke mentoring and advice. </w:t>
      </w:r>
      <w:r w:rsidR="003255F0">
        <w:rPr>
          <w:rFonts w:cs="Arial"/>
          <w:szCs w:val="24"/>
        </w:rPr>
        <w:t>B</w:t>
      </w:r>
      <w:r w:rsidR="003255F0" w:rsidRPr="00595FE6">
        <w:rPr>
          <w:rFonts w:cs="Arial"/>
          <w:szCs w:val="24"/>
        </w:rPr>
        <w:t xml:space="preserve">lack and </w:t>
      </w:r>
      <w:r w:rsidR="003255F0">
        <w:rPr>
          <w:rFonts w:cs="Arial"/>
          <w:szCs w:val="24"/>
        </w:rPr>
        <w:t>R</w:t>
      </w:r>
      <w:r w:rsidR="003255F0" w:rsidRPr="00595FE6">
        <w:rPr>
          <w:rFonts w:cs="Arial"/>
          <w:szCs w:val="24"/>
        </w:rPr>
        <w:t xml:space="preserve">acially </w:t>
      </w:r>
      <w:r w:rsidR="003255F0">
        <w:rPr>
          <w:rFonts w:cs="Arial"/>
          <w:szCs w:val="24"/>
        </w:rPr>
        <w:t>M</w:t>
      </w:r>
      <w:r w:rsidR="003255F0" w:rsidRPr="00595FE6">
        <w:rPr>
          <w:rFonts w:cs="Arial"/>
          <w:szCs w:val="24"/>
        </w:rPr>
        <w:t>inoritised</w:t>
      </w:r>
      <w:r w:rsidRPr="00595FE6">
        <w:rPr>
          <w:rFonts w:cs="Arial"/>
          <w:szCs w:val="24"/>
        </w:rPr>
        <w:t xml:space="preserve"> children and young people have disproportionate experience of </w:t>
      </w:r>
      <w:r w:rsidR="00A43DCA">
        <w:rPr>
          <w:rFonts w:cs="Arial"/>
          <w:szCs w:val="24"/>
        </w:rPr>
        <w:t xml:space="preserve">school </w:t>
      </w:r>
      <w:r w:rsidRPr="00595FE6">
        <w:rPr>
          <w:rFonts w:cs="Arial"/>
          <w:szCs w:val="24"/>
        </w:rPr>
        <w:t xml:space="preserve">exclusion, </w:t>
      </w:r>
      <w:r w:rsidR="00F322C9">
        <w:rPr>
          <w:rFonts w:cs="Arial"/>
          <w:szCs w:val="24"/>
        </w:rPr>
        <w:t>n</w:t>
      </w:r>
      <w:r w:rsidRPr="00595FE6">
        <w:rPr>
          <w:rFonts w:cs="Arial"/>
          <w:szCs w:val="24"/>
        </w:rPr>
        <w:t xml:space="preserve">ot in </w:t>
      </w:r>
      <w:r w:rsidR="00F322C9">
        <w:rPr>
          <w:rFonts w:cs="Arial"/>
          <w:szCs w:val="24"/>
        </w:rPr>
        <w:t>e</w:t>
      </w:r>
      <w:r w:rsidRPr="00595FE6">
        <w:rPr>
          <w:rFonts w:cs="Arial"/>
          <w:szCs w:val="24"/>
        </w:rPr>
        <w:t xml:space="preserve">ducation, </w:t>
      </w:r>
      <w:r w:rsidR="00F322C9">
        <w:rPr>
          <w:rFonts w:cs="Arial"/>
          <w:szCs w:val="24"/>
        </w:rPr>
        <w:t>e</w:t>
      </w:r>
      <w:r w:rsidRPr="00595FE6">
        <w:rPr>
          <w:rFonts w:cs="Arial"/>
          <w:szCs w:val="24"/>
        </w:rPr>
        <w:t xml:space="preserve">mployment or </w:t>
      </w:r>
      <w:r w:rsidR="00F322C9">
        <w:rPr>
          <w:rFonts w:cs="Arial"/>
          <w:szCs w:val="24"/>
        </w:rPr>
        <w:t>t</w:t>
      </w:r>
      <w:r w:rsidRPr="00595FE6">
        <w:rPr>
          <w:rFonts w:cs="Arial"/>
          <w:szCs w:val="24"/>
        </w:rPr>
        <w:t>raining (NEET), and youth offending services, further impact</w:t>
      </w:r>
      <w:r w:rsidR="00A43DCA">
        <w:rPr>
          <w:rFonts w:cs="Arial"/>
          <w:szCs w:val="24"/>
        </w:rPr>
        <w:t>ing</w:t>
      </w:r>
      <w:r w:rsidRPr="00595FE6">
        <w:rPr>
          <w:rFonts w:cs="Arial"/>
          <w:szCs w:val="24"/>
        </w:rPr>
        <w:t xml:space="preserve"> future education, training and employment opportunities. Parent carers fe</w:t>
      </w:r>
      <w:r w:rsidR="00BA3BBD">
        <w:rPr>
          <w:rFonts w:cs="Arial"/>
          <w:szCs w:val="24"/>
        </w:rPr>
        <w:t>lt</w:t>
      </w:r>
      <w:r w:rsidRPr="00595FE6">
        <w:rPr>
          <w:rFonts w:cs="Arial"/>
          <w:szCs w:val="24"/>
        </w:rPr>
        <w:t xml:space="preserve"> there needs to be more focus on alternative strategies to exclusion, and more educational support for </w:t>
      </w:r>
      <w:r w:rsidR="007E0F84">
        <w:rPr>
          <w:rFonts w:cs="Arial"/>
          <w:szCs w:val="24"/>
        </w:rPr>
        <w:t>B</w:t>
      </w:r>
      <w:r w:rsidR="007E0F84" w:rsidRPr="00595FE6">
        <w:rPr>
          <w:rFonts w:cs="Arial"/>
          <w:szCs w:val="24"/>
        </w:rPr>
        <w:t xml:space="preserve">lack and </w:t>
      </w:r>
      <w:r w:rsidR="007E0F84">
        <w:rPr>
          <w:rFonts w:cs="Arial"/>
          <w:szCs w:val="24"/>
        </w:rPr>
        <w:t>R</w:t>
      </w:r>
      <w:r w:rsidR="007E0F84" w:rsidRPr="00595FE6">
        <w:rPr>
          <w:rFonts w:cs="Arial"/>
          <w:szCs w:val="24"/>
        </w:rPr>
        <w:t xml:space="preserve">acially </w:t>
      </w:r>
      <w:r w:rsidR="007E0F84">
        <w:rPr>
          <w:rFonts w:cs="Arial"/>
          <w:szCs w:val="24"/>
        </w:rPr>
        <w:t>M</w:t>
      </w:r>
      <w:r w:rsidR="007E0F84" w:rsidRPr="00595FE6">
        <w:rPr>
          <w:rFonts w:cs="Arial"/>
          <w:szCs w:val="24"/>
        </w:rPr>
        <w:t>inoritised</w:t>
      </w:r>
      <w:r w:rsidRPr="00595FE6">
        <w:rPr>
          <w:rFonts w:cs="Arial"/>
          <w:szCs w:val="24"/>
        </w:rPr>
        <w:t xml:space="preserve"> young people in the </w:t>
      </w:r>
      <w:r w:rsidR="000F062B" w:rsidRPr="00595FE6">
        <w:rPr>
          <w:rFonts w:cs="Arial"/>
          <w:szCs w:val="24"/>
        </w:rPr>
        <w:t>youth offending service</w:t>
      </w:r>
      <w:r w:rsidRPr="00595FE6">
        <w:rPr>
          <w:rFonts w:cs="Arial"/>
          <w:szCs w:val="24"/>
        </w:rPr>
        <w:t>.</w:t>
      </w:r>
    </w:p>
    <w:p w14:paraId="587E9C57" w14:textId="246DB7E5" w:rsidR="001557A6" w:rsidRPr="00595FE6" w:rsidRDefault="005D38F7" w:rsidP="0096012C">
      <w:pPr>
        <w:pStyle w:val="Heading3"/>
      </w:pPr>
      <w:r w:rsidRPr="00595FE6">
        <w:lastRenderedPageBreak/>
        <w:t>Supportive factors</w:t>
      </w:r>
    </w:p>
    <w:p w14:paraId="1EA8C73F" w14:textId="5A938367" w:rsidR="005D38F7" w:rsidRPr="00595FE6" w:rsidRDefault="005D38F7" w:rsidP="00D9246A">
      <w:pPr>
        <w:spacing w:line="240" w:lineRule="auto"/>
        <w:rPr>
          <w:rFonts w:cs="Arial"/>
          <w:b/>
          <w:bCs/>
          <w:szCs w:val="24"/>
        </w:rPr>
      </w:pPr>
      <w:r w:rsidRPr="00A05984">
        <w:rPr>
          <w:rFonts w:cs="Arial"/>
          <w:b/>
          <w:color w:val="0079C2"/>
          <w:szCs w:val="24"/>
        </w:rPr>
        <w:t>Peer and group support:</w:t>
      </w:r>
      <w:r w:rsidRPr="00595FE6">
        <w:rPr>
          <w:rFonts w:cs="Arial"/>
          <w:szCs w:val="24"/>
        </w:rPr>
        <w:t xml:space="preserve"> Some parent carers </w:t>
      </w:r>
      <w:r w:rsidR="000F7B71" w:rsidRPr="00595FE6">
        <w:rPr>
          <w:rFonts w:cs="Arial"/>
          <w:szCs w:val="24"/>
        </w:rPr>
        <w:t xml:space="preserve">from </w:t>
      </w:r>
      <w:r w:rsidR="000F7B71">
        <w:rPr>
          <w:rFonts w:cs="Arial"/>
          <w:szCs w:val="24"/>
        </w:rPr>
        <w:t>B</w:t>
      </w:r>
      <w:r w:rsidR="000F7B71" w:rsidRPr="00595FE6">
        <w:rPr>
          <w:rFonts w:cs="Arial"/>
          <w:szCs w:val="24"/>
        </w:rPr>
        <w:t>lack</w:t>
      </w:r>
      <w:r w:rsidRPr="00595FE6" w:rsidDel="009F03F1">
        <w:rPr>
          <w:rFonts w:cs="Arial"/>
          <w:szCs w:val="24"/>
        </w:rPr>
        <w:t xml:space="preserve"> and </w:t>
      </w:r>
      <w:r w:rsidR="000F7B71">
        <w:rPr>
          <w:rFonts w:cs="Arial"/>
          <w:szCs w:val="24"/>
        </w:rPr>
        <w:t>R</w:t>
      </w:r>
      <w:r w:rsidR="000F7B71" w:rsidRPr="00595FE6">
        <w:rPr>
          <w:rFonts w:cs="Arial"/>
          <w:szCs w:val="24"/>
        </w:rPr>
        <w:t xml:space="preserve">acially </w:t>
      </w:r>
      <w:r w:rsidR="000F7B71">
        <w:rPr>
          <w:rFonts w:cs="Arial"/>
          <w:szCs w:val="24"/>
        </w:rPr>
        <w:t>M</w:t>
      </w:r>
      <w:r w:rsidR="000F7B71" w:rsidRPr="00595FE6">
        <w:rPr>
          <w:rFonts w:cs="Arial"/>
          <w:szCs w:val="24"/>
        </w:rPr>
        <w:t>inoritised</w:t>
      </w:r>
      <w:r w:rsidRPr="00595FE6">
        <w:rPr>
          <w:rFonts w:cs="Arial"/>
          <w:szCs w:val="24"/>
        </w:rPr>
        <w:t xml:space="preserve"> communities talk</w:t>
      </w:r>
      <w:r w:rsidR="00BA7768">
        <w:rPr>
          <w:rFonts w:cs="Arial"/>
          <w:szCs w:val="24"/>
        </w:rPr>
        <w:t>ed</w:t>
      </w:r>
      <w:r w:rsidRPr="00595FE6">
        <w:rPr>
          <w:rFonts w:cs="Arial"/>
          <w:szCs w:val="24"/>
        </w:rPr>
        <w:t xml:space="preserve"> about the value of peer support groups and mentoring programmes specifically designed for children and young people within these communities. </w:t>
      </w:r>
    </w:p>
    <w:p w14:paraId="4BF08611" w14:textId="75ADCE14" w:rsidR="005D38F7" w:rsidRPr="00595FE6" w:rsidRDefault="005D38F7" w:rsidP="0096012C">
      <w:pPr>
        <w:pStyle w:val="Heading3"/>
      </w:pPr>
      <w:r w:rsidRPr="00595FE6">
        <w:t>What can be improved</w:t>
      </w:r>
    </w:p>
    <w:p w14:paraId="65540D45" w14:textId="0D964AF9" w:rsidR="005D38F7" w:rsidRPr="00595FE6" w:rsidRDefault="005D38F7" w:rsidP="00D9246A">
      <w:pPr>
        <w:spacing w:line="240" w:lineRule="auto"/>
        <w:rPr>
          <w:rFonts w:cs="Arial"/>
          <w:szCs w:val="24"/>
        </w:rPr>
      </w:pPr>
      <w:r w:rsidRPr="00A05984">
        <w:rPr>
          <w:rFonts w:cs="Arial"/>
          <w:b/>
          <w:color w:val="0079C2"/>
          <w:szCs w:val="24"/>
        </w:rPr>
        <w:t>Increased community provision:</w:t>
      </w:r>
      <w:r w:rsidRPr="00595FE6">
        <w:rPr>
          <w:rFonts w:cs="Arial"/>
          <w:szCs w:val="24"/>
        </w:rPr>
        <w:t xml:space="preserve"> Parent carers describe</w:t>
      </w:r>
      <w:r w:rsidR="001E75A6">
        <w:rPr>
          <w:rFonts w:cs="Arial"/>
          <w:szCs w:val="24"/>
        </w:rPr>
        <w:t>d</w:t>
      </w:r>
      <w:r w:rsidRPr="00595FE6">
        <w:rPr>
          <w:rFonts w:cs="Arial"/>
          <w:szCs w:val="24"/>
        </w:rPr>
        <w:t xml:space="preserve"> the need for </w:t>
      </w:r>
      <w:r w:rsidR="007E0F84" w:rsidRPr="00595FE6">
        <w:rPr>
          <w:rFonts w:cs="Arial"/>
          <w:szCs w:val="24"/>
        </w:rPr>
        <w:t xml:space="preserve">targeted </w:t>
      </w:r>
      <w:r w:rsidR="00B4566F" w:rsidRPr="00595FE6">
        <w:rPr>
          <w:rFonts w:cs="Arial"/>
          <w:szCs w:val="24"/>
        </w:rPr>
        <w:t xml:space="preserve">community groups </w:t>
      </w:r>
      <w:r w:rsidRPr="00595FE6">
        <w:rPr>
          <w:rFonts w:cs="Arial"/>
          <w:szCs w:val="24"/>
        </w:rPr>
        <w:t xml:space="preserve">sessions </w:t>
      </w:r>
      <w:r w:rsidR="007E0F84">
        <w:rPr>
          <w:rFonts w:cs="Arial"/>
          <w:szCs w:val="24"/>
        </w:rPr>
        <w:t>for</w:t>
      </w:r>
      <w:r w:rsidRPr="00595FE6">
        <w:rPr>
          <w:rFonts w:cs="Arial"/>
          <w:szCs w:val="24"/>
        </w:rPr>
        <w:t xml:space="preserve"> families from </w:t>
      </w:r>
      <w:r w:rsidR="000F7B71">
        <w:rPr>
          <w:rFonts w:cs="Arial"/>
          <w:szCs w:val="24"/>
        </w:rPr>
        <w:t>B</w:t>
      </w:r>
      <w:r w:rsidR="000F7B71" w:rsidRPr="00595FE6">
        <w:rPr>
          <w:rFonts w:cs="Arial"/>
          <w:szCs w:val="24"/>
        </w:rPr>
        <w:t xml:space="preserve">lack and </w:t>
      </w:r>
      <w:r w:rsidR="000F7B71">
        <w:rPr>
          <w:rFonts w:cs="Arial"/>
          <w:szCs w:val="24"/>
        </w:rPr>
        <w:t>R</w:t>
      </w:r>
      <w:r w:rsidR="000F7B71" w:rsidRPr="00595FE6">
        <w:rPr>
          <w:rFonts w:cs="Arial"/>
          <w:szCs w:val="24"/>
        </w:rPr>
        <w:t xml:space="preserve">acially </w:t>
      </w:r>
      <w:r w:rsidR="000F7B71">
        <w:rPr>
          <w:rFonts w:cs="Arial"/>
          <w:szCs w:val="24"/>
        </w:rPr>
        <w:t>M</w:t>
      </w:r>
      <w:r w:rsidR="000F7B71" w:rsidRPr="00595FE6">
        <w:rPr>
          <w:rFonts w:cs="Arial"/>
          <w:szCs w:val="24"/>
        </w:rPr>
        <w:t>inoritised</w:t>
      </w:r>
      <w:r w:rsidRPr="00595FE6">
        <w:rPr>
          <w:rFonts w:cs="Arial"/>
          <w:szCs w:val="24"/>
        </w:rPr>
        <w:t xml:space="preserve"> communities as well as other groups that are currently underserved such as LGBQ+ </w:t>
      </w:r>
      <w:r w:rsidR="007E0F84">
        <w:rPr>
          <w:rFonts w:cs="Arial"/>
          <w:szCs w:val="24"/>
        </w:rPr>
        <w:t>and TNBI</w:t>
      </w:r>
      <w:r w:rsidRPr="00595FE6">
        <w:rPr>
          <w:rFonts w:cs="Arial"/>
          <w:szCs w:val="24"/>
        </w:rPr>
        <w:t xml:space="preserve"> young people with learning disabilities.</w:t>
      </w:r>
    </w:p>
    <w:p w14:paraId="648DFAC3" w14:textId="0940319D" w:rsidR="005D38F7" w:rsidRPr="00595FE6" w:rsidRDefault="005D38F7" w:rsidP="00D9246A">
      <w:pPr>
        <w:spacing w:line="240" w:lineRule="auto"/>
        <w:rPr>
          <w:rFonts w:cs="Arial"/>
          <w:szCs w:val="24"/>
        </w:rPr>
      </w:pPr>
      <w:r w:rsidRPr="00A05984">
        <w:rPr>
          <w:rFonts w:cs="Arial"/>
          <w:b/>
          <w:color w:val="0079C2"/>
          <w:szCs w:val="24"/>
        </w:rPr>
        <w:t xml:space="preserve">Cultural competency &amp; trauma-informed support: </w:t>
      </w:r>
      <w:r w:rsidRPr="00595FE6">
        <w:rPr>
          <w:rFonts w:cs="Arial"/>
          <w:szCs w:val="24"/>
        </w:rPr>
        <w:t>Several reports emphasise</w:t>
      </w:r>
      <w:r w:rsidR="00737554">
        <w:rPr>
          <w:rFonts w:cs="Arial"/>
          <w:szCs w:val="24"/>
        </w:rPr>
        <w:t>d</w:t>
      </w:r>
      <w:r w:rsidRPr="00595FE6">
        <w:rPr>
          <w:rFonts w:cs="Arial"/>
          <w:szCs w:val="24"/>
        </w:rPr>
        <w:t xml:space="preserve"> the need for culturally competent services</w:t>
      </w:r>
      <w:r w:rsidR="007E0F84">
        <w:rPr>
          <w:rFonts w:cs="Arial"/>
          <w:szCs w:val="24"/>
        </w:rPr>
        <w:t xml:space="preserve"> and </w:t>
      </w:r>
      <w:r w:rsidR="007E0F84" w:rsidRPr="00595FE6">
        <w:rPr>
          <w:rFonts w:cs="Arial"/>
          <w:szCs w:val="24"/>
        </w:rPr>
        <w:t>a need for trauma-informed practice</w:t>
      </w:r>
      <w:r w:rsidRPr="00595FE6">
        <w:rPr>
          <w:rFonts w:cs="Arial"/>
          <w:szCs w:val="24"/>
        </w:rPr>
        <w:t xml:space="preserve">. One report mentioned the value of inclusion and diversity training programmes working particularly with schools and the police. </w:t>
      </w:r>
    </w:p>
    <w:p w14:paraId="461487A0" w14:textId="2EDE03E9" w:rsidR="00BF25AF" w:rsidRDefault="005D38F7" w:rsidP="00D9246A">
      <w:pPr>
        <w:spacing w:line="240" w:lineRule="auto"/>
        <w:rPr>
          <w:rFonts w:ascii="Georgia" w:eastAsia="Calibri" w:hAnsi="Georgia" w:cs="Times New Roman"/>
          <w:b/>
          <w:color w:val="086A76"/>
          <w:kern w:val="28"/>
          <w:sz w:val="36"/>
          <w:szCs w:val="36"/>
        </w:rPr>
      </w:pPr>
      <w:r w:rsidRPr="00A05984">
        <w:rPr>
          <w:rFonts w:cs="Arial"/>
          <w:b/>
          <w:color w:val="0079C2"/>
          <w:szCs w:val="24"/>
        </w:rPr>
        <w:t>Inclusion &amp; co-production:</w:t>
      </w:r>
      <w:r w:rsidRPr="00595FE6">
        <w:rPr>
          <w:rFonts w:cs="Arial"/>
          <w:b/>
          <w:bCs/>
          <w:szCs w:val="24"/>
        </w:rPr>
        <w:t xml:space="preserve"> </w:t>
      </w:r>
      <w:r w:rsidR="00825663" w:rsidRPr="00595FE6">
        <w:rPr>
          <w:rFonts w:cs="Arial"/>
          <w:szCs w:val="24"/>
        </w:rPr>
        <w:t>Feedback highlight</w:t>
      </w:r>
      <w:r w:rsidR="005222B4">
        <w:rPr>
          <w:rFonts w:cs="Arial"/>
          <w:szCs w:val="24"/>
        </w:rPr>
        <w:t>ed</w:t>
      </w:r>
      <w:r w:rsidR="00825663" w:rsidRPr="00595FE6">
        <w:rPr>
          <w:rFonts w:cs="Arial"/>
          <w:szCs w:val="24"/>
        </w:rPr>
        <w:t xml:space="preserve"> that a</w:t>
      </w:r>
      <w:r w:rsidRPr="00595FE6">
        <w:rPr>
          <w:rFonts w:cs="Arial"/>
          <w:szCs w:val="24"/>
        </w:rPr>
        <w:t xml:space="preserve">cross services there is a need to increase the diversity of staff and trainers, </w:t>
      </w:r>
      <w:r w:rsidR="007E0F84">
        <w:rPr>
          <w:rFonts w:cs="Arial"/>
          <w:szCs w:val="24"/>
        </w:rPr>
        <w:t>and</w:t>
      </w:r>
      <w:r w:rsidRPr="00595FE6">
        <w:rPr>
          <w:rFonts w:cs="Arial"/>
          <w:szCs w:val="24"/>
        </w:rPr>
        <w:t xml:space="preserve"> consulting with people with lived experience to co-design services.</w:t>
      </w:r>
      <w:r w:rsidR="00BF25AF">
        <w:br w:type="page"/>
      </w:r>
    </w:p>
    <w:p w14:paraId="0CAF86F8" w14:textId="037860A9" w:rsidR="005B1E1A" w:rsidRPr="00595FE6" w:rsidRDefault="002559C3" w:rsidP="00D9246A">
      <w:pPr>
        <w:pStyle w:val="Heading1"/>
        <w:spacing w:before="0"/>
      </w:pPr>
      <w:bookmarkStart w:id="215" w:name="_Toc218690646"/>
      <w:bookmarkEnd w:id="199"/>
      <w:r w:rsidRPr="00595FE6">
        <w:lastRenderedPageBreak/>
        <w:t>Summary of findings</w:t>
      </w:r>
      <w:bookmarkEnd w:id="215"/>
    </w:p>
    <w:p w14:paraId="346D4EDC" w14:textId="3C43AE64" w:rsidR="007807AE" w:rsidRPr="00876C52" w:rsidRDefault="00F53301" w:rsidP="00D9246A">
      <w:pPr>
        <w:spacing w:line="240" w:lineRule="auto"/>
        <w:rPr>
          <w:rFonts w:cs="Arial"/>
          <w:szCs w:val="24"/>
        </w:rPr>
      </w:pPr>
      <w:r>
        <w:t xml:space="preserve">Included in the Executive Summary </w:t>
      </w:r>
    </w:p>
    <w:p w14:paraId="346D4EDD" w14:textId="501B3BD4" w:rsidR="00743D9F" w:rsidRPr="00595FE6" w:rsidRDefault="00142B96" w:rsidP="00D9246A">
      <w:pPr>
        <w:pStyle w:val="Heading1"/>
        <w:spacing w:before="0"/>
      </w:pPr>
      <w:bookmarkStart w:id="216" w:name="_Toc20838497"/>
      <w:bookmarkStart w:id="217" w:name="_Toc218690647"/>
      <w:r w:rsidRPr="00595FE6">
        <w:t>Recommendations</w:t>
      </w:r>
      <w:bookmarkEnd w:id="216"/>
      <w:bookmarkEnd w:id="217"/>
    </w:p>
    <w:p w14:paraId="480DD795" w14:textId="77777777" w:rsidR="00F53301" w:rsidRPr="00876C52" w:rsidRDefault="00F53301" w:rsidP="00F53301">
      <w:pPr>
        <w:spacing w:line="240" w:lineRule="auto"/>
        <w:rPr>
          <w:rFonts w:cs="Arial"/>
          <w:szCs w:val="24"/>
        </w:rPr>
      </w:pPr>
      <w:r>
        <w:t xml:space="preserve">Included in the Executive Summary </w:t>
      </w:r>
    </w:p>
    <w:p w14:paraId="346D4EE2" w14:textId="47A44C79" w:rsidR="007807AE" w:rsidRPr="0059798C" w:rsidRDefault="007807AE" w:rsidP="00D9246A">
      <w:pPr>
        <w:pStyle w:val="ListParagraph"/>
        <w:numPr>
          <w:ilvl w:val="0"/>
          <w:numId w:val="35"/>
        </w:numPr>
        <w:spacing w:line="240" w:lineRule="auto"/>
      </w:pPr>
      <w:r w:rsidRPr="00876C52">
        <w:br w:type="page"/>
      </w:r>
    </w:p>
    <w:p w14:paraId="5F5693D7" w14:textId="77777777" w:rsidR="00997D43" w:rsidRPr="00070524" w:rsidRDefault="00997D43" w:rsidP="00D9246A">
      <w:pPr>
        <w:pStyle w:val="Heading1"/>
        <w:spacing w:before="0"/>
      </w:pPr>
      <w:bookmarkStart w:id="218" w:name="_Glossary"/>
      <w:bookmarkStart w:id="219" w:name="_Toc218690648"/>
      <w:bookmarkEnd w:id="218"/>
      <w:r w:rsidRPr="00070524">
        <w:lastRenderedPageBreak/>
        <w:t>Glossary</w:t>
      </w:r>
      <w:bookmarkEnd w:id="219"/>
    </w:p>
    <w:p w14:paraId="17727ECB" w14:textId="77777777" w:rsidR="00997D43" w:rsidRPr="00636D96" w:rsidRDefault="00997D43" w:rsidP="00D9246A">
      <w:pPr>
        <w:spacing w:line="240" w:lineRule="auto"/>
        <w:rPr>
          <w:b/>
          <w:bCs/>
        </w:rPr>
      </w:pPr>
      <w:r w:rsidRPr="00636D96">
        <w:rPr>
          <w:b/>
          <w:bCs/>
        </w:rPr>
        <w:t xml:space="preserve">Amaze </w:t>
      </w:r>
    </w:p>
    <w:p w14:paraId="1E76E380" w14:textId="77777777" w:rsidR="00997D43" w:rsidRPr="00AA621C" w:rsidRDefault="00997D43" w:rsidP="00D9246A">
      <w:pPr>
        <w:spacing w:line="240" w:lineRule="auto"/>
      </w:pPr>
      <w:r w:rsidRPr="00AA621C">
        <w:t>Amaze is a charity that gives information, advice and support to families with children and young people with special educational needs and disabilities in Brighton &amp; Hove and East Sussex</w:t>
      </w:r>
    </w:p>
    <w:p w14:paraId="5202705A" w14:textId="699E68E4" w:rsidR="00997D43" w:rsidRPr="00636D96" w:rsidRDefault="00997D43" w:rsidP="00D9246A">
      <w:pPr>
        <w:spacing w:line="240" w:lineRule="auto"/>
        <w:rPr>
          <w:b/>
          <w:bCs/>
        </w:rPr>
      </w:pPr>
      <w:r w:rsidRPr="00636D96">
        <w:rPr>
          <w:b/>
          <w:bCs/>
        </w:rPr>
        <w:t xml:space="preserve">Brighton and Hove Inclusion Service (BHISS)  </w:t>
      </w:r>
    </w:p>
    <w:p w14:paraId="429D1825" w14:textId="77777777" w:rsidR="00997D43" w:rsidRPr="00AA621C" w:rsidRDefault="00997D43" w:rsidP="00D9246A">
      <w:pPr>
        <w:spacing w:line="240" w:lineRule="auto"/>
      </w:pPr>
      <w:r w:rsidRPr="00AA621C">
        <w:t>BHISS provides access to highly skilled and experienced professionals including educational psychologists, specialist teachers and practitioners</w:t>
      </w:r>
    </w:p>
    <w:p w14:paraId="1FB4090D" w14:textId="77777777" w:rsidR="00997D43" w:rsidRPr="00D05E74" w:rsidRDefault="00997D43" w:rsidP="00D9246A">
      <w:pPr>
        <w:spacing w:line="240" w:lineRule="auto"/>
        <w:rPr>
          <w:b/>
          <w:bCs/>
        </w:rPr>
      </w:pPr>
      <w:r w:rsidRPr="00D05E74">
        <w:rPr>
          <w:b/>
          <w:bCs/>
        </w:rPr>
        <w:t>Common neurodivergent conditions</w:t>
      </w:r>
    </w:p>
    <w:p w14:paraId="58CC07BF" w14:textId="77777777" w:rsidR="00997D43" w:rsidRDefault="00997D43" w:rsidP="00D9246A">
      <w:pPr>
        <w:spacing w:line="240" w:lineRule="auto"/>
      </w:pPr>
      <w:r w:rsidRPr="00595FE6">
        <w:t>Neurodiversity is the variation in neurocognitive ability of all people. “</w:t>
      </w:r>
      <w:r w:rsidRPr="002D6B5E">
        <w:t>Neurodivergent</w:t>
      </w:r>
      <w:r w:rsidRPr="00595FE6">
        <w:t>”, “</w:t>
      </w:r>
      <w:r w:rsidRPr="002D6B5E">
        <w:t>neurominority</w:t>
      </w:r>
      <w:r w:rsidRPr="00595FE6">
        <w:t>” or</w:t>
      </w:r>
      <w:r w:rsidRPr="002D6B5E">
        <w:t xml:space="preserve"> </w:t>
      </w:r>
      <w:r w:rsidRPr="00595FE6">
        <w:t>“</w:t>
      </w:r>
      <w:proofErr w:type="spellStart"/>
      <w:r w:rsidRPr="00595FE6">
        <w:t>n</w:t>
      </w:r>
      <w:r w:rsidRPr="002D6B5E">
        <w:t>eurodistinct</w:t>
      </w:r>
      <w:proofErr w:type="spellEnd"/>
      <w:r w:rsidRPr="002D6B5E">
        <w:t>”</w:t>
      </w:r>
      <w:r w:rsidRPr="00595FE6">
        <w:t xml:space="preserve"> may be used to refer to people with less typical neurotypes, such as attention deficit hyperactivity disorder (ADHD), autism, learning difficulties (dyslexia, dyscalculia, dysgraphia), dyspraxia/ developmental co-ordination disorder, foetal alcohol spectrum disorders, language disorders, attachment disorders and Tourette syndrome.  </w:t>
      </w:r>
    </w:p>
    <w:p w14:paraId="265203EE" w14:textId="77777777" w:rsidR="00997D43" w:rsidRPr="00D05E74" w:rsidRDefault="00997D43" w:rsidP="00D9246A">
      <w:pPr>
        <w:spacing w:line="240" w:lineRule="auto"/>
        <w:rPr>
          <w:b/>
          <w:bCs/>
        </w:rPr>
      </w:pPr>
      <w:r w:rsidRPr="00D05E74">
        <w:rPr>
          <w:b/>
          <w:bCs/>
        </w:rPr>
        <w:t>Children’s social care (CSC)</w:t>
      </w:r>
    </w:p>
    <w:p w14:paraId="336D7743" w14:textId="77777777" w:rsidR="00997D43" w:rsidRDefault="00997D43" w:rsidP="00D9246A">
      <w:pPr>
        <w:spacing w:line="240" w:lineRule="auto"/>
        <w:rPr>
          <w:rFonts w:cs="Arial"/>
          <w:szCs w:val="24"/>
        </w:rPr>
      </w:pPr>
      <w:r>
        <w:rPr>
          <w:rFonts w:cs="Arial"/>
          <w:szCs w:val="24"/>
        </w:rPr>
        <w:t>Children’s social care (CSC) exists to support children and families to keep children safe and intervene if there is a risk of harm and provide care for those who need it. There are three groups of children that fall under CSC:</w:t>
      </w:r>
    </w:p>
    <w:p w14:paraId="098508DB" w14:textId="77777777" w:rsidR="00997D43" w:rsidRDefault="00997D43" w:rsidP="009858E3">
      <w:pPr>
        <w:pStyle w:val="ListParagraph"/>
        <w:numPr>
          <w:ilvl w:val="0"/>
          <w:numId w:val="23"/>
        </w:numPr>
        <w:spacing w:line="240" w:lineRule="auto"/>
        <w:rPr>
          <w:rFonts w:cs="Arial"/>
          <w:szCs w:val="24"/>
        </w:rPr>
      </w:pPr>
      <w:r>
        <w:rPr>
          <w:rFonts w:cs="Arial"/>
          <w:szCs w:val="24"/>
        </w:rPr>
        <w:t>C</w:t>
      </w:r>
      <w:r w:rsidRPr="00457922">
        <w:rPr>
          <w:rFonts w:cs="Arial"/>
          <w:szCs w:val="24"/>
        </w:rPr>
        <w:t>hildren in need (</w:t>
      </w:r>
      <w:proofErr w:type="spellStart"/>
      <w:r w:rsidRPr="00457922">
        <w:rPr>
          <w:rFonts w:cs="Arial"/>
          <w:szCs w:val="24"/>
        </w:rPr>
        <w:t>CiN</w:t>
      </w:r>
      <w:proofErr w:type="spellEnd"/>
      <w:r w:rsidRPr="00457922">
        <w:rPr>
          <w:rFonts w:cs="Arial"/>
          <w:szCs w:val="24"/>
        </w:rPr>
        <w:t>, including children formerly in need)</w:t>
      </w:r>
      <w:r>
        <w:rPr>
          <w:rFonts w:cs="Arial"/>
          <w:szCs w:val="24"/>
        </w:rPr>
        <w:t xml:space="preserve"> – </w:t>
      </w:r>
      <w:r w:rsidRPr="00A568F0">
        <w:rPr>
          <w:rFonts w:cs="Arial"/>
          <w:szCs w:val="24"/>
        </w:rPr>
        <w:t>Ch</w:t>
      </w:r>
      <w:r>
        <w:rPr>
          <w:rFonts w:cs="Arial"/>
          <w:szCs w:val="24"/>
        </w:rPr>
        <w:t xml:space="preserve">ildren that </w:t>
      </w:r>
      <w:r w:rsidRPr="00A568F0">
        <w:rPr>
          <w:rFonts w:cs="Arial"/>
          <w:szCs w:val="24"/>
        </w:rPr>
        <w:t>require additional help from CSC services to support or maintain their health and well-being and/or who are disabled</w:t>
      </w:r>
      <w:r>
        <w:rPr>
          <w:rFonts w:cs="Arial"/>
          <w:szCs w:val="24"/>
        </w:rPr>
        <w:t>.</w:t>
      </w:r>
    </w:p>
    <w:p w14:paraId="4FB15FEC" w14:textId="77777777" w:rsidR="00997D43" w:rsidRDefault="00997D43" w:rsidP="009858E3">
      <w:pPr>
        <w:pStyle w:val="ListParagraph"/>
        <w:numPr>
          <w:ilvl w:val="0"/>
          <w:numId w:val="23"/>
        </w:numPr>
        <w:spacing w:line="240" w:lineRule="auto"/>
        <w:rPr>
          <w:rFonts w:cs="Arial"/>
          <w:szCs w:val="24"/>
        </w:rPr>
      </w:pPr>
      <w:r>
        <w:rPr>
          <w:rFonts w:cs="Arial"/>
          <w:szCs w:val="24"/>
        </w:rPr>
        <w:t>C</w:t>
      </w:r>
      <w:r w:rsidRPr="00861618">
        <w:rPr>
          <w:rFonts w:cs="Arial"/>
          <w:szCs w:val="24"/>
        </w:rPr>
        <w:t>hild protection plans (CPPs</w:t>
      </w:r>
      <w:r>
        <w:rPr>
          <w:rFonts w:cs="Arial"/>
          <w:szCs w:val="24"/>
        </w:rPr>
        <w:t xml:space="preserve">, </w:t>
      </w:r>
      <w:r w:rsidRPr="00861618">
        <w:rPr>
          <w:rFonts w:cs="Arial"/>
          <w:szCs w:val="24"/>
        </w:rPr>
        <w:t>those on or formerly on child protections plans</w:t>
      </w:r>
      <w:r>
        <w:rPr>
          <w:rFonts w:cs="Arial"/>
          <w:szCs w:val="24"/>
        </w:rPr>
        <w:t xml:space="preserve">) - </w:t>
      </w:r>
      <w:r w:rsidRPr="00C57386">
        <w:rPr>
          <w:rFonts w:cs="Arial"/>
          <w:szCs w:val="24"/>
        </w:rPr>
        <w:t>A plan is a</w:t>
      </w:r>
      <w:r>
        <w:rPr>
          <w:rFonts w:cs="Arial"/>
          <w:szCs w:val="24"/>
        </w:rPr>
        <w:t>s a result</w:t>
      </w:r>
      <w:r w:rsidRPr="00C57386">
        <w:rPr>
          <w:rFonts w:cs="Arial"/>
          <w:szCs w:val="24"/>
        </w:rPr>
        <w:t xml:space="preserve"> </w:t>
      </w:r>
      <w:r>
        <w:rPr>
          <w:rFonts w:cs="Arial"/>
          <w:szCs w:val="24"/>
        </w:rPr>
        <w:t>of</w:t>
      </w:r>
      <w:r w:rsidRPr="00C57386">
        <w:rPr>
          <w:rFonts w:cs="Arial"/>
          <w:szCs w:val="24"/>
        </w:rPr>
        <w:t xml:space="preserve"> local authority child protection investigations, where a child is known or suspected to be suffering or at risk of suffering significant harm</w:t>
      </w:r>
      <w:r>
        <w:rPr>
          <w:rFonts w:cs="Arial"/>
          <w:szCs w:val="24"/>
        </w:rPr>
        <w:t>.</w:t>
      </w:r>
    </w:p>
    <w:p w14:paraId="62B9BA92" w14:textId="77777777" w:rsidR="00997D43" w:rsidRPr="00457922" w:rsidRDefault="00997D43" w:rsidP="009858E3">
      <w:pPr>
        <w:pStyle w:val="ListParagraph"/>
        <w:numPr>
          <w:ilvl w:val="0"/>
          <w:numId w:val="23"/>
        </w:numPr>
        <w:spacing w:line="240" w:lineRule="auto"/>
        <w:rPr>
          <w:rFonts w:cs="Arial"/>
          <w:szCs w:val="24"/>
        </w:rPr>
      </w:pPr>
      <w:r>
        <w:rPr>
          <w:rFonts w:cs="Arial"/>
          <w:szCs w:val="24"/>
        </w:rPr>
        <w:t>C</w:t>
      </w:r>
      <w:r w:rsidRPr="0008412D">
        <w:rPr>
          <w:rFonts w:cs="Arial"/>
          <w:szCs w:val="24"/>
        </w:rPr>
        <w:t>hildren looked after (CLA, including children formerly looked after)</w:t>
      </w:r>
      <w:r>
        <w:rPr>
          <w:rFonts w:cs="Arial"/>
          <w:szCs w:val="24"/>
        </w:rPr>
        <w:t xml:space="preserve"> – children who live away from their family. </w:t>
      </w:r>
    </w:p>
    <w:p w14:paraId="0A376B14" w14:textId="77777777" w:rsidR="00997D43" w:rsidRPr="00D05E74" w:rsidRDefault="00997D43" w:rsidP="00D9246A">
      <w:pPr>
        <w:spacing w:line="240" w:lineRule="auto"/>
        <w:rPr>
          <w:b/>
          <w:bCs/>
        </w:rPr>
      </w:pPr>
      <w:r w:rsidRPr="00D05E74">
        <w:rPr>
          <w:b/>
          <w:bCs/>
        </w:rPr>
        <w:t>Intersectionality</w:t>
      </w:r>
    </w:p>
    <w:p w14:paraId="0B13914C" w14:textId="77777777" w:rsidR="00997D43" w:rsidRPr="00875C67" w:rsidRDefault="00997D43" w:rsidP="00D9246A">
      <w:pPr>
        <w:spacing w:line="240" w:lineRule="auto"/>
      </w:pPr>
      <w:r w:rsidRPr="00875C67">
        <w:t>Intersectional thinking, or intersectionality, invites us to explore:</w:t>
      </w:r>
    </w:p>
    <w:p w14:paraId="08B9B87A" w14:textId="77777777" w:rsidR="00997D43" w:rsidRPr="00875C67" w:rsidRDefault="00997D43" w:rsidP="009858E3">
      <w:pPr>
        <w:numPr>
          <w:ilvl w:val="0"/>
          <w:numId w:val="20"/>
        </w:numPr>
        <w:spacing w:line="240" w:lineRule="auto"/>
      </w:pPr>
      <w:r w:rsidRPr="00875C67">
        <w:t>how people experience the world</w:t>
      </w:r>
    </w:p>
    <w:p w14:paraId="57E6C5B5" w14:textId="77777777" w:rsidR="00997D43" w:rsidRPr="00875C67" w:rsidRDefault="00997D43" w:rsidP="009858E3">
      <w:pPr>
        <w:numPr>
          <w:ilvl w:val="0"/>
          <w:numId w:val="20"/>
        </w:numPr>
        <w:spacing w:line="240" w:lineRule="auto"/>
      </w:pPr>
      <w:r w:rsidRPr="00875C67">
        <w:t>how this impacts the way we interact with others</w:t>
      </w:r>
    </w:p>
    <w:p w14:paraId="4B3BA318" w14:textId="77777777" w:rsidR="00997D43" w:rsidRPr="00875C67" w:rsidRDefault="00997D43" w:rsidP="009858E3">
      <w:pPr>
        <w:numPr>
          <w:ilvl w:val="0"/>
          <w:numId w:val="20"/>
        </w:numPr>
        <w:spacing w:line="240" w:lineRule="auto"/>
      </w:pPr>
      <w:r w:rsidRPr="00875C67">
        <w:t>the extent to which we feel able to share our lived realities</w:t>
      </w:r>
    </w:p>
    <w:p w14:paraId="49ECB09A" w14:textId="77777777" w:rsidR="00997D43" w:rsidRPr="00875C67" w:rsidRDefault="00997D43" w:rsidP="00D9246A">
      <w:pPr>
        <w:spacing w:line="240" w:lineRule="auto"/>
      </w:pPr>
      <w:r w:rsidRPr="00875C67">
        <w:t>These experiences are shaped and influenced by aspects of our identity, such as our:</w:t>
      </w:r>
    </w:p>
    <w:p w14:paraId="183FD878" w14:textId="77777777" w:rsidR="00997D43" w:rsidRPr="00875C67" w:rsidRDefault="00997D43" w:rsidP="009858E3">
      <w:pPr>
        <w:numPr>
          <w:ilvl w:val="0"/>
          <w:numId w:val="21"/>
        </w:numPr>
        <w:spacing w:line="240" w:lineRule="auto"/>
      </w:pPr>
      <w:r w:rsidRPr="00875C67">
        <w:t>ethnicity</w:t>
      </w:r>
    </w:p>
    <w:p w14:paraId="646022DF" w14:textId="77777777" w:rsidR="00997D43" w:rsidRPr="00875C67" w:rsidRDefault="00997D43" w:rsidP="009858E3">
      <w:pPr>
        <w:numPr>
          <w:ilvl w:val="0"/>
          <w:numId w:val="21"/>
        </w:numPr>
        <w:spacing w:line="240" w:lineRule="auto"/>
      </w:pPr>
      <w:r w:rsidRPr="00875C67">
        <w:t>age</w:t>
      </w:r>
    </w:p>
    <w:p w14:paraId="5726B674" w14:textId="77777777" w:rsidR="00997D43" w:rsidRPr="00875C67" w:rsidRDefault="00997D43" w:rsidP="009858E3">
      <w:pPr>
        <w:numPr>
          <w:ilvl w:val="0"/>
          <w:numId w:val="21"/>
        </w:numPr>
        <w:spacing w:line="240" w:lineRule="auto"/>
      </w:pPr>
      <w:r w:rsidRPr="00875C67">
        <w:t>gender</w:t>
      </w:r>
    </w:p>
    <w:p w14:paraId="03325A22" w14:textId="77777777" w:rsidR="00997D43" w:rsidRPr="00875C67" w:rsidRDefault="00997D43" w:rsidP="009858E3">
      <w:pPr>
        <w:numPr>
          <w:ilvl w:val="0"/>
          <w:numId w:val="21"/>
        </w:numPr>
        <w:spacing w:line="240" w:lineRule="auto"/>
      </w:pPr>
      <w:r w:rsidRPr="00875C67">
        <w:t>sexual orientation</w:t>
      </w:r>
    </w:p>
    <w:p w14:paraId="3DB88399" w14:textId="77777777" w:rsidR="00997D43" w:rsidRPr="00875C67" w:rsidRDefault="00997D43" w:rsidP="009858E3">
      <w:pPr>
        <w:numPr>
          <w:ilvl w:val="0"/>
          <w:numId w:val="21"/>
        </w:numPr>
        <w:spacing w:line="240" w:lineRule="auto"/>
      </w:pPr>
      <w:r w:rsidRPr="00875C67">
        <w:t>class</w:t>
      </w:r>
    </w:p>
    <w:p w14:paraId="6A9D55BB" w14:textId="77777777" w:rsidR="00997D43" w:rsidRPr="00875C67" w:rsidRDefault="00997D43" w:rsidP="009858E3">
      <w:pPr>
        <w:numPr>
          <w:ilvl w:val="0"/>
          <w:numId w:val="21"/>
        </w:numPr>
        <w:spacing w:line="240" w:lineRule="auto"/>
        <w:ind w:left="714" w:hanging="357"/>
      </w:pPr>
      <w:r w:rsidRPr="00875C67">
        <w:t>abilitie</w:t>
      </w:r>
      <w:r>
        <w:t>s</w:t>
      </w:r>
    </w:p>
    <w:p w14:paraId="30EECCEA" w14:textId="05168C30" w:rsidR="00997D43" w:rsidRPr="00D05E74" w:rsidRDefault="00997D43" w:rsidP="00D9246A">
      <w:pPr>
        <w:spacing w:line="240" w:lineRule="auto"/>
        <w:rPr>
          <w:b/>
          <w:bCs/>
        </w:rPr>
      </w:pPr>
      <w:r w:rsidRPr="00D05E74">
        <w:rPr>
          <w:b/>
          <w:bCs/>
        </w:rPr>
        <w:t>LGBQ+</w:t>
      </w:r>
      <w:r w:rsidR="00B724A4">
        <w:rPr>
          <w:b/>
          <w:bCs/>
        </w:rPr>
        <w:t xml:space="preserve"> </w:t>
      </w:r>
      <w:r w:rsidR="00BA078D">
        <w:rPr>
          <w:b/>
          <w:bCs/>
        </w:rPr>
        <w:t>(</w:t>
      </w:r>
      <w:r w:rsidR="003F5D87">
        <w:rPr>
          <w:b/>
          <w:bCs/>
        </w:rPr>
        <w:t>s</w:t>
      </w:r>
      <w:r w:rsidR="00BA078D">
        <w:rPr>
          <w:b/>
          <w:bCs/>
        </w:rPr>
        <w:t>exual or</w:t>
      </w:r>
      <w:r w:rsidR="003F5D87">
        <w:rPr>
          <w:b/>
          <w:bCs/>
        </w:rPr>
        <w:t>ientation)</w:t>
      </w:r>
    </w:p>
    <w:p w14:paraId="5437E8A6" w14:textId="7B353AFD" w:rsidR="00997D43" w:rsidRDefault="00997D43" w:rsidP="00D9246A">
      <w:pPr>
        <w:spacing w:line="240" w:lineRule="auto"/>
      </w:pPr>
      <w:r w:rsidRPr="00E40684">
        <w:t xml:space="preserve">The acronym for Lesbian, Gay, Bi, Queer, Questioning and Ace (asexual). In this document various acronyms are used according to the specific sexual orientation </w:t>
      </w:r>
      <w:r w:rsidR="008654EA">
        <w:t>(</w:t>
      </w:r>
      <w:r w:rsidRPr="00E40684">
        <w:t xml:space="preserve">and </w:t>
      </w:r>
      <w:r w:rsidR="008654EA">
        <w:lastRenderedPageBreak/>
        <w:t xml:space="preserve">sometimes combined with </w:t>
      </w:r>
      <w:r w:rsidRPr="00E40684">
        <w:t>gender identities</w:t>
      </w:r>
      <w:r w:rsidR="00D65052">
        <w:t>, for example LG</w:t>
      </w:r>
      <w:r w:rsidR="008654EA">
        <w:t>BTQ+,</w:t>
      </w:r>
      <w:r w:rsidR="00D30A18">
        <w:t xml:space="preserve">) </w:t>
      </w:r>
      <w:r w:rsidRPr="00E40684">
        <w:t>recorded in each piece of research or data. For this reason, the acronyms may vary.</w:t>
      </w:r>
      <w:r w:rsidR="00745B55">
        <w:t xml:space="preserve"> </w:t>
      </w:r>
    </w:p>
    <w:p w14:paraId="09641244" w14:textId="59A9434F" w:rsidR="00BA11D4" w:rsidRDefault="00BA11D4" w:rsidP="00D9246A">
      <w:pPr>
        <w:spacing w:line="240" w:lineRule="auto"/>
        <w:rPr>
          <w:b/>
          <w:bCs/>
        </w:rPr>
      </w:pPr>
      <w:r w:rsidRPr="00BA11D4">
        <w:rPr>
          <w:b/>
          <w:bCs/>
        </w:rPr>
        <w:t>TNBI</w:t>
      </w:r>
      <w:r w:rsidR="00C26597">
        <w:rPr>
          <w:b/>
          <w:bCs/>
        </w:rPr>
        <w:t xml:space="preserve"> (gender identit</w:t>
      </w:r>
      <w:r w:rsidR="008A49BF">
        <w:rPr>
          <w:b/>
          <w:bCs/>
        </w:rPr>
        <w:t>y</w:t>
      </w:r>
      <w:r w:rsidR="00C26597">
        <w:rPr>
          <w:b/>
          <w:bCs/>
        </w:rPr>
        <w:t>)</w:t>
      </w:r>
    </w:p>
    <w:p w14:paraId="01796314" w14:textId="357B2F95" w:rsidR="00182547" w:rsidRDefault="000B3D64" w:rsidP="00182547">
      <w:pPr>
        <w:spacing w:line="240" w:lineRule="auto"/>
      </w:pPr>
      <w:r w:rsidRPr="003F3AB2">
        <w:t xml:space="preserve">The acronym for Trans, non-binary </w:t>
      </w:r>
      <w:r w:rsidR="003F3AB2" w:rsidRPr="003F3AB2">
        <w:t>and Intersex</w:t>
      </w:r>
      <w:r w:rsidR="00197EFE">
        <w:t xml:space="preserve"> people</w:t>
      </w:r>
      <w:r w:rsidR="00C03869">
        <w:t>.</w:t>
      </w:r>
      <w:r w:rsidR="00182547">
        <w:t xml:space="preserve"> </w:t>
      </w:r>
      <w:r w:rsidR="00182547" w:rsidRPr="00E40684">
        <w:t xml:space="preserve">In this document various acronyms are used according to the specific gender identities </w:t>
      </w:r>
      <w:r w:rsidR="006626F0">
        <w:t>(</w:t>
      </w:r>
      <w:r w:rsidR="006626F0" w:rsidRPr="00E40684">
        <w:t xml:space="preserve">and </w:t>
      </w:r>
      <w:r w:rsidR="006626F0">
        <w:t xml:space="preserve">sometimes combined with </w:t>
      </w:r>
      <w:r w:rsidR="006626F0" w:rsidRPr="00E40684">
        <w:t>sexual</w:t>
      </w:r>
      <w:r w:rsidR="008A49BF">
        <w:t xml:space="preserve"> orientation</w:t>
      </w:r>
      <w:r w:rsidR="006626F0">
        <w:t>, for example LGBTQ+)</w:t>
      </w:r>
      <w:r w:rsidR="006626F0" w:rsidRPr="00E40684">
        <w:t xml:space="preserve"> </w:t>
      </w:r>
      <w:r w:rsidR="00182547" w:rsidRPr="00E40684">
        <w:t>recorded in each piece of research or data. For this reason, the acronyms may vary.</w:t>
      </w:r>
      <w:r w:rsidR="00182547">
        <w:t xml:space="preserve"> </w:t>
      </w:r>
    </w:p>
    <w:p w14:paraId="249EB308" w14:textId="28DA97FC" w:rsidR="00BA11D4" w:rsidRPr="00102461" w:rsidRDefault="00BA11D4" w:rsidP="00D9246A">
      <w:pPr>
        <w:spacing w:line="240" w:lineRule="auto"/>
      </w:pPr>
    </w:p>
    <w:p w14:paraId="7FE5189E" w14:textId="77777777" w:rsidR="00997D43" w:rsidRPr="00D05E74" w:rsidRDefault="00997D43" w:rsidP="00D9246A">
      <w:pPr>
        <w:spacing w:line="240" w:lineRule="auto"/>
        <w:rPr>
          <w:b/>
          <w:bCs/>
        </w:rPr>
      </w:pPr>
      <w:r w:rsidRPr="00D05E74">
        <w:rPr>
          <w:b/>
          <w:bCs/>
        </w:rPr>
        <w:t>Off-rolling</w:t>
      </w:r>
    </w:p>
    <w:p w14:paraId="12EE7052" w14:textId="77777777" w:rsidR="00997D43" w:rsidRDefault="00997D43" w:rsidP="00D9246A">
      <w:pPr>
        <w:spacing w:line="240" w:lineRule="auto"/>
      </w:pPr>
      <w:r w:rsidRPr="00B91451">
        <w:t xml:space="preserve">Off-rolling is the practice of removing a pupil from the school </w:t>
      </w:r>
      <w:r>
        <w:t>register</w:t>
      </w:r>
      <w:r w:rsidRPr="00B91451">
        <w:t xml:space="preserve"> without a formal, permanent exclusion or by encouraging a parent to remove their child from the school roll, when the removal is primarily in the interests of the school rather than in the best interests of the pupil.</w:t>
      </w:r>
    </w:p>
    <w:p w14:paraId="6057A446" w14:textId="77777777" w:rsidR="00997D43" w:rsidRPr="00D05E74" w:rsidRDefault="00997D43" w:rsidP="00D9246A">
      <w:pPr>
        <w:spacing w:line="240" w:lineRule="auto"/>
        <w:rPr>
          <w:b/>
          <w:bCs/>
        </w:rPr>
      </w:pPr>
      <w:r w:rsidRPr="00D05E74">
        <w:rPr>
          <w:b/>
          <w:bCs/>
        </w:rPr>
        <w:t>Phonological</w:t>
      </w:r>
    </w:p>
    <w:p w14:paraId="1D45EAE6" w14:textId="77777777" w:rsidR="00997D43" w:rsidRPr="00DA6C20" w:rsidRDefault="00997D43" w:rsidP="00D9246A">
      <w:pPr>
        <w:spacing w:line="240" w:lineRule="auto"/>
      </w:pPr>
      <w:r w:rsidRPr="00094FBB">
        <w:t>Phonology is the study of the patterns of sounds in a language and across languages</w:t>
      </w:r>
    </w:p>
    <w:p w14:paraId="2A872599" w14:textId="77777777" w:rsidR="00997D43" w:rsidRPr="00D05E74" w:rsidRDefault="00997D43" w:rsidP="00D9246A">
      <w:pPr>
        <w:spacing w:line="240" w:lineRule="auto"/>
        <w:rPr>
          <w:b/>
          <w:bCs/>
        </w:rPr>
      </w:pPr>
      <w:r w:rsidRPr="00D05E74">
        <w:rPr>
          <w:b/>
          <w:bCs/>
        </w:rPr>
        <w:t>Special educational needs and/or disabilities (SEND)</w:t>
      </w:r>
    </w:p>
    <w:p w14:paraId="1DBA2AF0" w14:textId="77777777" w:rsidR="00997D43" w:rsidRDefault="00997D43" w:rsidP="00D9246A">
      <w:pPr>
        <w:spacing w:line="240" w:lineRule="auto"/>
      </w:pPr>
      <w:r w:rsidRPr="00657E4D">
        <w:t>A child or young person has SEN if they have a learning difficulty or disability which calls for special educational provision to be made for him or her</w:t>
      </w:r>
      <w:r>
        <w:t>.</w:t>
      </w:r>
    </w:p>
    <w:p w14:paraId="0A0DF030" w14:textId="77777777" w:rsidR="00997D43" w:rsidRPr="00D05E74" w:rsidRDefault="00997D43" w:rsidP="00D9246A">
      <w:pPr>
        <w:spacing w:line="240" w:lineRule="auto"/>
        <w:rPr>
          <w:b/>
          <w:bCs/>
        </w:rPr>
      </w:pPr>
      <w:r w:rsidRPr="00D05E74">
        <w:rPr>
          <w:b/>
          <w:bCs/>
        </w:rPr>
        <w:t xml:space="preserve">Autistic Spectrum Condition (ASC) </w:t>
      </w:r>
    </w:p>
    <w:p w14:paraId="53C4215A" w14:textId="77777777" w:rsidR="00997D43" w:rsidRDefault="00997D43" w:rsidP="00D9246A">
      <w:pPr>
        <w:spacing w:line="240" w:lineRule="auto"/>
      </w:pPr>
      <w:r w:rsidRPr="00595FE6">
        <w:t xml:space="preserve">Children and young people with Autistic Spectrum </w:t>
      </w:r>
      <w:r>
        <w:t>Condition</w:t>
      </w:r>
      <w:r w:rsidRPr="00595FE6">
        <w:t xml:space="preserve"> (AS</w:t>
      </w:r>
      <w:r>
        <w:t>C</w:t>
      </w:r>
      <w:r w:rsidRPr="00595FE6">
        <w:t>), including Asperger’s Syndrome and Autism, are likely to have particular difficulties with social interaction. They may also experience difficulties with language, communication and imagination, which can impact on how they relate to others.</w:t>
      </w:r>
    </w:p>
    <w:p w14:paraId="18ABB1B5" w14:textId="6E08E3E4" w:rsidR="007D2021" w:rsidRPr="0092412A" w:rsidRDefault="007D2021" w:rsidP="00D9246A">
      <w:pPr>
        <w:spacing w:line="240" w:lineRule="auto"/>
        <w:rPr>
          <w:b/>
          <w:bCs/>
        </w:rPr>
      </w:pPr>
      <w:r w:rsidRPr="0092412A">
        <w:rPr>
          <w:b/>
          <w:bCs/>
        </w:rPr>
        <w:t>Attention Deficit Hyperactivity Disorder (ADHD)</w:t>
      </w:r>
    </w:p>
    <w:p w14:paraId="26405137" w14:textId="5C0FAD1E" w:rsidR="00997D43" w:rsidRPr="00D05E74" w:rsidRDefault="00426AC7" w:rsidP="00D9246A">
      <w:pPr>
        <w:spacing w:line="240" w:lineRule="auto"/>
        <w:rPr>
          <w:b/>
          <w:bCs/>
        </w:rPr>
      </w:pPr>
      <w:r w:rsidRPr="00595FE6">
        <w:t>Attention deficit hyperactivity disorder (ADHD) is a group of behavioural symptoms that include inattentiveness, hyperactivity and impulsiveness. It is often seen alongside other neurodevelopmental conditions including autism, obsessive compulsive disorders (OCD), Tourette syndrome, dyslexia and dyspraxia.</w:t>
      </w:r>
      <w:r w:rsidR="003A00D9">
        <w:t xml:space="preserve"> O</w:t>
      </w:r>
      <w:r w:rsidR="007D2021" w:rsidRPr="0092412A">
        <w:t xml:space="preserve">ften </w:t>
      </w:r>
      <w:r w:rsidR="00D23A83">
        <w:t xml:space="preserve">ADHD </w:t>
      </w:r>
      <w:r w:rsidR="00D86E40">
        <w:t xml:space="preserve">children and young people </w:t>
      </w:r>
      <w:r w:rsidR="007D2021" w:rsidRPr="0092412A">
        <w:t>fall under the Social, Emotional and Mental Health (SEMH)</w:t>
      </w:r>
      <w:r w:rsidR="0088055F">
        <w:t xml:space="preserve"> within SEND.</w:t>
      </w:r>
      <w:r w:rsidR="007D2021" w:rsidRPr="0092412A">
        <w:t> </w:t>
      </w:r>
      <w:r w:rsidR="00997D43" w:rsidRPr="00D05E74">
        <w:rPr>
          <w:b/>
          <w:bCs/>
        </w:rPr>
        <w:t xml:space="preserve">Speech, language and communication needs (SLCN)  </w:t>
      </w:r>
    </w:p>
    <w:p w14:paraId="0C786474" w14:textId="77777777" w:rsidR="00997D43" w:rsidRDefault="00997D43" w:rsidP="00D9246A">
      <w:pPr>
        <w:spacing w:line="240" w:lineRule="auto"/>
      </w:pPr>
      <w:r w:rsidRPr="00595FE6">
        <w:t>Some children and young people with speech, language and communication needs (SLCN) have difficulty in communicating with others. This may be because they have difficulty saying what they want to, understanding what is being said to them or they do not understand or use social rules of communication.</w:t>
      </w:r>
    </w:p>
    <w:p w14:paraId="01B275D5" w14:textId="77777777" w:rsidR="00997D43" w:rsidRPr="00D05E74" w:rsidRDefault="00997D43" w:rsidP="00D9246A">
      <w:pPr>
        <w:spacing w:line="240" w:lineRule="auto"/>
        <w:rPr>
          <w:b/>
          <w:bCs/>
        </w:rPr>
      </w:pPr>
      <w:r w:rsidRPr="00D05E74">
        <w:rPr>
          <w:b/>
          <w:bCs/>
        </w:rPr>
        <w:t>Learning difficulties</w:t>
      </w:r>
    </w:p>
    <w:p w14:paraId="365F2EFE" w14:textId="77777777" w:rsidR="00997D43" w:rsidRDefault="00997D43" w:rsidP="00D9246A">
      <w:pPr>
        <w:spacing w:line="240" w:lineRule="auto"/>
      </w:pPr>
      <w:r w:rsidRPr="00595FE6">
        <w:t>Learning difficulties cover a wide range of needs, including</w:t>
      </w:r>
      <w:r>
        <w:t>:</w:t>
      </w:r>
    </w:p>
    <w:p w14:paraId="7C9A8C1B" w14:textId="77777777" w:rsidR="00997D43" w:rsidRDefault="00997D43" w:rsidP="009858E3">
      <w:pPr>
        <w:pStyle w:val="ListParagraph"/>
        <w:numPr>
          <w:ilvl w:val="0"/>
          <w:numId w:val="22"/>
        </w:numPr>
        <w:spacing w:line="240" w:lineRule="auto"/>
      </w:pPr>
      <w:r>
        <w:t>M</w:t>
      </w:r>
      <w:r w:rsidRPr="00595FE6">
        <w:t xml:space="preserve">oderate learning difficulties (MLD) </w:t>
      </w:r>
    </w:p>
    <w:p w14:paraId="4FFDE3BD" w14:textId="77777777" w:rsidR="00997D43" w:rsidRDefault="00997D43" w:rsidP="009858E3">
      <w:pPr>
        <w:pStyle w:val="ListParagraph"/>
        <w:numPr>
          <w:ilvl w:val="0"/>
          <w:numId w:val="22"/>
        </w:numPr>
        <w:spacing w:line="240" w:lineRule="auto"/>
      </w:pPr>
      <w:r>
        <w:t>S</w:t>
      </w:r>
      <w:r w:rsidRPr="00595FE6">
        <w:t xml:space="preserve">evere learning difficulties (SLD) where children are likely to need support in all areas of the curriculum and associated difficulties with mobility and communication </w:t>
      </w:r>
    </w:p>
    <w:p w14:paraId="5A16B448" w14:textId="77777777" w:rsidR="00997D43" w:rsidRDefault="00997D43" w:rsidP="009858E3">
      <w:pPr>
        <w:pStyle w:val="ListParagraph"/>
        <w:numPr>
          <w:ilvl w:val="0"/>
          <w:numId w:val="22"/>
        </w:numPr>
        <w:spacing w:line="240" w:lineRule="auto"/>
      </w:pPr>
      <w:r>
        <w:t>P</w:t>
      </w:r>
      <w:r w:rsidRPr="00595FE6">
        <w:t>rofound and multiple learning difficulties (PMLD) where children are likely to have severe and complex learning difficulties as well as a physical disability or sensory impairment</w:t>
      </w:r>
    </w:p>
    <w:p w14:paraId="700A6068" w14:textId="0A11B5B0" w:rsidR="002A79C6" w:rsidRDefault="00997D43" w:rsidP="00D9246A">
      <w:pPr>
        <w:spacing w:line="240" w:lineRule="auto"/>
        <w:rPr>
          <w:b/>
          <w:bCs/>
        </w:rPr>
      </w:pPr>
      <w:r w:rsidRPr="002A79C6">
        <w:rPr>
          <w:b/>
          <w:bCs/>
        </w:rPr>
        <w:t>Specific learning difficulties (</w:t>
      </w:r>
      <w:proofErr w:type="spellStart"/>
      <w:r w:rsidRPr="002A79C6">
        <w:rPr>
          <w:b/>
          <w:bCs/>
        </w:rPr>
        <w:t>SpLD</w:t>
      </w:r>
      <w:proofErr w:type="spellEnd"/>
      <w:r w:rsidRPr="002A79C6">
        <w:rPr>
          <w:b/>
          <w:bCs/>
        </w:rPr>
        <w:t>)</w:t>
      </w:r>
    </w:p>
    <w:p w14:paraId="340F1A34" w14:textId="0DC2ED2E" w:rsidR="00997D43" w:rsidRDefault="002A79C6" w:rsidP="00D9246A">
      <w:pPr>
        <w:spacing w:line="240" w:lineRule="auto"/>
      </w:pPr>
      <w:r w:rsidRPr="002A79C6">
        <w:lastRenderedPageBreak/>
        <w:t>Specific learning difficulties (</w:t>
      </w:r>
      <w:proofErr w:type="spellStart"/>
      <w:r w:rsidRPr="002A79C6">
        <w:t>SpLD</w:t>
      </w:r>
      <w:proofErr w:type="spellEnd"/>
      <w:r w:rsidRPr="002A79C6">
        <w:t>),</w:t>
      </w:r>
      <w:r w:rsidRPr="00595FE6">
        <w:t xml:space="preserve"> </w:t>
      </w:r>
      <w:r>
        <w:t>a</w:t>
      </w:r>
      <w:r w:rsidR="00997D43" w:rsidRPr="00595FE6">
        <w:t>ffect one or more specific aspects of learning. This includes a range of conditions such as</w:t>
      </w:r>
      <w:r w:rsidR="00997D43">
        <w:t>:</w:t>
      </w:r>
    </w:p>
    <w:p w14:paraId="426D13E2" w14:textId="77777777" w:rsidR="00997D43" w:rsidRDefault="00997D43" w:rsidP="009858E3">
      <w:pPr>
        <w:pStyle w:val="ListParagraph"/>
        <w:numPr>
          <w:ilvl w:val="0"/>
          <w:numId w:val="22"/>
        </w:numPr>
        <w:spacing w:line="240" w:lineRule="auto"/>
      </w:pPr>
      <w:r>
        <w:t>D</w:t>
      </w:r>
      <w:r w:rsidRPr="00595FE6">
        <w:t xml:space="preserve">yslexia </w:t>
      </w:r>
      <w:r>
        <w:t>–</w:t>
      </w:r>
      <w:r w:rsidRPr="00595FE6">
        <w:t xml:space="preserve"> is a neurological condition that affects a person's ability to read, write and spell. It is not related to intelligence and often has a genetic component. </w:t>
      </w:r>
    </w:p>
    <w:p w14:paraId="6DA09A84" w14:textId="77777777" w:rsidR="00997D43" w:rsidRDefault="00997D43" w:rsidP="009858E3">
      <w:pPr>
        <w:pStyle w:val="ListParagraph"/>
        <w:numPr>
          <w:ilvl w:val="0"/>
          <w:numId w:val="22"/>
        </w:numPr>
        <w:spacing w:line="240" w:lineRule="auto"/>
      </w:pPr>
      <w:r w:rsidRPr="00595FE6">
        <w:t>Dyscalculia</w:t>
      </w:r>
      <w:r>
        <w:t xml:space="preserve"> –</w:t>
      </w:r>
      <w:r w:rsidRPr="00595FE6">
        <w:t xml:space="preserve"> is a specific learning disability that affects a person’s ability to understand and work with numbers and mathematical concepts. Individuals </w:t>
      </w:r>
      <w:r>
        <w:t>with</w:t>
      </w:r>
      <w:r w:rsidRPr="00595FE6">
        <w:t xml:space="preserve"> dyscalculia may have difficulties with tasks such as counting, performing arithmetic operations, understanding mathematical symbols and grasping concepts like time and measurement. </w:t>
      </w:r>
    </w:p>
    <w:p w14:paraId="4554BCDA" w14:textId="77777777" w:rsidR="00997D43" w:rsidRDefault="00997D43" w:rsidP="009858E3">
      <w:pPr>
        <w:pStyle w:val="ListParagraph"/>
        <w:numPr>
          <w:ilvl w:val="0"/>
          <w:numId w:val="22"/>
        </w:numPr>
        <w:spacing w:line="240" w:lineRule="auto"/>
      </w:pPr>
      <w:r w:rsidRPr="00595FE6">
        <w:t xml:space="preserve">Dysgraphia </w:t>
      </w:r>
      <w:r>
        <w:t xml:space="preserve">– </w:t>
      </w:r>
      <w:r w:rsidRPr="00595FE6">
        <w:t xml:space="preserve">primarily affects a person's ability to write and express themselves in a written form. Individuals with dysgraphia may struggle with handwriting, spelling and organising their thoughts on paper. </w:t>
      </w:r>
    </w:p>
    <w:p w14:paraId="5EDDDD9F" w14:textId="77777777" w:rsidR="00997D43" w:rsidRPr="00D05E74" w:rsidRDefault="00997D43" w:rsidP="00D9246A">
      <w:pPr>
        <w:spacing w:line="240" w:lineRule="auto"/>
        <w:rPr>
          <w:b/>
          <w:bCs/>
        </w:rPr>
      </w:pPr>
      <w:r w:rsidRPr="00D05E74">
        <w:rPr>
          <w:b/>
          <w:bCs/>
        </w:rPr>
        <w:t>Social, emotional and mental health (SEMH) difficulties:</w:t>
      </w:r>
    </w:p>
    <w:p w14:paraId="008C0238" w14:textId="53DFF2FC" w:rsidR="00997D43" w:rsidRPr="00595FE6" w:rsidRDefault="00997D43" w:rsidP="00D9246A">
      <w:pPr>
        <w:spacing w:line="240" w:lineRule="auto"/>
      </w:pPr>
      <w:r w:rsidRPr="00595FE6">
        <w:t>Children and young people may experience a wide range of social and emotional difficulties which manifest themselves in many ways. These may include becoming withdrawn or isolated, as well as displaying challenging, disruptive or disturbing behaviour. These behaviours may reflect underlying mental health difficulties such as anxiety or depression, self-harming, substance use, eating disorders or physical symptoms that are medically unexplained. Other children and young people may have disorders such as attention deficit disorder, attention deficit hyperactive disorder or attachment disorder.</w:t>
      </w:r>
    </w:p>
    <w:p w14:paraId="163DCF93" w14:textId="77777777" w:rsidR="00997D43" w:rsidRPr="00D05E74" w:rsidRDefault="00997D43" w:rsidP="00D9246A">
      <w:pPr>
        <w:spacing w:line="240" w:lineRule="auto"/>
        <w:rPr>
          <w:b/>
          <w:bCs/>
        </w:rPr>
      </w:pPr>
      <w:r w:rsidRPr="00D05E74">
        <w:rPr>
          <w:b/>
          <w:bCs/>
        </w:rPr>
        <w:t>Sensory and/or physical needs:</w:t>
      </w:r>
    </w:p>
    <w:p w14:paraId="5C50FAD7" w14:textId="77777777" w:rsidR="00997D43" w:rsidRDefault="00997D43" w:rsidP="00D9246A">
      <w:pPr>
        <w:spacing w:line="240" w:lineRule="auto"/>
      </w:pPr>
      <w:r w:rsidRPr="00595FE6">
        <w:t xml:space="preserve">Some children and young people require special educational provision because they have a disability which prevents or hinders them from making use of the educational facilities generally provided. These difficulties can be age related and may fluctuate over time. Many children and young people with vision impairment (VI), hearing impairment (HI) or a multi-sensory impairment (MSI) will require specialist support and/or equipment to access their learning, or </w:t>
      </w:r>
      <w:proofErr w:type="spellStart"/>
      <w:r w:rsidRPr="00595FE6">
        <w:t>habilitation</w:t>
      </w:r>
      <w:proofErr w:type="spellEnd"/>
      <w:r w:rsidRPr="00595FE6">
        <w:t xml:space="preserve"> support. Children and young people with an MSI have a combination of vision and hearing difficulties.</w:t>
      </w:r>
    </w:p>
    <w:p w14:paraId="3C2F8AB8" w14:textId="77777777" w:rsidR="00831629" w:rsidRDefault="00831629" w:rsidP="00831629">
      <w:pPr>
        <w:spacing w:line="240" w:lineRule="auto"/>
      </w:pPr>
      <w:r w:rsidRPr="0092412A">
        <w:rPr>
          <w:b/>
          <w:bCs/>
        </w:rPr>
        <w:t>School’s Mental Health Service (SMHS):</w:t>
      </w:r>
      <w:r w:rsidRPr="00831629">
        <w:t xml:space="preserve"> </w:t>
      </w:r>
    </w:p>
    <w:p w14:paraId="15BFF095" w14:textId="481D15B3" w:rsidR="00831629" w:rsidRDefault="00831629" w:rsidP="00D9246A">
      <w:pPr>
        <w:spacing w:line="240" w:lineRule="auto"/>
      </w:pPr>
      <w:r w:rsidRPr="00831629">
        <w:t>Brighton &amp; Hove City Council service working with schools to help them provide support for children and young people 0 to 25 years old who have </w:t>
      </w:r>
      <w:hyperlink r:id="rId123" w:history="1">
        <w:r w:rsidRPr="0092412A">
          <w:t>mental health needs</w:t>
        </w:r>
      </w:hyperlink>
      <w:r w:rsidRPr="00831629">
        <w:t xml:space="preserve">. </w:t>
      </w:r>
    </w:p>
    <w:p w14:paraId="29B3F78A" w14:textId="77777777" w:rsidR="00997D43" w:rsidRPr="00D05E74" w:rsidRDefault="00997D43" w:rsidP="00D9246A">
      <w:pPr>
        <w:spacing w:line="240" w:lineRule="auto"/>
        <w:rPr>
          <w:b/>
          <w:bCs/>
        </w:rPr>
      </w:pPr>
      <w:r w:rsidRPr="00D05E74">
        <w:rPr>
          <w:b/>
          <w:bCs/>
        </w:rPr>
        <w:t>Sussex Community NHS Foundation Trust (SCFT)</w:t>
      </w:r>
    </w:p>
    <w:p w14:paraId="782C3ACD" w14:textId="77777777" w:rsidR="00997D43" w:rsidRPr="00A02B9D" w:rsidRDefault="00997D43" w:rsidP="00D9246A">
      <w:pPr>
        <w:spacing w:line="240" w:lineRule="auto"/>
      </w:pPr>
      <w:r w:rsidRPr="00ED7A19">
        <w:t>SCFT is the largest provider of community health services in Sussex</w:t>
      </w:r>
      <w:r w:rsidRPr="00A02B9D">
        <w:rPr>
          <w:b/>
          <w:bCs/>
        </w:rPr>
        <w:t xml:space="preserve"> </w:t>
      </w:r>
    </w:p>
    <w:p w14:paraId="53D8CA39" w14:textId="77777777" w:rsidR="00997D43" w:rsidRPr="00D05E74" w:rsidRDefault="00997D43" w:rsidP="00D9246A">
      <w:pPr>
        <w:spacing w:line="240" w:lineRule="auto"/>
        <w:rPr>
          <w:b/>
          <w:bCs/>
        </w:rPr>
      </w:pPr>
      <w:r w:rsidRPr="00D05E74">
        <w:rPr>
          <w:b/>
          <w:bCs/>
        </w:rPr>
        <w:t>Sussex Partnership Foundation Trust (SPFT)</w:t>
      </w:r>
    </w:p>
    <w:p w14:paraId="3ED2E15F" w14:textId="77777777" w:rsidR="00997D43" w:rsidRDefault="00997D43" w:rsidP="00D9246A">
      <w:pPr>
        <w:spacing w:line="240" w:lineRule="auto"/>
      </w:pPr>
      <w:r w:rsidRPr="00ED7A19">
        <w:t>Sussex Partnership NHS Foundation Trust provides mental health, learning disability, and neurodevelopmental services across South East England</w:t>
      </w:r>
      <w:r>
        <w:t>.</w:t>
      </w:r>
    </w:p>
    <w:p w14:paraId="3B1CCC3C" w14:textId="77777777" w:rsidR="00997D43" w:rsidRPr="00D05E74" w:rsidRDefault="00997D43" w:rsidP="00D9246A">
      <w:pPr>
        <w:spacing w:line="240" w:lineRule="auto"/>
        <w:rPr>
          <w:b/>
          <w:bCs/>
        </w:rPr>
      </w:pPr>
      <w:r w:rsidRPr="00D05E74">
        <w:rPr>
          <w:b/>
          <w:bCs/>
        </w:rPr>
        <w:t>Synthesis</w:t>
      </w:r>
    </w:p>
    <w:p w14:paraId="5AD3E1A7" w14:textId="77777777" w:rsidR="00997D43" w:rsidRPr="008177D2" w:rsidRDefault="00997D43" w:rsidP="00D9246A">
      <w:pPr>
        <w:spacing w:line="240" w:lineRule="auto"/>
      </w:pPr>
      <w:r>
        <w:t>When considering</w:t>
      </w:r>
      <w:r w:rsidRPr="008177D2">
        <w:t xml:space="preserve"> a literature review, synthesis means bringing together information from different sources to create a clear and complete picture of what is known about a topic.</w:t>
      </w:r>
    </w:p>
    <w:p w14:paraId="0D84A4EE" w14:textId="77777777" w:rsidR="00997D43" w:rsidRDefault="00997D43" w:rsidP="00D9246A">
      <w:pPr>
        <w:spacing w:line="240" w:lineRule="auto"/>
      </w:pPr>
      <w:r w:rsidRPr="008177D2">
        <w:t>Instead of just listing what each study says, synthesis involves comparing findings, spotting patterns, highlighting differences, and identifying gaps. It helps you understand how different pieces of research connect, what they agree or disagree on, and what still needs to be explored.</w:t>
      </w:r>
    </w:p>
    <w:p w14:paraId="74A4506C" w14:textId="77777777" w:rsidR="00F24B2B" w:rsidRDefault="00997D43" w:rsidP="00D9246A">
      <w:pPr>
        <w:spacing w:line="240" w:lineRule="auto"/>
        <w:rPr>
          <w:b/>
          <w:bCs/>
        </w:rPr>
      </w:pPr>
      <w:r w:rsidRPr="00D05E74">
        <w:rPr>
          <w:b/>
          <w:bCs/>
        </w:rPr>
        <w:lastRenderedPageBreak/>
        <w:t xml:space="preserve">Virtual School Heads </w:t>
      </w:r>
    </w:p>
    <w:p w14:paraId="7869868D" w14:textId="4E2117ED" w:rsidR="00C33BF1" w:rsidRPr="00C33BF1" w:rsidRDefault="009C20AC" w:rsidP="00C33BF1">
      <w:pPr>
        <w:spacing w:line="240" w:lineRule="auto"/>
      </w:pPr>
      <w:r>
        <w:t xml:space="preserve">These are </w:t>
      </w:r>
      <w:r w:rsidR="00C33BF1" w:rsidRPr="00C33BF1">
        <w:t>senior, local</w:t>
      </w:r>
      <w:r w:rsidR="00C33BF1" w:rsidRPr="00C33BF1">
        <w:noBreakHyphen/>
        <w:t>authority education leaders in England responsible for overseeing and promoting the education of looked</w:t>
      </w:r>
      <w:r w:rsidR="00C33BF1" w:rsidRPr="00C33BF1">
        <w:noBreakHyphen/>
        <w:t>after children and certain care</w:t>
      </w:r>
      <w:r w:rsidR="00C33BF1" w:rsidRPr="00C33BF1">
        <w:noBreakHyphen/>
        <w:t>experienced children, rather than running a physical school.</w:t>
      </w:r>
    </w:p>
    <w:p w14:paraId="34B7E919" w14:textId="2B86FCFD" w:rsidR="00997D43" w:rsidRPr="00D05E74" w:rsidRDefault="00997D43" w:rsidP="00D9246A">
      <w:pPr>
        <w:spacing w:line="240" w:lineRule="auto"/>
        <w:rPr>
          <w:b/>
          <w:bCs/>
        </w:rPr>
      </w:pPr>
      <w:r w:rsidRPr="00D05E74">
        <w:rPr>
          <w:b/>
          <w:bCs/>
        </w:rPr>
        <w:br w:type="page"/>
      </w:r>
    </w:p>
    <w:p w14:paraId="0E762520" w14:textId="77777777" w:rsidR="00997D43" w:rsidRPr="00D05E74" w:rsidRDefault="00997D43" w:rsidP="00D9246A">
      <w:pPr>
        <w:spacing w:line="240" w:lineRule="auto"/>
        <w:rPr>
          <w:b/>
          <w:bCs/>
        </w:rPr>
        <w:sectPr w:rsidR="00997D43" w:rsidRPr="00D05E74" w:rsidSect="00997D43">
          <w:headerReference w:type="default" r:id="rId124"/>
          <w:footnotePr>
            <w:numFmt w:val="lowerLetter"/>
          </w:footnotePr>
          <w:endnotePr>
            <w:numFmt w:val="decimal"/>
          </w:endnotePr>
          <w:pgSz w:w="11906" w:h="16838"/>
          <w:pgMar w:top="1134" w:right="1134" w:bottom="1134" w:left="1418" w:header="709" w:footer="709" w:gutter="0"/>
          <w:cols w:space="708"/>
          <w:docGrid w:linePitch="360"/>
        </w:sectPr>
      </w:pPr>
    </w:p>
    <w:p w14:paraId="346D4EEC" w14:textId="77777777" w:rsidR="00142B96" w:rsidRPr="00595FE6" w:rsidRDefault="00142B96" w:rsidP="00D9246A">
      <w:pPr>
        <w:pStyle w:val="AppendixHeading1"/>
        <w:spacing w:before="0"/>
      </w:pPr>
      <w:bookmarkStart w:id="220" w:name="Glossary"/>
      <w:bookmarkStart w:id="221" w:name="_Toc20838501"/>
      <w:bookmarkStart w:id="222" w:name="_Toc218690649"/>
      <w:bookmarkEnd w:id="220"/>
      <w:r w:rsidRPr="00595FE6">
        <w:lastRenderedPageBreak/>
        <w:t>References</w:t>
      </w:r>
      <w:bookmarkEnd w:id="221"/>
      <w:bookmarkEnd w:id="222"/>
    </w:p>
    <w:bookmarkEnd w:id="194"/>
    <w:bookmarkEnd w:id="195"/>
    <w:p w14:paraId="346D4EEE" w14:textId="72E02ADA" w:rsidR="007A79AD" w:rsidRPr="00595FE6" w:rsidRDefault="00ED5005" w:rsidP="00D9246A">
      <w:pPr>
        <w:spacing w:line="240" w:lineRule="auto"/>
        <w:rPr>
          <w:rFonts w:cs="Arial"/>
          <w:szCs w:val="24"/>
        </w:rPr>
      </w:pPr>
      <w:r w:rsidRPr="00595FE6">
        <w:rPr>
          <w:rFonts w:cs="Arial"/>
          <w:szCs w:val="24"/>
        </w:rPr>
        <w:t xml:space="preserve">Evidence search: Scoping review on special educational needs and disability (SEND). Frankie Marcelline. (16th August 2023). </w:t>
      </w:r>
      <w:r w:rsidR="00466FBB">
        <w:rPr>
          <w:rFonts w:cs="Arial"/>
          <w:szCs w:val="24"/>
        </w:rPr>
        <w:t>Brighton</w:t>
      </w:r>
      <w:r w:rsidRPr="00595FE6">
        <w:rPr>
          <w:rFonts w:cs="Arial"/>
          <w:szCs w:val="24"/>
        </w:rPr>
        <w:t>, UK: Sussex Health Knowledge and Libraries.</w:t>
      </w:r>
    </w:p>
    <w:sectPr w:rsidR="007A79AD" w:rsidRPr="00595FE6" w:rsidSect="00292E8B">
      <w:headerReference w:type="default" r:id="rId125"/>
      <w:footnotePr>
        <w:numFmt w:val="lowerLetter"/>
      </w:footnotePr>
      <w:endnotePr>
        <w:numFmt w:val="decimal"/>
      </w:endnotePr>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E2C83" w14:textId="77777777" w:rsidR="007C56DF" w:rsidRDefault="007C56DF" w:rsidP="000C4039">
      <w:pPr>
        <w:spacing w:after="0" w:line="240" w:lineRule="auto"/>
      </w:pPr>
      <w:r>
        <w:separator/>
      </w:r>
    </w:p>
  </w:endnote>
  <w:endnote w:type="continuationSeparator" w:id="0">
    <w:p w14:paraId="12A852B9" w14:textId="77777777" w:rsidR="007C56DF" w:rsidRDefault="007C56DF" w:rsidP="000C4039">
      <w:pPr>
        <w:spacing w:after="0" w:line="240" w:lineRule="auto"/>
      </w:pPr>
      <w:r>
        <w:continuationSeparator/>
      </w:r>
    </w:p>
  </w:endnote>
  <w:endnote w:type="continuationNotice" w:id="1">
    <w:p w14:paraId="13AD10F0" w14:textId="77777777" w:rsidR="007C56DF" w:rsidRDefault="007C56DF">
      <w:pPr>
        <w:spacing w:after="0" w:line="240" w:lineRule="auto"/>
      </w:pPr>
    </w:p>
  </w:endnote>
  <w:endnote w:id="2">
    <w:p w14:paraId="24CE6943" w14:textId="12C46733" w:rsidR="00F87BB6" w:rsidRPr="009007D0" w:rsidRDefault="00F87BB6" w:rsidP="00587ADD">
      <w:pPr>
        <w:pStyle w:val="EndnoteText"/>
        <w:rPr>
          <w:rFonts w:cs="Arial"/>
          <w:sz w:val="22"/>
          <w:szCs w:val="22"/>
        </w:rPr>
      </w:pPr>
      <w:r w:rsidRPr="009007D0">
        <w:rPr>
          <w:rStyle w:val="EndnoteReference"/>
          <w:rFonts w:cs="Arial"/>
          <w:sz w:val="22"/>
          <w:szCs w:val="22"/>
        </w:rPr>
        <w:endnoteRef/>
      </w:r>
      <w:r w:rsidRPr="009007D0">
        <w:rPr>
          <w:rFonts w:cs="Arial"/>
          <w:sz w:val="22"/>
          <w:szCs w:val="22"/>
        </w:rPr>
        <w:t xml:space="preserve"> </w:t>
      </w:r>
      <w:r w:rsidR="00C96E61" w:rsidRPr="009007D0">
        <w:rPr>
          <w:rFonts w:cs="Arial"/>
          <w:sz w:val="22"/>
          <w:szCs w:val="22"/>
        </w:rPr>
        <w:t>Department of Health and Social Care</w:t>
      </w:r>
      <w:r w:rsidR="00A5760E" w:rsidRPr="009007D0">
        <w:rPr>
          <w:rFonts w:cs="Arial"/>
          <w:sz w:val="22"/>
          <w:szCs w:val="22"/>
        </w:rPr>
        <w:t>,</w:t>
      </w:r>
      <w:r w:rsidR="00B8424E" w:rsidRPr="009007D0">
        <w:rPr>
          <w:rFonts w:cs="Arial"/>
          <w:sz w:val="22"/>
          <w:szCs w:val="22"/>
        </w:rPr>
        <w:t xml:space="preserve"> </w:t>
      </w:r>
      <w:r w:rsidR="00ED22FA" w:rsidRPr="009007D0">
        <w:rPr>
          <w:rFonts w:cs="Arial"/>
          <w:sz w:val="22"/>
          <w:szCs w:val="22"/>
        </w:rPr>
        <w:t>(</w:t>
      </w:r>
      <w:r w:rsidR="00B8424E" w:rsidRPr="009007D0">
        <w:rPr>
          <w:rFonts w:cs="Arial"/>
          <w:sz w:val="22"/>
          <w:szCs w:val="22"/>
        </w:rPr>
        <w:t>2013</w:t>
      </w:r>
      <w:r w:rsidR="00ED22FA" w:rsidRPr="009007D0">
        <w:rPr>
          <w:rFonts w:cs="Arial"/>
          <w:sz w:val="22"/>
          <w:szCs w:val="22"/>
        </w:rPr>
        <w:t>)</w:t>
      </w:r>
      <w:r w:rsidR="00B8424E" w:rsidRPr="009007D0">
        <w:rPr>
          <w:rFonts w:cs="Arial"/>
          <w:sz w:val="22"/>
          <w:szCs w:val="22"/>
        </w:rPr>
        <w:t xml:space="preserve">. </w:t>
      </w:r>
      <w:hyperlink r:id="rId1" w:history="1">
        <w:r w:rsidR="00C96E61" w:rsidRPr="009007D0">
          <w:rPr>
            <w:rStyle w:val="Hyperlink"/>
            <w:sz w:val="22"/>
            <w:szCs w:val="22"/>
          </w:rPr>
          <w:t>Statutory guidance on joint strategic needs assessments and joint health and wellbeing strategies</w:t>
        </w:r>
      </w:hyperlink>
    </w:p>
  </w:endnote>
  <w:endnote w:id="3">
    <w:p w14:paraId="65F35F2E" w14:textId="13B7C8A0" w:rsidR="00A87D64" w:rsidRPr="009007D0" w:rsidRDefault="00A87D64" w:rsidP="00587ADD">
      <w:pPr>
        <w:pStyle w:val="EndnoteText"/>
        <w:rPr>
          <w:rFonts w:cs="Arial"/>
          <w:sz w:val="22"/>
          <w:szCs w:val="22"/>
        </w:rPr>
      </w:pPr>
      <w:r w:rsidRPr="009007D0">
        <w:rPr>
          <w:rStyle w:val="EndnoteReference"/>
          <w:rFonts w:cs="Arial"/>
          <w:sz w:val="22"/>
          <w:szCs w:val="22"/>
        </w:rPr>
        <w:endnoteRef/>
      </w:r>
      <w:r w:rsidRPr="009007D0">
        <w:rPr>
          <w:rFonts w:cs="Arial"/>
          <w:sz w:val="22"/>
          <w:szCs w:val="22"/>
        </w:rPr>
        <w:t xml:space="preserve"> The British Psychology Society</w:t>
      </w:r>
      <w:r w:rsidR="00A5760E" w:rsidRPr="009007D0">
        <w:rPr>
          <w:rFonts w:cs="Arial"/>
          <w:sz w:val="22"/>
          <w:szCs w:val="22"/>
        </w:rPr>
        <w:t>,</w:t>
      </w:r>
      <w:r w:rsidRPr="009007D0">
        <w:rPr>
          <w:rFonts w:cs="Arial"/>
          <w:sz w:val="22"/>
          <w:szCs w:val="22"/>
        </w:rPr>
        <w:t xml:space="preserve"> </w:t>
      </w:r>
      <w:r w:rsidR="00ED22FA" w:rsidRPr="009007D0">
        <w:rPr>
          <w:rFonts w:cs="Arial"/>
          <w:sz w:val="22"/>
          <w:szCs w:val="22"/>
        </w:rPr>
        <w:t>(</w:t>
      </w:r>
      <w:r w:rsidR="00C96E61" w:rsidRPr="009007D0">
        <w:rPr>
          <w:rFonts w:cs="Arial"/>
          <w:sz w:val="22"/>
          <w:szCs w:val="22"/>
        </w:rPr>
        <w:t>2017</w:t>
      </w:r>
      <w:r w:rsidR="00ED22FA" w:rsidRPr="009007D0">
        <w:rPr>
          <w:rFonts w:cs="Arial"/>
          <w:sz w:val="22"/>
          <w:szCs w:val="22"/>
        </w:rPr>
        <w:t>)</w:t>
      </w:r>
      <w:r w:rsidR="00C96E61" w:rsidRPr="009007D0">
        <w:rPr>
          <w:rFonts w:cs="Arial"/>
          <w:sz w:val="22"/>
          <w:szCs w:val="22"/>
        </w:rPr>
        <w:t xml:space="preserve">. </w:t>
      </w:r>
      <w:hyperlink r:id="rId2" w:history="1">
        <w:r w:rsidRPr="009007D0">
          <w:rPr>
            <w:rStyle w:val="Hyperlink"/>
            <w:rFonts w:cs="Arial"/>
            <w:sz w:val="22"/>
            <w:szCs w:val="22"/>
          </w:rPr>
          <w:t>Psychology at work: Improving wellbeing and productivity in the workplace</w:t>
        </w:r>
      </w:hyperlink>
    </w:p>
  </w:endnote>
  <w:endnote w:id="4">
    <w:p w14:paraId="46D0D6C4" w14:textId="0C986557" w:rsidR="00BE5539" w:rsidRPr="009007D0" w:rsidRDefault="00BE5539" w:rsidP="00587ADD">
      <w:pPr>
        <w:pStyle w:val="EndnoteText"/>
        <w:rPr>
          <w:rFonts w:cs="Arial"/>
          <w:sz w:val="22"/>
          <w:szCs w:val="22"/>
        </w:rPr>
      </w:pPr>
      <w:r w:rsidRPr="009007D0">
        <w:rPr>
          <w:rStyle w:val="EndnoteReference"/>
          <w:rFonts w:cs="Arial"/>
          <w:sz w:val="22"/>
          <w:szCs w:val="22"/>
        </w:rPr>
        <w:endnoteRef/>
      </w:r>
      <w:r w:rsidRPr="009007D0">
        <w:rPr>
          <w:rFonts w:cs="Arial"/>
          <w:sz w:val="22"/>
          <w:szCs w:val="22"/>
        </w:rPr>
        <w:t xml:space="preserve"> Department for Education</w:t>
      </w:r>
      <w:r w:rsidR="00A5760E" w:rsidRPr="009007D0">
        <w:rPr>
          <w:rFonts w:cs="Arial"/>
          <w:sz w:val="22"/>
          <w:szCs w:val="22"/>
        </w:rPr>
        <w:t>,</w:t>
      </w:r>
      <w:r w:rsidRPr="009007D0">
        <w:rPr>
          <w:rFonts w:cs="Arial"/>
          <w:sz w:val="22"/>
          <w:szCs w:val="22"/>
        </w:rPr>
        <w:t xml:space="preserve"> </w:t>
      </w:r>
      <w:r w:rsidR="00ED22FA" w:rsidRPr="009007D0">
        <w:rPr>
          <w:rFonts w:cs="Arial"/>
          <w:sz w:val="22"/>
          <w:szCs w:val="22"/>
        </w:rPr>
        <w:t>(</w:t>
      </w:r>
      <w:r w:rsidRPr="009007D0">
        <w:rPr>
          <w:rFonts w:cs="Arial"/>
          <w:sz w:val="22"/>
          <w:szCs w:val="22"/>
        </w:rPr>
        <w:t>201</w:t>
      </w:r>
      <w:r w:rsidR="00C96E61" w:rsidRPr="009007D0">
        <w:rPr>
          <w:rFonts w:cs="Arial"/>
          <w:sz w:val="22"/>
          <w:szCs w:val="22"/>
        </w:rPr>
        <w:t>5</w:t>
      </w:r>
      <w:r w:rsidR="00ED22FA" w:rsidRPr="009007D0">
        <w:rPr>
          <w:rFonts w:cs="Arial"/>
          <w:sz w:val="22"/>
          <w:szCs w:val="22"/>
        </w:rPr>
        <w:t>)</w:t>
      </w:r>
      <w:r w:rsidRPr="009007D0">
        <w:rPr>
          <w:rFonts w:cs="Arial"/>
          <w:sz w:val="22"/>
          <w:szCs w:val="22"/>
        </w:rPr>
        <w:t xml:space="preserve">. </w:t>
      </w:r>
      <w:hyperlink r:id="rId3" w:history="1">
        <w:r w:rsidR="006A37AC" w:rsidRPr="009007D0">
          <w:rPr>
            <w:rStyle w:val="Hyperlink"/>
            <w:sz w:val="22"/>
            <w:szCs w:val="22"/>
          </w:rPr>
          <w:t>Special educational needs and disability code of practice: 0 to 25 years: Statutory guidance for organisations which work with and support children and young people who have special educational needs or disabilities</w:t>
        </w:r>
      </w:hyperlink>
    </w:p>
  </w:endnote>
  <w:endnote w:id="5">
    <w:p w14:paraId="69D114C9" w14:textId="4D746B75" w:rsidR="003C0278" w:rsidRPr="009007D0" w:rsidRDefault="00BE5539" w:rsidP="00587ADD">
      <w:pPr>
        <w:pStyle w:val="EndnoteText"/>
        <w:rPr>
          <w:rFonts w:cs="Arial"/>
          <w:sz w:val="22"/>
          <w:szCs w:val="22"/>
        </w:rPr>
      </w:pPr>
      <w:r w:rsidRPr="009007D0">
        <w:rPr>
          <w:rStyle w:val="EndnoteReference"/>
          <w:rFonts w:cs="Arial"/>
          <w:sz w:val="22"/>
          <w:szCs w:val="22"/>
        </w:rPr>
        <w:endnoteRef/>
      </w:r>
      <w:r w:rsidRPr="009007D0">
        <w:rPr>
          <w:rFonts w:cs="Arial"/>
          <w:sz w:val="22"/>
          <w:szCs w:val="22"/>
        </w:rPr>
        <w:t xml:space="preserve"> Department for Education and Department of Health and Social Care</w:t>
      </w:r>
      <w:r w:rsidR="00A5760E" w:rsidRPr="009007D0">
        <w:rPr>
          <w:rFonts w:cs="Arial"/>
          <w:sz w:val="22"/>
          <w:szCs w:val="22"/>
        </w:rPr>
        <w:t xml:space="preserve">, </w:t>
      </w:r>
      <w:r w:rsidR="00ED22FA" w:rsidRPr="009007D0">
        <w:rPr>
          <w:rFonts w:cs="Arial"/>
          <w:sz w:val="22"/>
          <w:szCs w:val="22"/>
        </w:rPr>
        <w:t>(</w:t>
      </w:r>
      <w:r w:rsidRPr="009007D0">
        <w:rPr>
          <w:rFonts w:cs="Arial"/>
          <w:sz w:val="22"/>
          <w:szCs w:val="22"/>
        </w:rPr>
        <w:t>2022</w:t>
      </w:r>
      <w:r w:rsidR="00ED22FA" w:rsidRPr="009007D0">
        <w:rPr>
          <w:rFonts w:cs="Arial"/>
          <w:sz w:val="22"/>
          <w:szCs w:val="22"/>
        </w:rPr>
        <w:t>)</w:t>
      </w:r>
      <w:r w:rsidRPr="009007D0">
        <w:rPr>
          <w:rFonts w:cs="Arial"/>
          <w:sz w:val="22"/>
          <w:szCs w:val="22"/>
        </w:rPr>
        <w:t xml:space="preserve">. </w:t>
      </w:r>
      <w:hyperlink r:id="rId4" w:history="1">
        <w:r w:rsidR="003C0278" w:rsidRPr="009007D0">
          <w:rPr>
            <w:rStyle w:val="Hyperlink"/>
            <w:rFonts w:cs="Arial"/>
            <w:sz w:val="22"/>
            <w:szCs w:val="22"/>
          </w:rPr>
          <w:t>SEND Review: Right support, right place, right time Government consultation on the SEND and alternative provision system in England</w:t>
        </w:r>
      </w:hyperlink>
    </w:p>
  </w:endnote>
  <w:endnote w:id="6">
    <w:p w14:paraId="613C76EC" w14:textId="064B51D5" w:rsidR="007E6C12" w:rsidRPr="009007D0" w:rsidRDefault="00BE5539" w:rsidP="00587ADD">
      <w:pPr>
        <w:pStyle w:val="EndnoteText"/>
        <w:rPr>
          <w:rFonts w:cs="Arial"/>
          <w:sz w:val="22"/>
          <w:szCs w:val="22"/>
        </w:rPr>
      </w:pPr>
      <w:r w:rsidRPr="009007D0">
        <w:rPr>
          <w:rStyle w:val="EndnoteReference"/>
          <w:rFonts w:cs="Arial"/>
          <w:sz w:val="22"/>
          <w:szCs w:val="22"/>
        </w:rPr>
        <w:endnoteRef/>
      </w:r>
      <w:r w:rsidRPr="009007D0">
        <w:rPr>
          <w:rFonts w:cs="Arial"/>
          <w:sz w:val="22"/>
          <w:szCs w:val="22"/>
        </w:rPr>
        <w:t xml:space="preserve"> Department for Education</w:t>
      </w:r>
      <w:r w:rsidR="00A5760E" w:rsidRPr="009007D0">
        <w:rPr>
          <w:rFonts w:cs="Arial"/>
          <w:sz w:val="22"/>
          <w:szCs w:val="22"/>
        </w:rPr>
        <w:t>,</w:t>
      </w:r>
      <w:r w:rsidRPr="009007D0">
        <w:rPr>
          <w:rFonts w:cs="Arial"/>
          <w:sz w:val="22"/>
          <w:szCs w:val="22"/>
        </w:rPr>
        <w:t xml:space="preserve"> </w:t>
      </w:r>
      <w:r w:rsidR="00ED22FA" w:rsidRPr="009007D0">
        <w:rPr>
          <w:rFonts w:cs="Arial"/>
          <w:sz w:val="22"/>
          <w:szCs w:val="22"/>
        </w:rPr>
        <w:t>(</w:t>
      </w:r>
      <w:r w:rsidRPr="009007D0">
        <w:rPr>
          <w:rFonts w:cs="Arial"/>
          <w:sz w:val="22"/>
          <w:szCs w:val="22"/>
        </w:rPr>
        <w:t>2023</w:t>
      </w:r>
      <w:r w:rsidR="00ED22FA" w:rsidRPr="009007D0">
        <w:rPr>
          <w:rFonts w:cs="Arial"/>
          <w:sz w:val="22"/>
          <w:szCs w:val="22"/>
        </w:rPr>
        <w:t>)</w:t>
      </w:r>
      <w:r w:rsidRPr="009007D0">
        <w:rPr>
          <w:rFonts w:cs="Arial"/>
          <w:sz w:val="22"/>
          <w:szCs w:val="22"/>
        </w:rPr>
        <w:t>.</w:t>
      </w:r>
      <w:r w:rsidR="007E6C12" w:rsidRPr="009007D0">
        <w:rPr>
          <w:rFonts w:cs="Arial"/>
          <w:sz w:val="22"/>
          <w:szCs w:val="22"/>
        </w:rPr>
        <w:t xml:space="preserve"> </w:t>
      </w:r>
      <w:hyperlink r:id="rId5" w:history="1">
        <w:r w:rsidR="007E6C12" w:rsidRPr="009007D0">
          <w:rPr>
            <w:rStyle w:val="Hyperlink"/>
            <w:rFonts w:cs="Arial"/>
            <w:sz w:val="22"/>
            <w:szCs w:val="22"/>
          </w:rPr>
          <w:t>Special Educational Needs and Disabilities (SEND) and Alternative Provision (AP) Improvement Plan Right Support, Right Place, Right Time</w:t>
        </w:r>
      </w:hyperlink>
    </w:p>
  </w:endnote>
  <w:endnote w:id="7">
    <w:p w14:paraId="162793AD" w14:textId="128F0231" w:rsidR="00611756" w:rsidRPr="009007D0" w:rsidRDefault="00BE5539" w:rsidP="00587ADD">
      <w:pPr>
        <w:pStyle w:val="EndnoteText"/>
        <w:rPr>
          <w:rFonts w:cs="Arial"/>
          <w:sz w:val="22"/>
          <w:szCs w:val="22"/>
        </w:rPr>
      </w:pPr>
      <w:r w:rsidRPr="009007D0">
        <w:rPr>
          <w:rStyle w:val="EndnoteReference"/>
          <w:rFonts w:cs="Arial"/>
          <w:sz w:val="22"/>
          <w:szCs w:val="22"/>
        </w:rPr>
        <w:endnoteRef/>
      </w:r>
      <w:r w:rsidRPr="009007D0">
        <w:rPr>
          <w:rFonts w:cs="Arial"/>
          <w:sz w:val="22"/>
          <w:szCs w:val="22"/>
        </w:rPr>
        <w:t xml:space="preserve"> Department for Education</w:t>
      </w:r>
      <w:r w:rsidR="00134523" w:rsidRPr="009007D0">
        <w:rPr>
          <w:rFonts w:cs="Arial"/>
          <w:sz w:val="22"/>
          <w:szCs w:val="22"/>
        </w:rPr>
        <w:t>,</w:t>
      </w:r>
      <w:r w:rsidRPr="009007D0">
        <w:rPr>
          <w:rFonts w:cs="Arial"/>
          <w:sz w:val="22"/>
          <w:szCs w:val="22"/>
        </w:rPr>
        <w:t xml:space="preserve"> </w:t>
      </w:r>
      <w:r w:rsidR="00ED22FA" w:rsidRPr="009007D0">
        <w:rPr>
          <w:rFonts w:cs="Arial"/>
          <w:sz w:val="22"/>
          <w:szCs w:val="22"/>
        </w:rPr>
        <w:t>(</w:t>
      </w:r>
      <w:r w:rsidRPr="009007D0">
        <w:rPr>
          <w:rFonts w:cs="Arial"/>
          <w:sz w:val="22"/>
          <w:szCs w:val="22"/>
        </w:rPr>
        <w:t>2015</w:t>
      </w:r>
      <w:r w:rsidR="00ED22FA" w:rsidRPr="009007D0">
        <w:rPr>
          <w:rFonts w:cs="Arial"/>
          <w:sz w:val="22"/>
          <w:szCs w:val="22"/>
        </w:rPr>
        <w:t>)</w:t>
      </w:r>
      <w:r w:rsidRPr="009007D0">
        <w:rPr>
          <w:rFonts w:cs="Arial"/>
          <w:sz w:val="22"/>
          <w:szCs w:val="22"/>
        </w:rPr>
        <w:t>.</w:t>
      </w:r>
      <w:r w:rsidR="006708CB" w:rsidRPr="009007D0">
        <w:rPr>
          <w:rFonts w:cs="Arial"/>
          <w:sz w:val="22"/>
          <w:szCs w:val="22"/>
        </w:rPr>
        <w:t xml:space="preserve"> </w:t>
      </w:r>
      <w:hyperlink r:id="rId6" w:history="1">
        <w:r w:rsidR="001C7E1B" w:rsidRPr="009007D0">
          <w:rPr>
            <w:rStyle w:val="Hyperlink"/>
            <w:sz w:val="22"/>
            <w:szCs w:val="22"/>
          </w:rPr>
          <w:t>Supporting pupils at school with medical conditions</w:t>
        </w:r>
      </w:hyperlink>
    </w:p>
  </w:endnote>
  <w:endnote w:id="8">
    <w:p w14:paraId="1009CAD4" w14:textId="1353D2EB" w:rsidR="006708CB" w:rsidRPr="009007D0" w:rsidRDefault="00BE5539" w:rsidP="00587ADD">
      <w:pPr>
        <w:pStyle w:val="EndnoteText"/>
        <w:rPr>
          <w:rFonts w:cs="Arial"/>
          <w:sz w:val="22"/>
          <w:szCs w:val="22"/>
        </w:rPr>
      </w:pPr>
      <w:r w:rsidRPr="009007D0">
        <w:rPr>
          <w:rStyle w:val="EndnoteReference"/>
          <w:rFonts w:cs="Arial"/>
          <w:sz w:val="22"/>
          <w:szCs w:val="22"/>
        </w:rPr>
        <w:endnoteRef/>
      </w:r>
      <w:r w:rsidRPr="009007D0">
        <w:rPr>
          <w:rFonts w:cs="Arial"/>
          <w:sz w:val="22"/>
          <w:szCs w:val="22"/>
        </w:rPr>
        <w:t xml:space="preserve"> Department of Health </w:t>
      </w:r>
      <w:r w:rsidR="00B03258" w:rsidRPr="009007D0">
        <w:rPr>
          <w:rFonts w:cs="Arial"/>
          <w:sz w:val="22"/>
          <w:szCs w:val="22"/>
        </w:rPr>
        <w:t>&amp;</w:t>
      </w:r>
      <w:r w:rsidRPr="009007D0">
        <w:rPr>
          <w:rFonts w:cs="Arial"/>
          <w:sz w:val="22"/>
          <w:szCs w:val="22"/>
        </w:rPr>
        <w:t xml:space="preserve"> Social Care and Department for Education</w:t>
      </w:r>
      <w:r w:rsidR="005D4127" w:rsidRPr="009007D0">
        <w:rPr>
          <w:rFonts w:cs="Arial"/>
          <w:sz w:val="22"/>
          <w:szCs w:val="22"/>
        </w:rPr>
        <w:t>, (2021)</w:t>
      </w:r>
      <w:r w:rsidRPr="009007D0">
        <w:rPr>
          <w:rFonts w:cs="Arial"/>
          <w:sz w:val="22"/>
          <w:szCs w:val="22"/>
        </w:rPr>
        <w:t xml:space="preserve">. </w:t>
      </w:r>
      <w:hyperlink r:id="rId7" w:history="1">
        <w:r w:rsidR="003207F4" w:rsidRPr="009007D0">
          <w:rPr>
            <w:rStyle w:val="Hyperlink"/>
            <w:rFonts w:cs="Arial"/>
            <w:sz w:val="22"/>
            <w:szCs w:val="22"/>
          </w:rPr>
          <w:t>National strategy for autistic children, young people and adults: 2021 to 2026</w:t>
        </w:r>
      </w:hyperlink>
    </w:p>
  </w:endnote>
  <w:endnote w:id="9">
    <w:p w14:paraId="1A15AB15" w14:textId="11CF2EEE" w:rsidR="00E63E12" w:rsidRPr="009007D0" w:rsidRDefault="00BE5539" w:rsidP="00587ADD">
      <w:pPr>
        <w:pStyle w:val="EndnoteText"/>
        <w:rPr>
          <w:rFonts w:cs="Arial"/>
          <w:iCs/>
          <w:sz w:val="22"/>
          <w:szCs w:val="22"/>
        </w:rPr>
      </w:pPr>
      <w:r w:rsidRPr="009007D0">
        <w:rPr>
          <w:rStyle w:val="EndnoteReference"/>
          <w:rFonts w:cs="Arial"/>
          <w:sz w:val="22"/>
          <w:szCs w:val="22"/>
        </w:rPr>
        <w:endnoteRef/>
      </w:r>
      <w:r w:rsidRPr="009007D0">
        <w:rPr>
          <w:rFonts w:cs="Arial"/>
          <w:sz w:val="22"/>
          <w:szCs w:val="22"/>
        </w:rPr>
        <w:t xml:space="preserve"> </w:t>
      </w:r>
      <w:r w:rsidR="003F649F" w:rsidRPr="009007D0">
        <w:rPr>
          <w:rFonts w:cs="Arial"/>
          <w:sz w:val="22"/>
          <w:szCs w:val="22"/>
        </w:rPr>
        <w:t>Education &amp; Skills Funding Agency and Department</w:t>
      </w:r>
      <w:r w:rsidR="00DD2461" w:rsidRPr="009007D0">
        <w:rPr>
          <w:rFonts w:cs="Arial"/>
          <w:sz w:val="22"/>
          <w:szCs w:val="22"/>
        </w:rPr>
        <w:t xml:space="preserve"> </w:t>
      </w:r>
      <w:r w:rsidR="003F649F" w:rsidRPr="009007D0">
        <w:rPr>
          <w:rFonts w:cs="Arial"/>
          <w:sz w:val="22"/>
          <w:szCs w:val="22"/>
        </w:rPr>
        <w:t>for Education</w:t>
      </w:r>
      <w:r w:rsidR="003167C5" w:rsidRPr="009007D0">
        <w:rPr>
          <w:rFonts w:cs="Arial"/>
          <w:sz w:val="22"/>
          <w:szCs w:val="22"/>
        </w:rPr>
        <w:t xml:space="preserve">, </w:t>
      </w:r>
      <w:r w:rsidR="005D4127" w:rsidRPr="009007D0">
        <w:rPr>
          <w:rFonts w:cs="Arial"/>
          <w:sz w:val="22"/>
          <w:szCs w:val="22"/>
        </w:rPr>
        <w:t>(</w:t>
      </w:r>
      <w:r w:rsidR="003167C5" w:rsidRPr="009007D0">
        <w:rPr>
          <w:rFonts w:cs="Arial"/>
          <w:sz w:val="22"/>
          <w:szCs w:val="22"/>
        </w:rPr>
        <w:t>2024</w:t>
      </w:r>
      <w:r w:rsidR="005D4127" w:rsidRPr="009007D0">
        <w:rPr>
          <w:rFonts w:cs="Arial"/>
          <w:sz w:val="22"/>
          <w:szCs w:val="22"/>
        </w:rPr>
        <w:t>)</w:t>
      </w:r>
      <w:r w:rsidRPr="009007D0">
        <w:rPr>
          <w:rFonts w:cs="Arial"/>
          <w:sz w:val="22"/>
          <w:szCs w:val="22"/>
        </w:rPr>
        <w:t>.</w:t>
      </w:r>
      <w:r w:rsidR="006234C0" w:rsidRPr="009007D0">
        <w:rPr>
          <w:rFonts w:cs="Arial"/>
          <w:sz w:val="22"/>
          <w:szCs w:val="22"/>
        </w:rPr>
        <w:t xml:space="preserve"> </w:t>
      </w:r>
      <w:hyperlink r:id="rId8" w:history="1">
        <w:r w:rsidR="006234C0" w:rsidRPr="009007D0">
          <w:rPr>
            <w:rStyle w:val="Hyperlink"/>
            <w:rFonts w:cs="Arial"/>
            <w:sz w:val="22"/>
            <w:szCs w:val="22"/>
          </w:rPr>
          <w:t>High needs funding: 2024 to 2025 operational guide</w:t>
        </w:r>
      </w:hyperlink>
    </w:p>
  </w:endnote>
  <w:endnote w:id="10">
    <w:p w14:paraId="530EDF4C" w14:textId="544824B8" w:rsidR="00DD2461" w:rsidRPr="009007D0" w:rsidRDefault="00753337" w:rsidP="00587ADD">
      <w:pPr>
        <w:pStyle w:val="EndnoteText"/>
        <w:rPr>
          <w:rFonts w:cs="Arial"/>
          <w:b/>
          <w:sz w:val="22"/>
          <w:szCs w:val="22"/>
        </w:rPr>
      </w:pPr>
      <w:r w:rsidRPr="009007D0">
        <w:rPr>
          <w:rStyle w:val="EndnoteReference"/>
          <w:sz w:val="22"/>
          <w:szCs w:val="22"/>
        </w:rPr>
        <w:endnoteRef/>
      </w:r>
      <w:r w:rsidRPr="009007D0">
        <w:rPr>
          <w:rFonts w:cs="Arial"/>
          <w:sz w:val="22"/>
          <w:szCs w:val="22"/>
        </w:rPr>
        <w:t xml:space="preserve"> </w:t>
      </w:r>
      <w:r w:rsidR="00BE5539" w:rsidRPr="009007D0">
        <w:rPr>
          <w:rFonts w:cs="Arial"/>
          <w:sz w:val="22"/>
          <w:szCs w:val="22"/>
        </w:rPr>
        <w:t xml:space="preserve">Care Quality Commission and Ofsted, </w:t>
      </w:r>
      <w:r w:rsidR="005D4127" w:rsidRPr="009007D0">
        <w:rPr>
          <w:rFonts w:cs="Arial"/>
          <w:sz w:val="22"/>
          <w:szCs w:val="22"/>
        </w:rPr>
        <w:t>(</w:t>
      </w:r>
      <w:r w:rsidR="00BE5539" w:rsidRPr="009007D0">
        <w:rPr>
          <w:rFonts w:cs="Arial"/>
          <w:sz w:val="22"/>
          <w:szCs w:val="22"/>
        </w:rPr>
        <w:t>202</w:t>
      </w:r>
      <w:r w:rsidR="001E0FD4" w:rsidRPr="009007D0">
        <w:rPr>
          <w:rFonts w:cs="Arial"/>
          <w:sz w:val="22"/>
          <w:szCs w:val="22"/>
        </w:rPr>
        <w:t>5</w:t>
      </w:r>
      <w:r w:rsidR="005D4127" w:rsidRPr="009007D0">
        <w:rPr>
          <w:rFonts w:cs="Arial"/>
          <w:sz w:val="22"/>
          <w:szCs w:val="22"/>
        </w:rPr>
        <w:t>)</w:t>
      </w:r>
      <w:r w:rsidR="00BE5539" w:rsidRPr="009007D0">
        <w:rPr>
          <w:rFonts w:cs="Arial"/>
          <w:sz w:val="22"/>
          <w:szCs w:val="22"/>
        </w:rPr>
        <w:t xml:space="preserve">. </w:t>
      </w:r>
      <w:hyperlink r:id="rId9" w:history="1">
        <w:r w:rsidR="009F15F2" w:rsidRPr="009007D0">
          <w:rPr>
            <w:rStyle w:val="Hyperlink"/>
            <w:rFonts w:cs="Arial"/>
            <w:sz w:val="22"/>
            <w:szCs w:val="22"/>
          </w:rPr>
          <w:t>Area SEND inspections: framework and handbook</w:t>
        </w:r>
      </w:hyperlink>
    </w:p>
  </w:endnote>
  <w:endnote w:id="11">
    <w:p w14:paraId="6B5DCF14" w14:textId="6EB592E3" w:rsidR="00137ECB" w:rsidRPr="009007D0" w:rsidRDefault="00BE5539" w:rsidP="00587ADD">
      <w:pPr>
        <w:pStyle w:val="EndnoteText"/>
        <w:rPr>
          <w:rFonts w:cs="Arial"/>
          <w:sz w:val="22"/>
          <w:szCs w:val="22"/>
        </w:rPr>
      </w:pPr>
      <w:r w:rsidRPr="009007D0">
        <w:rPr>
          <w:rStyle w:val="EndnoteReference"/>
          <w:rFonts w:cs="Arial"/>
          <w:sz w:val="22"/>
          <w:szCs w:val="22"/>
        </w:rPr>
        <w:endnoteRef/>
      </w:r>
      <w:r w:rsidRPr="009007D0">
        <w:rPr>
          <w:rFonts w:cs="Arial"/>
          <w:sz w:val="22"/>
          <w:szCs w:val="22"/>
        </w:rPr>
        <w:t xml:space="preserve"> </w:t>
      </w:r>
      <w:r w:rsidR="005C463E" w:rsidRPr="009007D0">
        <w:rPr>
          <w:rFonts w:cs="Arial"/>
          <w:sz w:val="22"/>
          <w:szCs w:val="22"/>
        </w:rPr>
        <w:t xml:space="preserve">Department for Education, </w:t>
      </w:r>
      <w:r w:rsidR="005D4127" w:rsidRPr="009007D0">
        <w:rPr>
          <w:rFonts w:cs="Arial"/>
          <w:sz w:val="22"/>
          <w:szCs w:val="22"/>
        </w:rPr>
        <w:t>(</w:t>
      </w:r>
      <w:r w:rsidR="005C463E" w:rsidRPr="009007D0">
        <w:rPr>
          <w:rFonts w:cs="Arial"/>
          <w:sz w:val="22"/>
          <w:szCs w:val="22"/>
        </w:rPr>
        <w:t>2015</w:t>
      </w:r>
      <w:r w:rsidR="005D4127" w:rsidRPr="009007D0">
        <w:rPr>
          <w:rFonts w:cs="Arial"/>
          <w:sz w:val="22"/>
          <w:szCs w:val="22"/>
        </w:rPr>
        <w:t>)</w:t>
      </w:r>
      <w:r w:rsidR="005C463E" w:rsidRPr="009007D0">
        <w:rPr>
          <w:rFonts w:cs="Arial"/>
          <w:sz w:val="22"/>
          <w:szCs w:val="22"/>
        </w:rPr>
        <w:t xml:space="preserve">. </w:t>
      </w:r>
      <w:hyperlink r:id="rId10" w:history="1">
        <w:r w:rsidR="00777721" w:rsidRPr="009007D0">
          <w:rPr>
            <w:rStyle w:val="Hyperlink"/>
            <w:rFonts w:cs="Arial"/>
            <w:sz w:val="22"/>
            <w:szCs w:val="22"/>
          </w:rPr>
          <w:t>Special educational needs and disability code of practice: 0 to 25 years: Statutory guidance for organisations which work with and support children and young people who have special educational needs or disabilities</w:t>
        </w:r>
      </w:hyperlink>
    </w:p>
  </w:endnote>
  <w:endnote w:id="12">
    <w:p w14:paraId="296BF24B" w14:textId="46D10BD2" w:rsidR="00137ECB" w:rsidRPr="009007D0" w:rsidRDefault="00753337" w:rsidP="00587ADD">
      <w:pPr>
        <w:pStyle w:val="EndnoteText"/>
        <w:rPr>
          <w:rStyle w:val="Hyperlink"/>
          <w:rFonts w:cs="Arial"/>
          <w:sz w:val="22"/>
          <w:szCs w:val="22"/>
        </w:rPr>
      </w:pPr>
      <w:r w:rsidRPr="009007D0">
        <w:rPr>
          <w:rStyle w:val="EndnoteReference"/>
          <w:sz w:val="22"/>
          <w:szCs w:val="22"/>
        </w:rPr>
        <w:endnoteRef/>
      </w:r>
      <w:r w:rsidR="00BE5539" w:rsidRPr="009007D0">
        <w:rPr>
          <w:rFonts w:cs="Arial"/>
          <w:sz w:val="22"/>
          <w:szCs w:val="22"/>
        </w:rPr>
        <w:t xml:space="preserve"> Department for Education</w:t>
      </w:r>
      <w:r w:rsidR="006C659D" w:rsidRPr="009007D0">
        <w:rPr>
          <w:rFonts w:cs="Arial"/>
          <w:sz w:val="22"/>
          <w:szCs w:val="22"/>
        </w:rPr>
        <w:t xml:space="preserve">, </w:t>
      </w:r>
      <w:r w:rsidR="005D4127" w:rsidRPr="009007D0">
        <w:rPr>
          <w:rFonts w:cs="Arial"/>
          <w:sz w:val="22"/>
          <w:szCs w:val="22"/>
        </w:rPr>
        <w:t>(</w:t>
      </w:r>
      <w:r w:rsidR="00BE5539" w:rsidRPr="009007D0">
        <w:rPr>
          <w:rFonts w:cs="Arial"/>
          <w:sz w:val="22"/>
          <w:szCs w:val="22"/>
        </w:rPr>
        <w:t>2021</w:t>
      </w:r>
      <w:r w:rsidR="005D4127" w:rsidRPr="009007D0">
        <w:rPr>
          <w:rFonts w:cs="Arial"/>
          <w:sz w:val="22"/>
          <w:szCs w:val="22"/>
        </w:rPr>
        <w:t>)</w:t>
      </w:r>
      <w:r w:rsidR="00BE5539" w:rsidRPr="009007D0">
        <w:rPr>
          <w:rFonts w:cs="Arial"/>
          <w:sz w:val="22"/>
          <w:szCs w:val="22"/>
        </w:rPr>
        <w:t xml:space="preserve">. </w:t>
      </w:r>
      <w:hyperlink r:id="rId11" w:history="1">
        <w:r w:rsidR="00A45492" w:rsidRPr="009007D0">
          <w:rPr>
            <w:rStyle w:val="Hyperlink"/>
            <w:rFonts w:cs="Arial"/>
            <w:sz w:val="22"/>
            <w:szCs w:val="22"/>
          </w:rPr>
          <w:t>The national strategy for autistic children, young people and adults: 2021 to 2026</w:t>
        </w:r>
      </w:hyperlink>
    </w:p>
  </w:endnote>
  <w:endnote w:id="13">
    <w:p w14:paraId="27F6F515" w14:textId="5CBF4CC8" w:rsidR="0008473F" w:rsidRPr="009007D0" w:rsidRDefault="00BE5539" w:rsidP="00587ADD">
      <w:pPr>
        <w:pStyle w:val="EndnoteText"/>
        <w:rPr>
          <w:rFonts w:cs="Arial"/>
          <w:sz w:val="22"/>
          <w:szCs w:val="22"/>
        </w:rPr>
      </w:pPr>
      <w:r w:rsidRPr="009007D0">
        <w:rPr>
          <w:rStyle w:val="EndnoteReference"/>
          <w:rFonts w:cs="Arial"/>
          <w:sz w:val="22"/>
          <w:szCs w:val="22"/>
        </w:rPr>
        <w:endnoteRef/>
      </w:r>
      <w:r w:rsidRPr="009007D0">
        <w:rPr>
          <w:rFonts w:cs="Arial"/>
          <w:sz w:val="22"/>
          <w:szCs w:val="22"/>
        </w:rPr>
        <w:t xml:space="preserve"> Department for Education</w:t>
      </w:r>
      <w:r w:rsidR="002E614A" w:rsidRPr="009007D0">
        <w:rPr>
          <w:rFonts w:cs="Arial"/>
          <w:sz w:val="22"/>
          <w:szCs w:val="22"/>
        </w:rPr>
        <w:t xml:space="preserve">, </w:t>
      </w:r>
      <w:r w:rsidR="005D4127" w:rsidRPr="009007D0">
        <w:rPr>
          <w:rFonts w:cs="Arial"/>
          <w:sz w:val="22"/>
          <w:szCs w:val="22"/>
        </w:rPr>
        <w:t>(</w:t>
      </w:r>
      <w:r w:rsidR="002E614A" w:rsidRPr="009007D0">
        <w:rPr>
          <w:rFonts w:cs="Arial"/>
          <w:sz w:val="22"/>
          <w:szCs w:val="22"/>
        </w:rPr>
        <w:t>2025</w:t>
      </w:r>
      <w:r w:rsidR="005D4127" w:rsidRPr="009007D0">
        <w:rPr>
          <w:rFonts w:cs="Arial"/>
          <w:sz w:val="22"/>
          <w:szCs w:val="22"/>
        </w:rPr>
        <w:t>)</w:t>
      </w:r>
      <w:r w:rsidR="002E614A" w:rsidRPr="009007D0">
        <w:rPr>
          <w:rFonts w:cs="Arial"/>
          <w:sz w:val="22"/>
          <w:szCs w:val="22"/>
        </w:rPr>
        <w:t xml:space="preserve">. </w:t>
      </w:r>
      <w:hyperlink r:id="rId12" w:history="1">
        <w:r w:rsidR="00F02C32" w:rsidRPr="009007D0">
          <w:rPr>
            <w:rStyle w:val="Hyperlink"/>
            <w:rFonts w:cs="Arial"/>
            <w:sz w:val="22"/>
            <w:szCs w:val="22"/>
          </w:rPr>
          <w:t>Early years foundation stage (EYFS) statutory framework</w:t>
        </w:r>
      </w:hyperlink>
    </w:p>
  </w:endnote>
  <w:endnote w:id="14">
    <w:p w14:paraId="6BE57417" w14:textId="31F1782A" w:rsidR="00F512E4" w:rsidRPr="009007D0" w:rsidRDefault="00BE5539" w:rsidP="00587ADD">
      <w:pPr>
        <w:pStyle w:val="EndnoteText"/>
        <w:rPr>
          <w:rFonts w:cs="Arial"/>
          <w:sz w:val="22"/>
          <w:szCs w:val="22"/>
        </w:rPr>
      </w:pPr>
      <w:r w:rsidRPr="009007D0">
        <w:rPr>
          <w:rStyle w:val="EndnoteReference"/>
          <w:rFonts w:cs="Arial"/>
          <w:sz w:val="22"/>
          <w:szCs w:val="22"/>
        </w:rPr>
        <w:endnoteRef/>
      </w:r>
      <w:r w:rsidRPr="009007D0">
        <w:rPr>
          <w:rFonts w:cs="Arial"/>
          <w:sz w:val="22"/>
          <w:szCs w:val="22"/>
        </w:rPr>
        <w:t xml:space="preserve"> Department for Education</w:t>
      </w:r>
      <w:r w:rsidR="00CB37F1" w:rsidRPr="009007D0">
        <w:rPr>
          <w:rFonts w:cs="Arial"/>
          <w:sz w:val="22"/>
          <w:szCs w:val="22"/>
        </w:rPr>
        <w:t xml:space="preserve">, </w:t>
      </w:r>
      <w:r w:rsidR="005D4127" w:rsidRPr="009007D0">
        <w:rPr>
          <w:rFonts w:cs="Arial"/>
          <w:sz w:val="22"/>
          <w:szCs w:val="22"/>
        </w:rPr>
        <w:t>(</w:t>
      </w:r>
      <w:r w:rsidR="00F512E4" w:rsidRPr="009007D0">
        <w:rPr>
          <w:rFonts w:cs="Arial"/>
          <w:sz w:val="22"/>
          <w:szCs w:val="22"/>
        </w:rPr>
        <w:t>20</w:t>
      </w:r>
      <w:r w:rsidR="00CA601D" w:rsidRPr="009007D0">
        <w:rPr>
          <w:rFonts w:cs="Arial"/>
          <w:sz w:val="22"/>
          <w:szCs w:val="22"/>
        </w:rPr>
        <w:t>14</w:t>
      </w:r>
      <w:r w:rsidR="005D4127" w:rsidRPr="009007D0">
        <w:rPr>
          <w:rFonts w:cs="Arial"/>
          <w:sz w:val="22"/>
          <w:szCs w:val="22"/>
        </w:rPr>
        <w:t>)</w:t>
      </w:r>
      <w:r w:rsidRPr="009007D0">
        <w:rPr>
          <w:rFonts w:cs="Arial"/>
          <w:sz w:val="22"/>
          <w:szCs w:val="22"/>
        </w:rPr>
        <w:t xml:space="preserve">. </w:t>
      </w:r>
      <w:hyperlink r:id="rId13" w:history="1">
        <w:r w:rsidR="001B4E89" w:rsidRPr="009007D0">
          <w:rPr>
            <w:rStyle w:val="Hyperlink"/>
            <w:rFonts w:cs="Arial"/>
            <w:sz w:val="22"/>
            <w:szCs w:val="22"/>
          </w:rPr>
          <w:t>Schools: guide to the 0 to 25 SEND code of practice Advice for school governing bodies/proprietors, senior leadership teams, SENCOs and classroom staff</w:t>
        </w:r>
      </w:hyperlink>
    </w:p>
  </w:endnote>
  <w:endnote w:id="15">
    <w:p w14:paraId="22254E27" w14:textId="179B9F21" w:rsidR="002839C7" w:rsidRPr="009007D0" w:rsidRDefault="00BE5539" w:rsidP="00587ADD">
      <w:pPr>
        <w:pStyle w:val="EndnoteText"/>
        <w:rPr>
          <w:rFonts w:cs="Arial"/>
          <w:sz w:val="22"/>
          <w:szCs w:val="22"/>
        </w:rPr>
      </w:pPr>
      <w:r w:rsidRPr="009007D0">
        <w:rPr>
          <w:rStyle w:val="EndnoteReference"/>
          <w:rFonts w:cs="Arial"/>
          <w:sz w:val="22"/>
          <w:szCs w:val="22"/>
        </w:rPr>
        <w:endnoteRef/>
      </w:r>
      <w:r w:rsidRPr="009007D0">
        <w:rPr>
          <w:rFonts w:cs="Arial"/>
          <w:sz w:val="22"/>
          <w:szCs w:val="22"/>
        </w:rPr>
        <w:t xml:space="preserve"> Department for Education</w:t>
      </w:r>
      <w:r w:rsidR="002839C7" w:rsidRPr="009007D0">
        <w:rPr>
          <w:rFonts w:cs="Arial"/>
          <w:sz w:val="22"/>
          <w:szCs w:val="22"/>
        </w:rPr>
        <w:t xml:space="preserve">, </w:t>
      </w:r>
      <w:r w:rsidR="005D4127" w:rsidRPr="009007D0">
        <w:rPr>
          <w:rFonts w:cs="Arial"/>
          <w:sz w:val="22"/>
          <w:szCs w:val="22"/>
        </w:rPr>
        <w:t>(</w:t>
      </w:r>
      <w:r w:rsidR="002839C7" w:rsidRPr="009007D0">
        <w:rPr>
          <w:rFonts w:cs="Arial"/>
          <w:sz w:val="22"/>
          <w:szCs w:val="22"/>
        </w:rPr>
        <w:t>2014</w:t>
      </w:r>
      <w:r w:rsidR="005D4127" w:rsidRPr="009007D0">
        <w:rPr>
          <w:rFonts w:cs="Arial"/>
          <w:sz w:val="22"/>
          <w:szCs w:val="22"/>
        </w:rPr>
        <w:t>)</w:t>
      </w:r>
      <w:r w:rsidR="002839C7" w:rsidRPr="009007D0">
        <w:rPr>
          <w:rFonts w:cs="Arial"/>
          <w:sz w:val="22"/>
          <w:szCs w:val="22"/>
        </w:rPr>
        <w:t>.</w:t>
      </w:r>
      <w:r w:rsidRPr="009007D0">
        <w:rPr>
          <w:rFonts w:cs="Arial"/>
          <w:sz w:val="22"/>
          <w:szCs w:val="22"/>
        </w:rPr>
        <w:t xml:space="preserve"> </w:t>
      </w:r>
      <w:hyperlink r:id="rId14" w:history="1">
        <w:r w:rsidR="002839C7" w:rsidRPr="009007D0">
          <w:rPr>
            <w:rStyle w:val="Hyperlink"/>
            <w:rFonts w:cs="Arial"/>
            <w:sz w:val="22"/>
            <w:szCs w:val="22"/>
          </w:rPr>
          <w:t>Further education: guide to the 0 to 25 SEND code of practice Advice for further education colleges, sixth form colleges, 16 to 19 academies, and independent specialist colleges approved under section 41 of the Children and Families Act 2014</w:t>
        </w:r>
      </w:hyperlink>
    </w:p>
  </w:endnote>
  <w:endnote w:id="16">
    <w:p w14:paraId="344C430F" w14:textId="48346D7C" w:rsidR="004F3981" w:rsidRPr="009007D0" w:rsidRDefault="00BE5539" w:rsidP="00587ADD">
      <w:pPr>
        <w:pStyle w:val="EndnoteText"/>
        <w:rPr>
          <w:rFonts w:cs="Arial"/>
          <w:sz w:val="22"/>
          <w:szCs w:val="22"/>
        </w:rPr>
      </w:pPr>
      <w:r w:rsidRPr="009007D0">
        <w:rPr>
          <w:rStyle w:val="EndnoteReference"/>
          <w:rFonts w:cs="Arial"/>
          <w:sz w:val="22"/>
          <w:szCs w:val="22"/>
        </w:rPr>
        <w:endnoteRef/>
      </w:r>
      <w:r w:rsidRPr="009007D0">
        <w:rPr>
          <w:rFonts w:cs="Arial"/>
          <w:sz w:val="22"/>
          <w:szCs w:val="22"/>
        </w:rPr>
        <w:t xml:space="preserve"> Department for Education</w:t>
      </w:r>
      <w:r w:rsidR="003F3999" w:rsidRPr="009007D0">
        <w:rPr>
          <w:rFonts w:cs="Arial"/>
          <w:sz w:val="22"/>
          <w:szCs w:val="22"/>
        </w:rPr>
        <w:t>,</w:t>
      </w:r>
      <w:r w:rsidRPr="009007D0">
        <w:rPr>
          <w:rFonts w:cs="Arial"/>
          <w:sz w:val="22"/>
          <w:szCs w:val="22"/>
        </w:rPr>
        <w:t xml:space="preserve"> </w:t>
      </w:r>
      <w:r w:rsidR="005D4127" w:rsidRPr="009007D0">
        <w:rPr>
          <w:rFonts w:cs="Arial"/>
          <w:sz w:val="22"/>
          <w:szCs w:val="22"/>
        </w:rPr>
        <w:t>(</w:t>
      </w:r>
      <w:r w:rsidRPr="009007D0">
        <w:rPr>
          <w:rFonts w:cs="Arial"/>
          <w:sz w:val="22"/>
          <w:szCs w:val="22"/>
        </w:rPr>
        <w:t>201</w:t>
      </w:r>
      <w:r w:rsidR="00A45721" w:rsidRPr="009007D0">
        <w:rPr>
          <w:rFonts w:cs="Arial"/>
          <w:sz w:val="22"/>
          <w:szCs w:val="22"/>
        </w:rPr>
        <w:t>5</w:t>
      </w:r>
      <w:r w:rsidR="005D4127" w:rsidRPr="009007D0">
        <w:rPr>
          <w:rFonts w:cs="Arial"/>
          <w:sz w:val="22"/>
          <w:szCs w:val="22"/>
        </w:rPr>
        <w:t>)</w:t>
      </w:r>
      <w:r w:rsidRPr="009007D0">
        <w:rPr>
          <w:rFonts w:cs="Arial"/>
          <w:sz w:val="22"/>
          <w:szCs w:val="22"/>
        </w:rPr>
        <w:t xml:space="preserve">. </w:t>
      </w:r>
      <w:hyperlink r:id="rId15" w:history="1">
        <w:r w:rsidR="003F3999" w:rsidRPr="009007D0">
          <w:rPr>
            <w:rStyle w:val="Hyperlink"/>
            <w:rFonts w:cs="Arial"/>
            <w:sz w:val="22"/>
            <w:szCs w:val="22"/>
          </w:rPr>
          <w:t>Special educational needs and disability code of practice: 0 to 25 years</w:t>
        </w:r>
        <w:r w:rsidR="00777721" w:rsidRPr="009007D0">
          <w:rPr>
            <w:rStyle w:val="Hyperlink"/>
            <w:rFonts w:cs="Arial"/>
            <w:sz w:val="22"/>
            <w:szCs w:val="22"/>
          </w:rPr>
          <w:t>:</w:t>
        </w:r>
        <w:r w:rsidR="003F3999" w:rsidRPr="009007D0">
          <w:rPr>
            <w:rStyle w:val="Hyperlink"/>
            <w:rFonts w:cs="Arial"/>
            <w:sz w:val="22"/>
            <w:szCs w:val="22"/>
          </w:rPr>
          <w:t xml:space="preserve"> Statutory guidance for organisations which work with and support children and young people who have special educational needs or disabilities</w:t>
        </w:r>
      </w:hyperlink>
    </w:p>
  </w:endnote>
  <w:endnote w:id="17">
    <w:p w14:paraId="0FFFFD6E" w14:textId="593C429E" w:rsidR="005815D6" w:rsidRPr="009007D0" w:rsidRDefault="00BE5539" w:rsidP="00587ADD">
      <w:pPr>
        <w:pStyle w:val="EndnoteText"/>
        <w:rPr>
          <w:rFonts w:cs="Arial"/>
          <w:sz w:val="22"/>
          <w:szCs w:val="22"/>
        </w:rPr>
      </w:pPr>
      <w:r w:rsidRPr="009007D0">
        <w:rPr>
          <w:rStyle w:val="EndnoteReference"/>
          <w:rFonts w:cs="Arial"/>
          <w:sz w:val="22"/>
          <w:szCs w:val="22"/>
        </w:rPr>
        <w:endnoteRef/>
      </w:r>
      <w:r w:rsidRPr="009007D0">
        <w:rPr>
          <w:rFonts w:cs="Arial"/>
          <w:sz w:val="22"/>
          <w:szCs w:val="22"/>
        </w:rPr>
        <w:t xml:space="preserve"> Gov.uk</w:t>
      </w:r>
      <w:r w:rsidR="00926423" w:rsidRPr="009007D0">
        <w:rPr>
          <w:rFonts w:cs="Arial"/>
          <w:sz w:val="22"/>
          <w:szCs w:val="22"/>
        </w:rPr>
        <w:t>, no date</w:t>
      </w:r>
      <w:r w:rsidR="00383F02" w:rsidRPr="009007D0">
        <w:rPr>
          <w:rFonts w:cs="Arial"/>
          <w:sz w:val="22"/>
          <w:szCs w:val="22"/>
        </w:rPr>
        <w:t xml:space="preserve">. </w:t>
      </w:r>
      <w:hyperlink r:id="rId16" w:history="1">
        <w:r w:rsidR="005815D6" w:rsidRPr="009007D0">
          <w:rPr>
            <w:rStyle w:val="Hyperlink"/>
            <w:rFonts w:cs="Arial"/>
            <w:sz w:val="22"/>
            <w:szCs w:val="22"/>
          </w:rPr>
          <w:t>Children with special educational needs and disabilities (SEND): Special educational needs support</w:t>
        </w:r>
      </w:hyperlink>
      <w:r w:rsidR="00383F02" w:rsidRPr="009007D0">
        <w:rPr>
          <w:rFonts w:cs="Arial"/>
          <w:sz w:val="22"/>
          <w:szCs w:val="22"/>
        </w:rPr>
        <w:t xml:space="preserve"> </w:t>
      </w:r>
      <w:r w:rsidR="00E13E1D" w:rsidRPr="009007D0">
        <w:rPr>
          <w:rFonts w:cs="Arial"/>
          <w:sz w:val="22"/>
          <w:szCs w:val="22"/>
        </w:rPr>
        <w:t>(</w:t>
      </w:r>
      <w:r w:rsidR="00383F02" w:rsidRPr="009007D0">
        <w:rPr>
          <w:rFonts w:cs="Arial"/>
          <w:sz w:val="22"/>
          <w:szCs w:val="22"/>
        </w:rPr>
        <w:t>Accessed October 2024</w:t>
      </w:r>
      <w:r w:rsidR="00E13E1D" w:rsidRPr="009007D0">
        <w:rPr>
          <w:rFonts w:cs="Arial"/>
          <w:sz w:val="22"/>
          <w:szCs w:val="22"/>
        </w:rPr>
        <w:t>)</w:t>
      </w:r>
      <w:r w:rsidR="00383F02" w:rsidRPr="009007D0">
        <w:rPr>
          <w:rFonts w:cs="Arial"/>
          <w:sz w:val="22"/>
          <w:szCs w:val="22"/>
        </w:rPr>
        <w:t>.</w:t>
      </w:r>
    </w:p>
  </w:endnote>
  <w:endnote w:id="18">
    <w:p w14:paraId="4C7661B8" w14:textId="1E59063D" w:rsidR="00BE5539" w:rsidRPr="003A53D8" w:rsidRDefault="00BE5539" w:rsidP="00587ADD">
      <w:pPr>
        <w:pStyle w:val="EndnoteText"/>
        <w:rPr>
          <w:rFonts w:cs="Arial"/>
          <w:sz w:val="22"/>
          <w:szCs w:val="22"/>
        </w:rPr>
      </w:pPr>
      <w:r w:rsidRPr="009007D0">
        <w:rPr>
          <w:rStyle w:val="EndnoteReference"/>
          <w:rFonts w:cs="Arial"/>
          <w:sz w:val="22"/>
          <w:szCs w:val="22"/>
        </w:rPr>
        <w:endnoteRef/>
      </w:r>
      <w:r w:rsidRPr="009007D0">
        <w:rPr>
          <w:rFonts w:cs="Arial"/>
          <w:sz w:val="22"/>
          <w:szCs w:val="22"/>
        </w:rPr>
        <w:t xml:space="preserve"> Department for Education</w:t>
      </w:r>
      <w:r w:rsidR="00FA33BF" w:rsidRPr="009007D0">
        <w:rPr>
          <w:rFonts w:cs="Arial"/>
          <w:sz w:val="22"/>
          <w:szCs w:val="22"/>
        </w:rPr>
        <w:t xml:space="preserve">, </w:t>
      </w:r>
      <w:r w:rsidR="00926423" w:rsidRPr="009007D0">
        <w:rPr>
          <w:rFonts w:cs="Arial"/>
          <w:sz w:val="22"/>
          <w:szCs w:val="22"/>
        </w:rPr>
        <w:t>(</w:t>
      </w:r>
      <w:r w:rsidR="00FA33BF" w:rsidRPr="009007D0">
        <w:rPr>
          <w:rFonts w:cs="Arial"/>
          <w:sz w:val="22"/>
          <w:szCs w:val="22"/>
        </w:rPr>
        <w:t>2015</w:t>
      </w:r>
      <w:r w:rsidR="00926423" w:rsidRPr="009007D0">
        <w:rPr>
          <w:rFonts w:cs="Arial"/>
          <w:sz w:val="22"/>
          <w:szCs w:val="22"/>
        </w:rPr>
        <w:t>)</w:t>
      </w:r>
      <w:r w:rsidR="00FA33BF" w:rsidRPr="009007D0">
        <w:rPr>
          <w:rFonts w:cs="Arial"/>
          <w:sz w:val="22"/>
          <w:szCs w:val="22"/>
        </w:rPr>
        <w:t xml:space="preserve">. </w:t>
      </w:r>
      <w:hyperlink r:id="rId17" w:history="1">
        <w:r w:rsidR="00FA33BF" w:rsidRPr="009007D0">
          <w:rPr>
            <w:rStyle w:val="Hyperlink"/>
            <w:rFonts w:cs="Arial"/>
            <w:sz w:val="22"/>
            <w:szCs w:val="22"/>
          </w:rPr>
          <w:t>Special educational needs and disability code of practice: 0 to 25 years: Statutory guidance for organisations which work with and support children and young people who have special educational needs or disabilities</w:t>
        </w:r>
      </w:hyperlink>
    </w:p>
  </w:endnote>
  <w:endnote w:id="19">
    <w:p w14:paraId="7B338417" w14:textId="585123FB" w:rsidR="009B65B5" w:rsidRPr="001A75E0" w:rsidRDefault="00BE5539"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w:t>
      </w:r>
      <w:r w:rsidR="00751F49" w:rsidRPr="001A75E0">
        <w:rPr>
          <w:rFonts w:cs="Arial"/>
          <w:sz w:val="22"/>
          <w:szCs w:val="22"/>
        </w:rPr>
        <w:t xml:space="preserve">Department of Health </w:t>
      </w:r>
      <w:r w:rsidR="00B03258" w:rsidRPr="001A75E0">
        <w:rPr>
          <w:rFonts w:cs="Arial"/>
          <w:sz w:val="22"/>
          <w:szCs w:val="22"/>
        </w:rPr>
        <w:t>&amp;</w:t>
      </w:r>
      <w:r w:rsidR="00751F49" w:rsidRPr="001A75E0">
        <w:rPr>
          <w:rFonts w:cs="Arial"/>
          <w:sz w:val="22"/>
          <w:szCs w:val="22"/>
        </w:rPr>
        <w:t xml:space="preserve"> Social Care and Department for Education, </w:t>
      </w:r>
      <w:r w:rsidR="00926423" w:rsidRPr="001A75E0">
        <w:rPr>
          <w:rFonts w:cs="Arial"/>
          <w:sz w:val="22"/>
          <w:szCs w:val="22"/>
        </w:rPr>
        <w:t>(</w:t>
      </w:r>
      <w:r w:rsidR="00EC6B4C" w:rsidRPr="001A75E0">
        <w:rPr>
          <w:rFonts w:cs="Arial"/>
          <w:sz w:val="22"/>
          <w:szCs w:val="22"/>
        </w:rPr>
        <w:t>2021</w:t>
      </w:r>
      <w:r w:rsidR="00926423" w:rsidRPr="001A75E0">
        <w:rPr>
          <w:rFonts w:cs="Arial"/>
          <w:sz w:val="22"/>
          <w:szCs w:val="22"/>
        </w:rPr>
        <w:t>)</w:t>
      </w:r>
      <w:r w:rsidRPr="001A75E0">
        <w:rPr>
          <w:rFonts w:cs="Arial"/>
          <w:sz w:val="22"/>
          <w:szCs w:val="22"/>
        </w:rPr>
        <w:t xml:space="preserve">. </w:t>
      </w:r>
      <w:hyperlink r:id="rId18" w:history="1">
        <w:r w:rsidR="009B65B5" w:rsidRPr="001A75E0">
          <w:rPr>
            <w:rStyle w:val="Hyperlink"/>
            <w:rFonts w:cs="Arial"/>
            <w:sz w:val="22"/>
            <w:szCs w:val="22"/>
          </w:rPr>
          <w:t>National strategy for autistic children, young people and adults: 2021 to 2026</w:t>
        </w:r>
      </w:hyperlink>
    </w:p>
  </w:endnote>
  <w:endnote w:id="20">
    <w:p w14:paraId="483C3B6D" w14:textId="3BDE3B83" w:rsidR="00BE5539" w:rsidRPr="001A75E0" w:rsidRDefault="00BE5539"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w:t>
      </w:r>
      <w:r w:rsidR="00360DE7" w:rsidRPr="001A75E0">
        <w:rPr>
          <w:rFonts w:cs="Arial"/>
          <w:sz w:val="22"/>
          <w:szCs w:val="22"/>
        </w:rPr>
        <w:t xml:space="preserve">Department for Education, </w:t>
      </w:r>
      <w:r w:rsidR="00926423" w:rsidRPr="001A75E0">
        <w:rPr>
          <w:rFonts w:cs="Arial"/>
          <w:sz w:val="22"/>
          <w:szCs w:val="22"/>
        </w:rPr>
        <w:t>(</w:t>
      </w:r>
      <w:r w:rsidR="00360DE7" w:rsidRPr="001A75E0">
        <w:rPr>
          <w:rFonts w:cs="Arial"/>
          <w:sz w:val="22"/>
          <w:szCs w:val="22"/>
        </w:rPr>
        <w:t>2015</w:t>
      </w:r>
      <w:r w:rsidR="00926423" w:rsidRPr="001A75E0">
        <w:rPr>
          <w:rFonts w:cs="Arial"/>
          <w:sz w:val="22"/>
          <w:szCs w:val="22"/>
        </w:rPr>
        <w:t>)</w:t>
      </w:r>
      <w:r w:rsidR="00360DE7" w:rsidRPr="001A75E0">
        <w:rPr>
          <w:rFonts w:cs="Arial"/>
          <w:sz w:val="22"/>
          <w:szCs w:val="22"/>
        </w:rPr>
        <w:t xml:space="preserve">. </w:t>
      </w:r>
      <w:hyperlink r:id="rId19" w:history="1">
        <w:r w:rsidR="00360DE7" w:rsidRPr="001A75E0">
          <w:rPr>
            <w:rStyle w:val="Hyperlink"/>
            <w:rFonts w:cs="Arial"/>
            <w:sz w:val="22"/>
            <w:szCs w:val="22"/>
          </w:rPr>
          <w:t>Special educational needs and disability code of practice: 0 to 25 years: Statutory guidance for organisations which work with and support children and young people who have special educational needs or disabilities</w:t>
        </w:r>
      </w:hyperlink>
    </w:p>
  </w:endnote>
  <w:endnote w:id="21">
    <w:p w14:paraId="56040DC2" w14:textId="579DD692" w:rsidR="000D6AAA" w:rsidRPr="001A75E0" w:rsidRDefault="00BE5539"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Council for </w:t>
      </w:r>
      <w:r w:rsidR="00AA4788" w:rsidRPr="001A75E0">
        <w:rPr>
          <w:rFonts w:cs="Arial"/>
          <w:sz w:val="22"/>
          <w:szCs w:val="22"/>
        </w:rPr>
        <w:t>D</w:t>
      </w:r>
      <w:r w:rsidRPr="001A75E0">
        <w:rPr>
          <w:rFonts w:cs="Arial"/>
          <w:sz w:val="22"/>
          <w:szCs w:val="22"/>
        </w:rPr>
        <w:t xml:space="preserve">isabled </w:t>
      </w:r>
      <w:r w:rsidR="00AA4788" w:rsidRPr="001A75E0">
        <w:rPr>
          <w:rFonts w:cs="Arial"/>
          <w:sz w:val="22"/>
          <w:szCs w:val="22"/>
        </w:rPr>
        <w:t>C</w:t>
      </w:r>
      <w:r w:rsidRPr="001A75E0">
        <w:rPr>
          <w:rFonts w:cs="Arial"/>
          <w:sz w:val="22"/>
          <w:szCs w:val="22"/>
        </w:rPr>
        <w:t>hildren</w:t>
      </w:r>
      <w:r w:rsidR="00AA4788" w:rsidRPr="001A75E0">
        <w:rPr>
          <w:rFonts w:cs="Arial"/>
          <w:sz w:val="22"/>
          <w:szCs w:val="22"/>
        </w:rPr>
        <w:t>,</w:t>
      </w:r>
      <w:r w:rsidRPr="001A75E0">
        <w:rPr>
          <w:rFonts w:cs="Arial"/>
          <w:sz w:val="22"/>
          <w:szCs w:val="22"/>
        </w:rPr>
        <w:t xml:space="preserve"> </w:t>
      </w:r>
      <w:r w:rsidR="00926423" w:rsidRPr="001A75E0">
        <w:rPr>
          <w:rFonts w:cs="Arial"/>
          <w:sz w:val="22"/>
          <w:szCs w:val="22"/>
        </w:rPr>
        <w:t>(</w:t>
      </w:r>
      <w:r w:rsidRPr="001A75E0">
        <w:rPr>
          <w:rFonts w:cs="Arial"/>
          <w:sz w:val="22"/>
          <w:szCs w:val="22"/>
        </w:rPr>
        <w:t>2019</w:t>
      </w:r>
      <w:r w:rsidR="00926423" w:rsidRPr="001A75E0">
        <w:rPr>
          <w:rFonts w:cs="Arial"/>
          <w:sz w:val="22"/>
          <w:szCs w:val="22"/>
        </w:rPr>
        <w:t>)</w:t>
      </w:r>
      <w:r w:rsidRPr="001A75E0">
        <w:rPr>
          <w:rFonts w:cs="Arial"/>
          <w:sz w:val="22"/>
          <w:szCs w:val="22"/>
        </w:rPr>
        <w:t>.</w:t>
      </w:r>
      <w:r w:rsidR="00AA4788" w:rsidRPr="001A75E0">
        <w:rPr>
          <w:rFonts w:cs="Arial"/>
          <w:sz w:val="22"/>
          <w:szCs w:val="22"/>
        </w:rPr>
        <w:t xml:space="preserve"> </w:t>
      </w:r>
      <w:hyperlink r:id="rId20" w:history="1">
        <w:r w:rsidR="00C57E46" w:rsidRPr="001A75E0">
          <w:rPr>
            <w:rStyle w:val="Hyperlink"/>
            <w:rFonts w:cs="Arial"/>
            <w:sz w:val="22"/>
            <w:szCs w:val="22"/>
          </w:rPr>
          <w:t>The Designated Clinical Officer for Special Educational Needs and Disabilities (SEND) Handbook. August 2025</w:t>
        </w:r>
      </w:hyperlink>
    </w:p>
  </w:endnote>
  <w:endnote w:id="22">
    <w:p w14:paraId="3FDF91AB" w14:textId="5D3D91E7" w:rsidR="00690EAA" w:rsidRPr="001A75E0" w:rsidRDefault="00690EAA"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w:t>
      </w:r>
      <w:r w:rsidR="002124F1" w:rsidRPr="001A75E0">
        <w:rPr>
          <w:rFonts w:cs="Arial"/>
          <w:sz w:val="22"/>
          <w:szCs w:val="22"/>
        </w:rPr>
        <w:t xml:space="preserve">Department for Education, </w:t>
      </w:r>
      <w:r w:rsidR="00926423" w:rsidRPr="001A75E0">
        <w:rPr>
          <w:rFonts w:cs="Arial"/>
          <w:sz w:val="22"/>
          <w:szCs w:val="22"/>
        </w:rPr>
        <w:t>(</w:t>
      </w:r>
      <w:r w:rsidR="002124F1" w:rsidRPr="001A75E0">
        <w:rPr>
          <w:rFonts w:cs="Arial"/>
          <w:sz w:val="22"/>
          <w:szCs w:val="22"/>
        </w:rPr>
        <w:t>2015</w:t>
      </w:r>
      <w:r w:rsidR="00926423" w:rsidRPr="001A75E0">
        <w:rPr>
          <w:rFonts w:cs="Arial"/>
          <w:sz w:val="22"/>
          <w:szCs w:val="22"/>
        </w:rPr>
        <w:t>)</w:t>
      </w:r>
      <w:r w:rsidR="002124F1" w:rsidRPr="001A75E0">
        <w:rPr>
          <w:rFonts w:cs="Arial"/>
          <w:sz w:val="22"/>
          <w:szCs w:val="22"/>
        </w:rPr>
        <w:t xml:space="preserve">. </w:t>
      </w:r>
      <w:hyperlink r:id="rId21" w:history="1">
        <w:r w:rsidR="002124F1" w:rsidRPr="001A75E0">
          <w:rPr>
            <w:rStyle w:val="Hyperlink"/>
            <w:rFonts w:cs="Arial"/>
            <w:sz w:val="22"/>
            <w:szCs w:val="22"/>
          </w:rPr>
          <w:t>Special educational needs and disability code of practice: 0 to 25 years: Statutory guidance for organisations which work with and support children and young people who have special educational needs or disabilities</w:t>
        </w:r>
      </w:hyperlink>
    </w:p>
  </w:endnote>
  <w:endnote w:id="23">
    <w:p w14:paraId="733A34AD" w14:textId="6213BA04" w:rsidR="00CD75DD" w:rsidRPr="001A75E0" w:rsidRDefault="00AC3A2B" w:rsidP="00F52345">
      <w:pPr>
        <w:pStyle w:val="EndnoteText"/>
        <w:rPr>
          <w:rFonts w:cs="Arial"/>
          <w:sz w:val="22"/>
          <w:szCs w:val="22"/>
        </w:rPr>
      </w:pPr>
      <w:r w:rsidRPr="001A75E0">
        <w:rPr>
          <w:rStyle w:val="EndnoteReference"/>
          <w:sz w:val="22"/>
          <w:szCs w:val="22"/>
        </w:rPr>
        <w:endnoteRef/>
      </w:r>
      <w:r w:rsidR="00BE5539" w:rsidRPr="001A75E0">
        <w:rPr>
          <w:rFonts w:cs="Arial"/>
          <w:sz w:val="22"/>
          <w:szCs w:val="22"/>
        </w:rPr>
        <w:t xml:space="preserve"> </w:t>
      </w:r>
      <w:r w:rsidR="00D62BB5" w:rsidRPr="001A75E0">
        <w:rPr>
          <w:rFonts w:cs="Arial"/>
          <w:sz w:val="22"/>
          <w:szCs w:val="22"/>
        </w:rPr>
        <w:t>Gov.uk</w:t>
      </w:r>
      <w:r w:rsidR="00F52345" w:rsidRPr="001A75E0">
        <w:rPr>
          <w:rFonts w:cs="Arial"/>
          <w:sz w:val="22"/>
          <w:szCs w:val="22"/>
        </w:rPr>
        <w:t xml:space="preserve">, </w:t>
      </w:r>
      <w:r w:rsidR="00926423" w:rsidRPr="001A75E0">
        <w:rPr>
          <w:rFonts w:cs="Arial"/>
          <w:sz w:val="22"/>
          <w:szCs w:val="22"/>
        </w:rPr>
        <w:t>(</w:t>
      </w:r>
      <w:r w:rsidR="00BE5539" w:rsidRPr="001A75E0">
        <w:rPr>
          <w:rFonts w:cs="Arial"/>
          <w:sz w:val="22"/>
          <w:szCs w:val="22"/>
        </w:rPr>
        <w:t>2022</w:t>
      </w:r>
      <w:r w:rsidR="00926423" w:rsidRPr="001A75E0">
        <w:rPr>
          <w:rFonts w:cs="Arial"/>
          <w:sz w:val="22"/>
          <w:szCs w:val="22"/>
        </w:rPr>
        <w:t>)</w:t>
      </w:r>
      <w:r w:rsidR="00BE5539" w:rsidRPr="001A75E0">
        <w:rPr>
          <w:rFonts w:cs="Arial"/>
          <w:sz w:val="22"/>
          <w:szCs w:val="22"/>
        </w:rPr>
        <w:t xml:space="preserve">. </w:t>
      </w:r>
      <w:hyperlink r:id="rId22" w:history="1">
        <w:r w:rsidR="00F52345" w:rsidRPr="001A75E0">
          <w:rPr>
            <w:rStyle w:val="Hyperlink"/>
            <w:rFonts w:cs="Arial"/>
            <w:sz w:val="22"/>
            <w:szCs w:val="22"/>
          </w:rPr>
          <w:t>The independent review of children’s social care – Final report</w:t>
        </w:r>
      </w:hyperlink>
    </w:p>
  </w:endnote>
  <w:endnote w:id="24">
    <w:p w14:paraId="71F63F25" w14:textId="29D403B8" w:rsidR="00E17B2E" w:rsidRPr="001A75E0" w:rsidRDefault="00BE5539" w:rsidP="00587ADD">
      <w:pPr>
        <w:pStyle w:val="EndnoteText"/>
        <w:rPr>
          <w:rFonts w:cs="Arial"/>
          <w:color w:val="FF0000"/>
          <w:sz w:val="22"/>
          <w:szCs w:val="22"/>
        </w:rPr>
      </w:pPr>
      <w:r w:rsidRPr="001A75E0">
        <w:rPr>
          <w:rStyle w:val="EndnoteReference"/>
          <w:rFonts w:cs="Arial"/>
          <w:sz w:val="22"/>
          <w:szCs w:val="22"/>
        </w:rPr>
        <w:endnoteRef/>
      </w:r>
      <w:r w:rsidRPr="001A75E0">
        <w:rPr>
          <w:rFonts w:cs="Arial"/>
          <w:sz w:val="22"/>
          <w:szCs w:val="22"/>
        </w:rPr>
        <w:t xml:space="preserve"> Department of Health &amp; Social Care</w:t>
      </w:r>
      <w:r w:rsidR="009F7034" w:rsidRPr="001A75E0">
        <w:rPr>
          <w:rFonts w:cs="Arial"/>
          <w:sz w:val="22"/>
          <w:szCs w:val="22"/>
        </w:rPr>
        <w:t xml:space="preserve">, </w:t>
      </w:r>
      <w:r w:rsidR="00926423" w:rsidRPr="001A75E0">
        <w:rPr>
          <w:rFonts w:cs="Arial"/>
          <w:sz w:val="22"/>
          <w:szCs w:val="22"/>
        </w:rPr>
        <w:t>(</w:t>
      </w:r>
      <w:r w:rsidRPr="001A75E0">
        <w:rPr>
          <w:rFonts w:cs="Arial"/>
          <w:sz w:val="22"/>
          <w:szCs w:val="22"/>
        </w:rPr>
        <w:t>2023</w:t>
      </w:r>
      <w:r w:rsidR="00926423" w:rsidRPr="001A75E0">
        <w:rPr>
          <w:rFonts w:cs="Arial"/>
          <w:sz w:val="22"/>
          <w:szCs w:val="22"/>
        </w:rPr>
        <w:t>)</w:t>
      </w:r>
      <w:r w:rsidRPr="001A75E0">
        <w:rPr>
          <w:rFonts w:cs="Arial"/>
          <w:sz w:val="22"/>
          <w:szCs w:val="22"/>
        </w:rPr>
        <w:t xml:space="preserve">. </w:t>
      </w:r>
      <w:hyperlink r:id="rId23" w:history="1">
        <w:r w:rsidR="009F7034" w:rsidRPr="001A75E0">
          <w:rPr>
            <w:rStyle w:val="Hyperlink"/>
            <w:rFonts w:cs="Arial"/>
            <w:sz w:val="22"/>
            <w:szCs w:val="22"/>
          </w:rPr>
          <w:t>Suicide prevention in England: 5-year cross-sector strategy</w:t>
        </w:r>
      </w:hyperlink>
    </w:p>
  </w:endnote>
  <w:endnote w:id="25">
    <w:p w14:paraId="235EF518" w14:textId="459F82A2" w:rsidR="00E079B1" w:rsidRPr="001A75E0" w:rsidRDefault="00C91FFF"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w:t>
      </w:r>
      <w:r w:rsidR="00374E31" w:rsidRPr="001A75E0">
        <w:rPr>
          <w:rFonts w:cs="Arial"/>
          <w:sz w:val="22"/>
          <w:szCs w:val="22"/>
        </w:rPr>
        <w:t>Office for National Statistics</w:t>
      </w:r>
      <w:r w:rsidR="0092467C" w:rsidRPr="001A75E0">
        <w:rPr>
          <w:rFonts w:cs="Arial"/>
          <w:sz w:val="22"/>
          <w:szCs w:val="22"/>
        </w:rPr>
        <w:t xml:space="preserve">, </w:t>
      </w:r>
      <w:r w:rsidR="00926423" w:rsidRPr="001A75E0">
        <w:rPr>
          <w:rFonts w:cs="Arial"/>
          <w:sz w:val="22"/>
          <w:szCs w:val="22"/>
        </w:rPr>
        <w:t>(</w:t>
      </w:r>
      <w:r w:rsidR="0092467C" w:rsidRPr="001A75E0">
        <w:rPr>
          <w:rFonts w:cs="Arial"/>
          <w:sz w:val="22"/>
          <w:szCs w:val="22"/>
        </w:rPr>
        <w:t>2025</w:t>
      </w:r>
      <w:r w:rsidR="00926423" w:rsidRPr="001A75E0">
        <w:rPr>
          <w:rFonts w:cs="Arial"/>
          <w:sz w:val="22"/>
          <w:szCs w:val="22"/>
        </w:rPr>
        <w:t>)</w:t>
      </w:r>
      <w:r w:rsidR="0092467C" w:rsidRPr="001A75E0">
        <w:rPr>
          <w:rFonts w:cs="Arial"/>
          <w:sz w:val="22"/>
          <w:szCs w:val="22"/>
        </w:rPr>
        <w:t xml:space="preserve">. </w:t>
      </w:r>
      <w:hyperlink r:id="rId24" w:history="1">
        <w:r w:rsidR="0092467C" w:rsidRPr="001A75E0">
          <w:rPr>
            <w:rStyle w:val="Hyperlink"/>
            <w:rFonts w:cs="Arial"/>
            <w:sz w:val="22"/>
            <w:szCs w:val="22"/>
          </w:rPr>
          <w:t>Prevention of Future Death reports for suicide in children in England and Wales: January 2015 to November 2023</w:t>
        </w:r>
      </w:hyperlink>
    </w:p>
  </w:endnote>
  <w:endnote w:id="26">
    <w:p w14:paraId="26869ECE" w14:textId="1363640F" w:rsidR="00D95099" w:rsidRPr="001A75E0" w:rsidRDefault="00BE5539" w:rsidP="00587ADD">
      <w:pPr>
        <w:pStyle w:val="EndnoteText"/>
        <w:rPr>
          <w:rFonts w:cs="Arial"/>
          <w:sz w:val="22"/>
          <w:szCs w:val="22"/>
        </w:rPr>
      </w:pPr>
      <w:r w:rsidRPr="001A75E0">
        <w:rPr>
          <w:rStyle w:val="EndnoteReference"/>
          <w:rFonts w:cs="Arial"/>
          <w:sz w:val="22"/>
          <w:szCs w:val="22"/>
        </w:rPr>
        <w:endnoteRef/>
      </w:r>
      <w:r w:rsidRPr="001A75E0">
        <w:rPr>
          <w:rFonts w:cs="Arial"/>
          <w:b/>
          <w:sz w:val="22"/>
          <w:szCs w:val="22"/>
        </w:rPr>
        <w:t xml:space="preserve"> </w:t>
      </w:r>
      <w:r w:rsidRPr="001A75E0">
        <w:rPr>
          <w:rFonts w:cs="Arial"/>
          <w:sz w:val="22"/>
          <w:szCs w:val="22"/>
        </w:rPr>
        <w:t>Department of Health &amp; Social Care</w:t>
      </w:r>
      <w:r w:rsidR="00A778C6" w:rsidRPr="001A75E0">
        <w:rPr>
          <w:rFonts w:cs="Arial"/>
          <w:sz w:val="22"/>
          <w:szCs w:val="22"/>
        </w:rPr>
        <w:t xml:space="preserve">, </w:t>
      </w:r>
      <w:r w:rsidR="00926423" w:rsidRPr="001A75E0">
        <w:rPr>
          <w:rFonts w:cs="Arial"/>
          <w:sz w:val="22"/>
          <w:szCs w:val="22"/>
        </w:rPr>
        <w:t>(</w:t>
      </w:r>
      <w:r w:rsidRPr="001A75E0">
        <w:rPr>
          <w:rStyle w:val="Strong"/>
          <w:rFonts w:cs="Arial"/>
          <w:b w:val="0"/>
          <w:sz w:val="22"/>
          <w:szCs w:val="22"/>
        </w:rPr>
        <w:t>2022</w:t>
      </w:r>
      <w:r w:rsidR="00B1632B" w:rsidRPr="001A75E0">
        <w:rPr>
          <w:rStyle w:val="Strong"/>
          <w:rFonts w:cs="Arial"/>
          <w:b w:val="0"/>
          <w:sz w:val="22"/>
          <w:szCs w:val="22"/>
        </w:rPr>
        <w:t>)</w:t>
      </w:r>
      <w:r w:rsidRPr="001A75E0">
        <w:rPr>
          <w:rStyle w:val="Strong"/>
          <w:rFonts w:cs="Arial"/>
          <w:b w:val="0"/>
          <w:sz w:val="22"/>
          <w:szCs w:val="22"/>
        </w:rPr>
        <w:t>.</w:t>
      </w:r>
      <w:r w:rsidRPr="001A75E0">
        <w:rPr>
          <w:rStyle w:val="Strong"/>
          <w:rFonts w:cs="Arial"/>
          <w:sz w:val="22"/>
          <w:szCs w:val="22"/>
        </w:rPr>
        <w:t xml:space="preserve"> </w:t>
      </w:r>
      <w:hyperlink r:id="rId25" w:history="1">
        <w:r w:rsidR="00D95099" w:rsidRPr="001A75E0">
          <w:rPr>
            <w:rStyle w:val="Hyperlink"/>
            <w:rFonts w:cs="Arial"/>
            <w:sz w:val="22"/>
            <w:szCs w:val="22"/>
          </w:rPr>
          <w:t>Building the Right Support Action Plan</w:t>
        </w:r>
      </w:hyperlink>
    </w:p>
  </w:endnote>
  <w:endnote w:id="27">
    <w:p w14:paraId="1CAEE906" w14:textId="670259CE" w:rsidR="000A0B2F" w:rsidRPr="001A75E0" w:rsidRDefault="00BE5539"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Department of Health &amp; Social Care</w:t>
      </w:r>
      <w:r w:rsidR="004B6130" w:rsidRPr="001A75E0">
        <w:rPr>
          <w:rFonts w:cs="Arial"/>
          <w:sz w:val="22"/>
          <w:szCs w:val="22"/>
        </w:rPr>
        <w:t xml:space="preserve"> and</w:t>
      </w:r>
      <w:r w:rsidRPr="001A75E0">
        <w:rPr>
          <w:rFonts w:cs="Arial"/>
          <w:sz w:val="22"/>
          <w:szCs w:val="22"/>
        </w:rPr>
        <w:t xml:space="preserve"> Department for Education</w:t>
      </w:r>
      <w:r w:rsidR="004B6130" w:rsidRPr="001A75E0">
        <w:rPr>
          <w:rFonts w:cs="Arial"/>
          <w:sz w:val="22"/>
          <w:szCs w:val="22"/>
        </w:rPr>
        <w:t xml:space="preserve">, </w:t>
      </w:r>
      <w:r w:rsidR="00B1632B" w:rsidRPr="001A75E0">
        <w:rPr>
          <w:rFonts w:cs="Arial"/>
          <w:sz w:val="22"/>
          <w:szCs w:val="22"/>
        </w:rPr>
        <w:t>(</w:t>
      </w:r>
      <w:r w:rsidR="00FF4BFB" w:rsidRPr="001A75E0">
        <w:rPr>
          <w:rFonts w:cs="Arial"/>
          <w:sz w:val="22"/>
          <w:szCs w:val="22"/>
        </w:rPr>
        <w:t>2021</w:t>
      </w:r>
      <w:r w:rsidR="00B1632B" w:rsidRPr="001A75E0">
        <w:rPr>
          <w:rFonts w:cs="Arial"/>
          <w:sz w:val="22"/>
          <w:szCs w:val="22"/>
        </w:rPr>
        <w:t>)</w:t>
      </w:r>
      <w:r w:rsidR="00FF4BFB" w:rsidRPr="001A75E0">
        <w:rPr>
          <w:rFonts w:cs="Arial"/>
          <w:sz w:val="22"/>
          <w:szCs w:val="22"/>
        </w:rPr>
        <w:t>.</w:t>
      </w:r>
      <w:r w:rsidRPr="001A75E0">
        <w:rPr>
          <w:rFonts w:cs="Arial"/>
          <w:sz w:val="22"/>
          <w:szCs w:val="22"/>
        </w:rPr>
        <w:t xml:space="preserve"> </w:t>
      </w:r>
      <w:hyperlink r:id="rId26" w:history="1">
        <w:r w:rsidR="004B6130" w:rsidRPr="001A75E0">
          <w:rPr>
            <w:rStyle w:val="Hyperlink"/>
            <w:rFonts w:cs="Arial"/>
            <w:sz w:val="22"/>
            <w:szCs w:val="22"/>
          </w:rPr>
          <w:t>The national strategy for autistic children, young people and adults: 2021 to 2026</w:t>
        </w:r>
      </w:hyperlink>
    </w:p>
  </w:endnote>
  <w:endnote w:id="28">
    <w:p w14:paraId="4970E10D" w14:textId="603C232E" w:rsidR="004627E6" w:rsidRPr="001A75E0" w:rsidRDefault="00BE5539"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NHS England</w:t>
      </w:r>
      <w:r w:rsidR="00763128" w:rsidRPr="001A75E0">
        <w:rPr>
          <w:rFonts w:cs="Arial"/>
          <w:sz w:val="22"/>
          <w:szCs w:val="22"/>
        </w:rPr>
        <w:t>,</w:t>
      </w:r>
      <w:r w:rsidRPr="001A75E0">
        <w:rPr>
          <w:rFonts w:cs="Arial"/>
          <w:sz w:val="22"/>
          <w:szCs w:val="22"/>
        </w:rPr>
        <w:t xml:space="preserve"> </w:t>
      </w:r>
      <w:r w:rsidR="00B1632B" w:rsidRPr="001A75E0">
        <w:rPr>
          <w:rFonts w:cs="Arial"/>
          <w:sz w:val="22"/>
          <w:szCs w:val="22"/>
        </w:rPr>
        <w:t>(</w:t>
      </w:r>
      <w:r w:rsidRPr="001A75E0">
        <w:rPr>
          <w:rFonts w:cs="Arial"/>
          <w:sz w:val="22"/>
          <w:szCs w:val="22"/>
        </w:rPr>
        <w:t>2019</w:t>
      </w:r>
      <w:r w:rsidR="00B1632B" w:rsidRPr="001A75E0">
        <w:rPr>
          <w:rFonts w:cs="Arial"/>
          <w:sz w:val="22"/>
          <w:szCs w:val="22"/>
        </w:rPr>
        <w:t>)</w:t>
      </w:r>
      <w:r w:rsidR="009E1481">
        <w:rPr>
          <w:rFonts w:cs="Arial"/>
          <w:sz w:val="22"/>
          <w:szCs w:val="22"/>
        </w:rPr>
        <w:t>.</w:t>
      </w:r>
      <w:r w:rsidRPr="001A75E0">
        <w:rPr>
          <w:rFonts w:cs="Arial"/>
          <w:sz w:val="22"/>
          <w:szCs w:val="22"/>
        </w:rPr>
        <w:t xml:space="preserve"> </w:t>
      </w:r>
      <w:hyperlink r:id="rId27" w:history="1">
        <w:r w:rsidR="00763128" w:rsidRPr="001A75E0">
          <w:rPr>
            <w:rStyle w:val="Hyperlink"/>
            <w:rFonts w:cs="Arial"/>
            <w:sz w:val="22"/>
            <w:szCs w:val="22"/>
          </w:rPr>
          <w:t>The NHS Long Term Plan. 2019</w:t>
        </w:r>
      </w:hyperlink>
    </w:p>
  </w:endnote>
  <w:endnote w:id="29">
    <w:p w14:paraId="421C934A" w14:textId="7E1E7266" w:rsidR="007B14FC" w:rsidRPr="001A75E0" w:rsidRDefault="001E2EBB"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w:t>
      </w:r>
      <w:r w:rsidR="00212BA7" w:rsidRPr="001A75E0">
        <w:rPr>
          <w:rFonts w:cs="Arial"/>
          <w:sz w:val="22"/>
          <w:szCs w:val="22"/>
        </w:rPr>
        <w:t>Gov</w:t>
      </w:r>
      <w:r w:rsidR="00205D19" w:rsidRPr="001A75E0">
        <w:rPr>
          <w:rFonts w:cs="Arial"/>
          <w:sz w:val="22"/>
          <w:szCs w:val="22"/>
        </w:rPr>
        <w:t xml:space="preserve">.uk, </w:t>
      </w:r>
      <w:r w:rsidR="00CE6196">
        <w:rPr>
          <w:rFonts w:cs="Arial"/>
          <w:sz w:val="22"/>
          <w:szCs w:val="22"/>
        </w:rPr>
        <w:t>(</w:t>
      </w:r>
      <w:r w:rsidR="0064548E" w:rsidRPr="001A75E0">
        <w:rPr>
          <w:rFonts w:cs="Arial"/>
          <w:sz w:val="22"/>
          <w:szCs w:val="22"/>
        </w:rPr>
        <w:t>2022</w:t>
      </w:r>
      <w:r w:rsidR="00CE6196">
        <w:rPr>
          <w:rFonts w:cs="Arial"/>
          <w:sz w:val="22"/>
          <w:szCs w:val="22"/>
        </w:rPr>
        <w:t>)</w:t>
      </w:r>
      <w:r w:rsidR="009E1481">
        <w:rPr>
          <w:rFonts w:cs="Arial"/>
          <w:sz w:val="22"/>
          <w:szCs w:val="22"/>
        </w:rPr>
        <w:t>.</w:t>
      </w:r>
      <w:r w:rsidR="0064548E" w:rsidRPr="001A75E0">
        <w:rPr>
          <w:rFonts w:cs="Arial"/>
          <w:sz w:val="22"/>
          <w:szCs w:val="22"/>
        </w:rPr>
        <w:t xml:space="preserve"> </w:t>
      </w:r>
      <w:hyperlink r:id="rId28" w:history="1">
        <w:r w:rsidRPr="001A75E0">
          <w:rPr>
            <w:rStyle w:val="Hyperlink"/>
            <w:rFonts w:cs="Arial"/>
            <w:sz w:val="22"/>
            <w:szCs w:val="22"/>
          </w:rPr>
          <w:t>Health and Care Act 2022</w:t>
        </w:r>
      </w:hyperlink>
    </w:p>
  </w:endnote>
  <w:endnote w:id="30">
    <w:p w14:paraId="117DE073" w14:textId="7117B953" w:rsidR="00F43E21" w:rsidRPr="001A75E0" w:rsidRDefault="00BE5539"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Department of Health &amp; Social Care</w:t>
      </w:r>
      <w:r w:rsidR="00F43E21" w:rsidRPr="001A75E0">
        <w:rPr>
          <w:rFonts w:cs="Arial"/>
          <w:sz w:val="22"/>
          <w:szCs w:val="22"/>
        </w:rPr>
        <w:t>,</w:t>
      </w:r>
      <w:r w:rsidRPr="001A75E0">
        <w:rPr>
          <w:rFonts w:cs="Arial"/>
          <w:sz w:val="22"/>
          <w:szCs w:val="22"/>
        </w:rPr>
        <w:t xml:space="preserve"> </w:t>
      </w:r>
      <w:r w:rsidR="00B1632B" w:rsidRPr="001A75E0">
        <w:rPr>
          <w:rFonts w:cs="Arial"/>
          <w:sz w:val="22"/>
          <w:szCs w:val="22"/>
        </w:rPr>
        <w:t>(</w:t>
      </w:r>
      <w:r w:rsidRPr="001A75E0">
        <w:rPr>
          <w:rFonts w:cs="Arial"/>
          <w:sz w:val="22"/>
          <w:szCs w:val="22"/>
        </w:rPr>
        <w:t>2023</w:t>
      </w:r>
      <w:r w:rsidR="00B1632B" w:rsidRPr="001A75E0">
        <w:rPr>
          <w:rFonts w:cs="Arial"/>
          <w:sz w:val="22"/>
          <w:szCs w:val="22"/>
        </w:rPr>
        <w:t>)</w:t>
      </w:r>
      <w:r w:rsidRPr="001A75E0">
        <w:rPr>
          <w:rFonts w:cs="Arial"/>
          <w:sz w:val="22"/>
          <w:szCs w:val="22"/>
        </w:rPr>
        <w:t xml:space="preserve">. </w:t>
      </w:r>
      <w:hyperlink r:id="rId29" w:history="1">
        <w:r w:rsidR="00F43E21" w:rsidRPr="001A75E0">
          <w:rPr>
            <w:rStyle w:val="Hyperlink"/>
            <w:rFonts w:cs="Arial"/>
            <w:sz w:val="22"/>
            <w:szCs w:val="22"/>
          </w:rPr>
          <w:t>Oliver McGowan draft code of practice on statutory learning disability and autism training</w:t>
        </w:r>
      </w:hyperlink>
    </w:p>
  </w:endnote>
  <w:endnote w:id="31">
    <w:p w14:paraId="339B3985" w14:textId="362D922D" w:rsidR="00F43E21" w:rsidRPr="001A75E0" w:rsidRDefault="00BE5539"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Department for Education and Department of Health &amp; Social Care</w:t>
      </w:r>
      <w:r w:rsidR="009E7479" w:rsidRPr="001A75E0">
        <w:rPr>
          <w:rFonts w:cs="Arial"/>
          <w:sz w:val="22"/>
          <w:szCs w:val="22"/>
        </w:rPr>
        <w:t xml:space="preserve">, </w:t>
      </w:r>
      <w:r w:rsidR="00B1632B" w:rsidRPr="001A75E0">
        <w:rPr>
          <w:rFonts w:cs="Arial"/>
          <w:sz w:val="22"/>
          <w:szCs w:val="22"/>
        </w:rPr>
        <w:t>(</w:t>
      </w:r>
      <w:r w:rsidR="00F92481" w:rsidRPr="001A75E0">
        <w:rPr>
          <w:rFonts w:cs="Arial"/>
          <w:sz w:val="22"/>
          <w:szCs w:val="22"/>
        </w:rPr>
        <w:t>2016</w:t>
      </w:r>
      <w:r w:rsidR="00B1632B" w:rsidRPr="001A75E0">
        <w:rPr>
          <w:rFonts w:cs="Arial"/>
          <w:sz w:val="22"/>
          <w:szCs w:val="22"/>
        </w:rPr>
        <w:t>)</w:t>
      </w:r>
      <w:r w:rsidR="00F92481" w:rsidRPr="001A75E0">
        <w:rPr>
          <w:rFonts w:cs="Arial"/>
          <w:sz w:val="22"/>
          <w:szCs w:val="22"/>
        </w:rPr>
        <w:t>.</w:t>
      </w:r>
      <w:r w:rsidRPr="001A75E0">
        <w:rPr>
          <w:rFonts w:cs="Arial"/>
          <w:sz w:val="22"/>
          <w:szCs w:val="22"/>
        </w:rPr>
        <w:t xml:space="preserve"> </w:t>
      </w:r>
      <w:hyperlink r:id="rId30" w:history="1">
        <w:r w:rsidR="009E7479" w:rsidRPr="001A75E0">
          <w:rPr>
            <w:rStyle w:val="Hyperlink"/>
            <w:rFonts w:cs="Arial"/>
            <w:sz w:val="22"/>
            <w:szCs w:val="22"/>
          </w:rPr>
          <w:t>SEND resources for healthcare professionals</w:t>
        </w:r>
      </w:hyperlink>
    </w:p>
  </w:endnote>
  <w:endnote w:id="32">
    <w:p w14:paraId="3CE44B89" w14:textId="0D4D86EB" w:rsidR="00F92481" w:rsidRPr="001A75E0" w:rsidRDefault="00BF147E" w:rsidP="000D02D1">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Ofsted</w:t>
      </w:r>
      <w:r w:rsidR="00915B59" w:rsidRPr="001A75E0">
        <w:rPr>
          <w:rFonts w:cs="Arial"/>
          <w:sz w:val="22"/>
          <w:szCs w:val="22"/>
        </w:rPr>
        <w:t xml:space="preserve"> and </w:t>
      </w:r>
      <w:r w:rsidRPr="001A75E0">
        <w:rPr>
          <w:rFonts w:cs="Arial"/>
          <w:sz w:val="22"/>
          <w:szCs w:val="22"/>
        </w:rPr>
        <w:t>Care Quality Commission</w:t>
      </w:r>
      <w:r w:rsidR="00F566CF" w:rsidRPr="001A75E0">
        <w:rPr>
          <w:rFonts w:cs="Arial"/>
          <w:sz w:val="22"/>
          <w:szCs w:val="22"/>
        </w:rPr>
        <w:t xml:space="preserve">, </w:t>
      </w:r>
      <w:r w:rsidR="00B1632B" w:rsidRPr="001A75E0">
        <w:rPr>
          <w:rFonts w:cs="Arial"/>
          <w:sz w:val="22"/>
          <w:szCs w:val="22"/>
        </w:rPr>
        <w:t>(</w:t>
      </w:r>
      <w:r w:rsidR="00915B59" w:rsidRPr="001A75E0">
        <w:rPr>
          <w:rFonts w:cs="Arial"/>
          <w:sz w:val="22"/>
          <w:szCs w:val="22"/>
        </w:rPr>
        <w:t>2023</w:t>
      </w:r>
      <w:r w:rsidR="00B1632B" w:rsidRPr="001A75E0">
        <w:rPr>
          <w:rFonts w:cs="Arial"/>
          <w:sz w:val="22"/>
          <w:szCs w:val="22"/>
        </w:rPr>
        <w:t>)</w:t>
      </w:r>
      <w:r w:rsidRPr="001A75E0">
        <w:rPr>
          <w:rFonts w:cs="Arial"/>
          <w:sz w:val="22"/>
          <w:szCs w:val="22"/>
        </w:rPr>
        <w:t xml:space="preserve">. </w:t>
      </w:r>
      <w:hyperlink r:id="rId31" w:history="1">
        <w:r w:rsidR="00F566CF" w:rsidRPr="001A75E0">
          <w:rPr>
            <w:rStyle w:val="Hyperlink"/>
            <w:rFonts w:cs="Arial"/>
            <w:sz w:val="22"/>
            <w:szCs w:val="22"/>
          </w:rPr>
          <w:t>Area SEND inspection of Brighton and Hove Local Area</w:t>
        </w:r>
      </w:hyperlink>
    </w:p>
  </w:endnote>
  <w:endnote w:id="33">
    <w:p w14:paraId="660F585A" w14:textId="723D8C2E" w:rsidR="003A6DD0" w:rsidRPr="001A75E0" w:rsidRDefault="007C6FC5"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w:t>
      </w:r>
      <w:r w:rsidR="0055298E" w:rsidRPr="001A75E0">
        <w:rPr>
          <w:rFonts w:cs="Arial"/>
          <w:sz w:val="22"/>
          <w:szCs w:val="22"/>
        </w:rPr>
        <w:t xml:space="preserve">Brighton &amp; Hove City Council, </w:t>
      </w:r>
      <w:r w:rsidR="00B1632B" w:rsidRPr="001A75E0">
        <w:rPr>
          <w:rFonts w:cs="Arial"/>
          <w:sz w:val="22"/>
          <w:szCs w:val="22"/>
        </w:rPr>
        <w:t>(</w:t>
      </w:r>
      <w:r w:rsidR="0055298E" w:rsidRPr="001A75E0">
        <w:rPr>
          <w:rFonts w:cs="Arial"/>
          <w:sz w:val="22"/>
          <w:szCs w:val="22"/>
        </w:rPr>
        <w:t>2023</w:t>
      </w:r>
      <w:r w:rsidR="00B1632B" w:rsidRPr="001A75E0">
        <w:rPr>
          <w:rFonts w:cs="Arial"/>
          <w:sz w:val="22"/>
          <w:szCs w:val="22"/>
        </w:rPr>
        <w:t>)</w:t>
      </w:r>
      <w:r w:rsidRPr="001A75E0">
        <w:rPr>
          <w:rFonts w:cs="Arial"/>
          <w:sz w:val="22"/>
          <w:szCs w:val="22"/>
        </w:rPr>
        <w:t xml:space="preserve">. </w:t>
      </w:r>
      <w:hyperlink r:id="rId32" w:history="1">
        <w:r w:rsidR="00BC1DD2" w:rsidRPr="001A75E0">
          <w:rPr>
            <w:rStyle w:val="Hyperlink"/>
            <w:rFonts w:cs="Arial"/>
            <w:sz w:val="22"/>
            <w:szCs w:val="22"/>
          </w:rPr>
          <w:t>Brighton &amp; Hove Special Educational Needs and Disability (SEND) Strategy 2021 to 2026</w:t>
        </w:r>
      </w:hyperlink>
    </w:p>
  </w:endnote>
  <w:endnote w:id="34">
    <w:p w14:paraId="6E0BDF3C" w14:textId="696F1C15" w:rsidR="00901BE0" w:rsidRPr="001A75E0" w:rsidRDefault="00901BE0"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w:t>
      </w:r>
      <w:r w:rsidR="00534636" w:rsidRPr="001A75E0">
        <w:rPr>
          <w:rFonts w:cs="Arial"/>
          <w:sz w:val="22"/>
          <w:szCs w:val="22"/>
        </w:rPr>
        <w:t>Brighton &amp; Hove City Council</w:t>
      </w:r>
      <w:r w:rsidR="000D2BBB" w:rsidRPr="001A75E0">
        <w:rPr>
          <w:rFonts w:cs="Arial"/>
          <w:sz w:val="22"/>
          <w:szCs w:val="22"/>
        </w:rPr>
        <w:t xml:space="preserve">, </w:t>
      </w:r>
      <w:r w:rsidR="00B1632B" w:rsidRPr="001A75E0">
        <w:rPr>
          <w:rFonts w:cs="Arial"/>
          <w:sz w:val="22"/>
          <w:szCs w:val="22"/>
        </w:rPr>
        <w:t>(</w:t>
      </w:r>
      <w:r w:rsidR="006E55D0" w:rsidRPr="001A75E0">
        <w:rPr>
          <w:rFonts w:cs="Arial"/>
          <w:sz w:val="22"/>
          <w:szCs w:val="22"/>
        </w:rPr>
        <w:t>2024</w:t>
      </w:r>
      <w:r w:rsidR="00B1632B" w:rsidRPr="001A75E0">
        <w:rPr>
          <w:rFonts w:cs="Arial"/>
          <w:sz w:val="22"/>
          <w:szCs w:val="22"/>
        </w:rPr>
        <w:t>)</w:t>
      </w:r>
      <w:r w:rsidR="00950D38" w:rsidRPr="001A75E0">
        <w:rPr>
          <w:rFonts w:cs="Arial"/>
          <w:sz w:val="22"/>
          <w:szCs w:val="22"/>
        </w:rPr>
        <w:t xml:space="preserve">. </w:t>
      </w:r>
      <w:hyperlink r:id="rId33" w:history="1">
        <w:r w:rsidR="00543FD4" w:rsidRPr="001A75E0">
          <w:rPr>
            <w:rStyle w:val="Hyperlink"/>
            <w:rFonts w:cs="Arial"/>
            <w:sz w:val="22"/>
            <w:szCs w:val="22"/>
          </w:rPr>
          <w:t>Transition to Adulthood Strategy:(DRAFT) 2024-2027</w:t>
        </w:r>
      </w:hyperlink>
      <w:r w:rsidR="00CE6196">
        <w:rPr>
          <w:sz w:val="22"/>
          <w:szCs w:val="22"/>
        </w:rPr>
        <w:t>.</w:t>
      </w:r>
    </w:p>
  </w:endnote>
  <w:endnote w:id="35">
    <w:p w14:paraId="7728C2DC" w14:textId="3E37C45C" w:rsidR="006E55D0" w:rsidRPr="001A75E0" w:rsidRDefault="007C6FC5"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Amaze</w:t>
      </w:r>
      <w:r w:rsidR="001C78C0" w:rsidRPr="001A75E0">
        <w:rPr>
          <w:rFonts w:cs="Arial"/>
          <w:sz w:val="22"/>
          <w:szCs w:val="22"/>
        </w:rPr>
        <w:t xml:space="preserve">, </w:t>
      </w:r>
      <w:r w:rsidR="00B1632B" w:rsidRPr="001A75E0">
        <w:rPr>
          <w:rFonts w:cs="Arial"/>
          <w:sz w:val="22"/>
          <w:szCs w:val="22"/>
        </w:rPr>
        <w:t>(</w:t>
      </w:r>
      <w:r w:rsidR="001C78C0" w:rsidRPr="001A75E0">
        <w:rPr>
          <w:rFonts w:cs="Arial"/>
          <w:sz w:val="22"/>
          <w:szCs w:val="22"/>
        </w:rPr>
        <w:t>2024</w:t>
      </w:r>
      <w:r w:rsidR="00B1632B" w:rsidRPr="001A75E0">
        <w:rPr>
          <w:rFonts w:cs="Arial"/>
          <w:sz w:val="22"/>
          <w:szCs w:val="22"/>
        </w:rPr>
        <w:t>)</w:t>
      </w:r>
      <w:r w:rsidRPr="001A75E0">
        <w:rPr>
          <w:rFonts w:cs="Arial"/>
          <w:sz w:val="22"/>
          <w:szCs w:val="22"/>
        </w:rPr>
        <w:t xml:space="preserve">. </w:t>
      </w:r>
      <w:hyperlink r:id="rId34" w:history="1">
        <w:r w:rsidR="007E4B81" w:rsidRPr="001A75E0">
          <w:rPr>
            <w:rStyle w:val="Hyperlink"/>
            <w:rFonts w:cs="Arial"/>
            <w:sz w:val="22"/>
            <w:szCs w:val="22"/>
          </w:rPr>
          <w:t>SEND reforms Change Programme rollout</w:t>
        </w:r>
      </w:hyperlink>
    </w:p>
  </w:endnote>
  <w:endnote w:id="36">
    <w:p w14:paraId="201CD266" w14:textId="7C74DCCD" w:rsidR="001C78C0" w:rsidRPr="001A75E0" w:rsidRDefault="007C6FC5"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w:t>
      </w:r>
      <w:r w:rsidR="00DB079B" w:rsidRPr="001A75E0">
        <w:rPr>
          <w:rFonts w:cs="Arial"/>
          <w:sz w:val="22"/>
          <w:szCs w:val="22"/>
        </w:rPr>
        <w:t xml:space="preserve">Brighton &amp; Hove City Council, </w:t>
      </w:r>
      <w:r w:rsidR="00B1632B" w:rsidRPr="001A75E0">
        <w:rPr>
          <w:rFonts w:cs="Arial"/>
          <w:sz w:val="22"/>
          <w:szCs w:val="22"/>
        </w:rPr>
        <w:t>(</w:t>
      </w:r>
      <w:r w:rsidR="00DB079B" w:rsidRPr="001A75E0">
        <w:rPr>
          <w:rFonts w:cs="Arial"/>
          <w:sz w:val="22"/>
          <w:szCs w:val="22"/>
        </w:rPr>
        <w:t>202</w:t>
      </w:r>
      <w:r w:rsidR="00167DAD" w:rsidRPr="001A75E0">
        <w:rPr>
          <w:rFonts w:cs="Arial"/>
          <w:sz w:val="22"/>
          <w:szCs w:val="22"/>
        </w:rPr>
        <w:t>1</w:t>
      </w:r>
      <w:r w:rsidR="00B1632B" w:rsidRPr="001A75E0">
        <w:rPr>
          <w:rFonts w:cs="Arial"/>
          <w:sz w:val="22"/>
          <w:szCs w:val="22"/>
        </w:rPr>
        <w:t>)</w:t>
      </w:r>
      <w:r w:rsidR="00DB079B" w:rsidRPr="001A75E0">
        <w:rPr>
          <w:rFonts w:cs="Arial"/>
          <w:sz w:val="22"/>
          <w:szCs w:val="22"/>
        </w:rPr>
        <w:t>.</w:t>
      </w:r>
      <w:r w:rsidRPr="001A75E0">
        <w:rPr>
          <w:rFonts w:cs="Arial"/>
          <w:sz w:val="22"/>
          <w:szCs w:val="22"/>
        </w:rPr>
        <w:t xml:space="preserve"> </w:t>
      </w:r>
      <w:hyperlink r:id="rId35" w:history="1">
        <w:r w:rsidR="00DB079B" w:rsidRPr="001A75E0">
          <w:rPr>
            <w:rStyle w:val="Hyperlink"/>
            <w:rFonts w:cs="Arial"/>
            <w:sz w:val="22"/>
            <w:szCs w:val="22"/>
          </w:rPr>
          <w:t>Brighton &amp; Hove Adult Learning Disability Strategy: The Big Plan 2021-2026</w:t>
        </w:r>
      </w:hyperlink>
    </w:p>
  </w:endnote>
  <w:endnote w:id="37">
    <w:p w14:paraId="4F62D809" w14:textId="2A47AD71" w:rsidR="001E3E17" w:rsidRPr="001A75E0" w:rsidRDefault="007C6FC5"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w:t>
      </w:r>
      <w:r w:rsidR="001E3E17" w:rsidRPr="001A75E0">
        <w:rPr>
          <w:rFonts w:cs="Arial"/>
          <w:sz w:val="22"/>
          <w:szCs w:val="22"/>
        </w:rPr>
        <w:t xml:space="preserve">Brighton &amp; Hove City Council, </w:t>
      </w:r>
      <w:r w:rsidR="00B1632B" w:rsidRPr="001A75E0">
        <w:rPr>
          <w:rFonts w:cs="Arial"/>
          <w:sz w:val="22"/>
          <w:szCs w:val="22"/>
        </w:rPr>
        <w:t>(</w:t>
      </w:r>
      <w:r w:rsidR="001E3E17" w:rsidRPr="001A75E0">
        <w:rPr>
          <w:rFonts w:cs="Arial"/>
          <w:sz w:val="22"/>
          <w:szCs w:val="22"/>
        </w:rPr>
        <w:t>202</w:t>
      </w:r>
      <w:r w:rsidR="0011637E" w:rsidRPr="001A75E0">
        <w:rPr>
          <w:rFonts w:cs="Arial"/>
          <w:sz w:val="22"/>
          <w:szCs w:val="22"/>
        </w:rPr>
        <w:t>3</w:t>
      </w:r>
      <w:r w:rsidR="00B1632B" w:rsidRPr="001A75E0">
        <w:rPr>
          <w:rFonts w:cs="Arial"/>
          <w:sz w:val="22"/>
          <w:szCs w:val="22"/>
        </w:rPr>
        <w:t>)</w:t>
      </w:r>
      <w:r w:rsidR="001E3E17" w:rsidRPr="001A75E0">
        <w:rPr>
          <w:rFonts w:cs="Arial"/>
          <w:sz w:val="22"/>
          <w:szCs w:val="22"/>
        </w:rPr>
        <w:t>.</w:t>
      </w:r>
      <w:r w:rsidRPr="001A75E0">
        <w:rPr>
          <w:rFonts w:cs="Arial"/>
          <w:sz w:val="22"/>
          <w:szCs w:val="22"/>
        </w:rPr>
        <w:t xml:space="preserve"> </w:t>
      </w:r>
      <w:hyperlink r:id="rId36" w:history="1">
        <w:r w:rsidR="00836512" w:rsidRPr="001A75E0">
          <w:rPr>
            <w:rStyle w:val="Hyperlink"/>
            <w:rFonts w:cs="Arial"/>
            <w:sz w:val="22"/>
            <w:szCs w:val="22"/>
          </w:rPr>
          <w:t>Brighton &amp; Hove adult autism strategy and action plan</w:t>
        </w:r>
      </w:hyperlink>
    </w:p>
  </w:endnote>
  <w:endnote w:id="38">
    <w:p w14:paraId="27A014A8" w14:textId="1AD5A364" w:rsidR="0011637E" w:rsidRPr="001A75E0" w:rsidRDefault="007C6FC5"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NHS Sussex</w:t>
      </w:r>
      <w:r w:rsidR="000A5238" w:rsidRPr="001A75E0">
        <w:rPr>
          <w:rFonts w:cs="Arial"/>
          <w:sz w:val="22"/>
          <w:szCs w:val="22"/>
        </w:rPr>
        <w:t xml:space="preserve">, </w:t>
      </w:r>
      <w:r w:rsidR="00B1632B" w:rsidRPr="001A75E0">
        <w:rPr>
          <w:rFonts w:cs="Arial"/>
          <w:sz w:val="22"/>
          <w:szCs w:val="22"/>
        </w:rPr>
        <w:t>(</w:t>
      </w:r>
      <w:r w:rsidR="005A46C2" w:rsidRPr="001A75E0">
        <w:rPr>
          <w:rFonts w:cs="Arial"/>
          <w:sz w:val="22"/>
          <w:szCs w:val="22"/>
        </w:rPr>
        <w:t>2021</w:t>
      </w:r>
      <w:r w:rsidR="00B1632B" w:rsidRPr="001A75E0">
        <w:rPr>
          <w:rFonts w:cs="Arial"/>
          <w:sz w:val="22"/>
          <w:szCs w:val="22"/>
        </w:rPr>
        <w:t>)</w:t>
      </w:r>
      <w:r w:rsidRPr="001A75E0">
        <w:rPr>
          <w:rFonts w:cs="Arial"/>
          <w:sz w:val="22"/>
          <w:szCs w:val="22"/>
        </w:rPr>
        <w:t xml:space="preserve">. </w:t>
      </w:r>
      <w:hyperlink r:id="rId37" w:history="1">
        <w:r w:rsidR="000A5238" w:rsidRPr="001A75E0">
          <w:rPr>
            <w:rStyle w:val="Hyperlink"/>
            <w:rFonts w:cs="Arial"/>
            <w:sz w:val="22"/>
            <w:szCs w:val="22"/>
          </w:rPr>
          <w:t>All Age Learning Disability and Autism Strategy 2021-2024</w:t>
        </w:r>
      </w:hyperlink>
    </w:p>
  </w:endnote>
  <w:endnote w:id="39">
    <w:p w14:paraId="395376CB" w14:textId="10E9F6EB" w:rsidR="003525D6" w:rsidRPr="001A75E0" w:rsidRDefault="007C6FC5"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NHS Sussex</w:t>
      </w:r>
      <w:r w:rsidR="00701B58" w:rsidRPr="001A75E0">
        <w:rPr>
          <w:rFonts w:cs="Arial"/>
          <w:sz w:val="22"/>
          <w:szCs w:val="22"/>
        </w:rPr>
        <w:t xml:space="preserve">, </w:t>
      </w:r>
      <w:r w:rsidR="00B1632B" w:rsidRPr="001A75E0">
        <w:rPr>
          <w:rFonts w:cs="Arial"/>
          <w:sz w:val="22"/>
          <w:szCs w:val="22"/>
        </w:rPr>
        <w:t>(</w:t>
      </w:r>
      <w:r w:rsidR="00701B58" w:rsidRPr="001A75E0">
        <w:rPr>
          <w:rFonts w:cs="Arial"/>
          <w:sz w:val="22"/>
          <w:szCs w:val="22"/>
        </w:rPr>
        <w:t>2024</w:t>
      </w:r>
      <w:r w:rsidR="00B1632B" w:rsidRPr="001A75E0">
        <w:rPr>
          <w:rFonts w:cs="Arial"/>
          <w:sz w:val="22"/>
          <w:szCs w:val="22"/>
        </w:rPr>
        <w:t>)</w:t>
      </w:r>
      <w:r w:rsidRPr="001A75E0">
        <w:rPr>
          <w:rFonts w:cs="Arial"/>
          <w:sz w:val="22"/>
          <w:szCs w:val="22"/>
        </w:rPr>
        <w:t xml:space="preserve">. </w:t>
      </w:r>
      <w:hyperlink r:id="rId38" w:history="1">
        <w:r w:rsidR="003525D6" w:rsidRPr="001A75E0">
          <w:rPr>
            <w:rStyle w:val="Hyperlink"/>
            <w:rFonts w:cs="Arial"/>
            <w:sz w:val="22"/>
            <w:szCs w:val="22"/>
          </w:rPr>
          <w:t>Driving improvements in neurodevelopmental services across Sussex</w:t>
        </w:r>
      </w:hyperlink>
    </w:p>
  </w:endnote>
  <w:endnote w:id="40">
    <w:p w14:paraId="7C72B821" w14:textId="7AB242B3" w:rsidR="0077104A" w:rsidRPr="001A75E0" w:rsidRDefault="00D57713" w:rsidP="0077104A">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Sussex Health &amp; Care</w:t>
      </w:r>
      <w:r w:rsidR="0077104A" w:rsidRPr="001A75E0">
        <w:rPr>
          <w:rFonts w:cs="Arial"/>
          <w:sz w:val="22"/>
          <w:szCs w:val="22"/>
        </w:rPr>
        <w:t>,</w:t>
      </w:r>
      <w:r w:rsidR="0077160C" w:rsidRPr="001A75E0">
        <w:rPr>
          <w:rFonts w:cs="Arial"/>
          <w:sz w:val="22"/>
          <w:szCs w:val="22"/>
        </w:rPr>
        <w:t xml:space="preserve"> </w:t>
      </w:r>
      <w:r w:rsidR="00B1632B" w:rsidRPr="001A75E0">
        <w:rPr>
          <w:rFonts w:cs="Arial"/>
          <w:sz w:val="22"/>
          <w:szCs w:val="22"/>
        </w:rPr>
        <w:t>(</w:t>
      </w:r>
      <w:r w:rsidR="0077160C" w:rsidRPr="001A75E0">
        <w:rPr>
          <w:rFonts w:cs="Arial"/>
          <w:sz w:val="22"/>
          <w:szCs w:val="22"/>
        </w:rPr>
        <w:t>2023</w:t>
      </w:r>
      <w:r w:rsidR="00B1632B" w:rsidRPr="001A75E0">
        <w:rPr>
          <w:rFonts w:cs="Arial"/>
          <w:sz w:val="22"/>
          <w:szCs w:val="22"/>
        </w:rPr>
        <w:t>)</w:t>
      </w:r>
      <w:r w:rsidR="0077160C" w:rsidRPr="001A75E0">
        <w:rPr>
          <w:rFonts w:cs="Arial"/>
          <w:sz w:val="22"/>
          <w:szCs w:val="22"/>
        </w:rPr>
        <w:t xml:space="preserve">. </w:t>
      </w:r>
      <w:hyperlink r:id="rId39" w:history="1">
        <w:r w:rsidR="0077104A" w:rsidRPr="001A75E0">
          <w:rPr>
            <w:rStyle w:val="Hyperlink"/>
            <w:rFonts w:cs="Arial"/>
            <w:sz w:val="22"/>
            <w:szCs w:val="22"/>
          </w:rPr>
          <w:t>Improving Lives Together Ambition to Reality: Our Shared Delivery Plan</w:t>
        </w:r>
      </w:hyperlink>
    </w:p>
  </w:endnote>
  <w:endnote w:id="41">
    <w:p w14:paraId="0761B94D" w14:textId="23B5C91C" w:rsidR="00DA7122" w:rsidRPr="001A75E0" w:rsidRDefault="007E463B"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w:t>
      </w:r>
      <w:r w:rsidR="00164F3B" w:rsidRPr="001A75E0">
        <w:rPr>
          <w:rFonts w:cs="Arial"/>
          <w:sz w:val="22"/>
          <w:szCs w:val="22"/>
        </w:rPr>
        <w:t>Brighton &amp; Hove City Council</w:t>
      </w:r>
      <w:r w:rsidR="00F8657E" w:rsidRPr="001A75E0">
        <w:rPr>
          <w:rFonts w:cs="Arial"/>
          <w:sz w:val="22"/>
          <w:szCs w:val="22"/>
        </w:rPr>
        <w:t xml:space="preserve"> and</w:t>
      </w:r>
      <w:r w:rsidR="00164F3B" w:rsidRPr="001A75E0">
        <w:rPr>
          <w:rFonts w:cs="Arial"/>
          <w:sz w:val="22"/>
          <w:szCs w:val="22"/>
        </w:rPr>
        <w:t xml:space="preserve"> Brighton and Hove C</w:t>
      </w:r>
      <w:r w:rsidR="00C10277" w:rsidRPr="001A75E0">
        <w:rPr>
          <w:rFonts w:cs="Arial"/>
          <w:sz w:val="22"/>
          <w:szCs w:val="22"/>
        </w:rPr>
        <w:t>CG</w:t>
      </w:r>
      <w:r w:rsidR="004B6AD3" w:rsidRPr="001A75E0">
        <w:rPr>
          <w:rFonts w:cs="Arial"/>
          <w:sz w:val="22"/>
          <w:szCs w:val="22"/>
        </w:rPr>
        <w:t xml:space="preserve">, </w:t>
      </w:r>
      <w:r w:rsidR="00B1632B" w:rsidRPr="001A75E0">
        <w:rPr>
          <w:rFonts w:cs="Arial"/>
          <w:sz w:val="22"/>
          <w:szCs w:val="22"/>
        </w:rPr>
        <w:t>(</w:t>
      </w:r>
      <w:r w:rsidR="00C10277" w:rsidRPr="001A75E0">
        <w:rPr>
          <w:rFonts w:cs="Arial"/>
          <w:sz w:val="22"/>
          <w:szCs w:val="22"/>
        </w:rPr>
        <w:t>2019</w:t>
      </w:r>
      <w:r w:rsidR="00B1632B" w:rsidRPr="001A75E0">
        <w:rPr>
          <w:rFonts w:cs="Arial"/>
          <w:sz w:val="22"/>
          <w:szCs w:val="22"/>
        </w:rPr>
        <w:t>)</w:t>
      </w:r>
      <w:r w:rsidR="00C10277" w:rsidRPr="001A75E0">
        <w:rPr>
          <w:rFonts w:cs="Arial"/>
          <w:sz w:val="22"/>
          <w:szCs w:val="22"/>
        </w:rPr>
        <w:t xml:space="preserve">. </w:t>
      </w:r>
      <w:hyperlink r:id="rId40" w:history="1">
        <w:r w:rsidR="00F8657E" w:rsidRPr="001A75E0">
          <w:rPr>
            <w:rStyle w:val="Hyperlink"/>
            <w:rFonts w:cs="Arial"/>
            <w:sz w:val="22"/>
            <w:szCs w:val="22"/>
          </w:rPr>
          <w:t>Brighton &amp; Hove Joint Health and Wellbeing Strategy 2019 to 2030</w:t>
        </w:r>
      </w:hyperlink>
    </w:p>
  </w:endnote>
  <w:endnote w:id="42">
    <w:p w14:paraId="30349E3A" w14:textId="0FF10939" w:rsidR="00C10277" w:rsidRPr="001A75E0" w:rsidRDefault="006837BB"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Sussex Health &amp; Care</w:t>
      </w:r>
      <w:r w:rsidR="00E8168D" w:rsidRPr="001A75E0">
        <w:rPr>
          <w:rFonts w:cs="Arial"/>
          <w:sz w:val="22"/>
          <w:szCs w:val="22"/>
        </w:rPr>
        <w:t>,</w:t>
      </w:r>
      <w:r w:rsidR="00E85F2B" w:rsidRPr="001A75E0">
        <w:rPr>
          <w:rFonts w:cs="Arial"/>
          <w:sz w:val="22"/>
          <w:szCs w:val="22"/>
        </w:rPr>
        <w:t xml:space="preserve"> </w:t>
      </w:r>
      <w:r w:rsidR="00B1632B" w:rsidRPr="001A75E0">
        <w:rPr>
          <w:rFonts w:cs="Arial"/>
          <w:sz w:val="22"/>
          <w:szCs w:val="22"/>
        </w:rPr>
        <w:t>(</w:t>
      </w:r>
      <w:r w:rsidR="00E713B0" w:rsidRPr="001A75E0">
        <w:rPr>
          <w:rFonts w:cs="Arial"/>
          <w:sz w:val="22"/>
          <w:szCs w:val="22"/>
        </w:rPr>
        <w:t>2023</w:t>
      </w:r>
      <w:r w:rsidR="00B1632B" w:rsidRPr="001A75E0">
        <w:rPr>
          <w:rFonts w:cs="Arial"/>
          <w:sz w:val="22"/>
          <w:szCs w:val="22"/>
        </w:rPr>
        <w:t>)</w:t>
      </w:r>
      <w:r w:rsidR="00E85F2B" w:rsidRPr="001A75E0">
        <w:rPr>
          <w:rFonts w:cs="Arial"/>
          <w:sz w:val="22"/>
          <w:szCs w:val="22"/>
        </w:rPr>
        <w:t xml:space="preserve">. </w:t>
      </w:r>
      <w:hyperlink r:id="rId41" w:history="1">
        <w:r w:rsidR="00E85F2B" w:rsidRPr="001A75E0">
          <w:rPr>
            <w:rStyle w:val="Hyperlink"/>
            <w:rFonts w:cs="Arial"/>
            <w:sz w:val="22"/>
            <w:szCs w:val="22"/>
          </w:rPr>
          <w:t>Integrated Community Teams</w:t>
        </w:r>
      </w:hyperlink>
    </w:p>
  </w:endnote>
  <w:endnote w:id="43">
    <w:p w14:paraId="46B29CB3" w14:textId="65BEC338" w:rsidR="00E8168D" w:rsidRPr="001A75E0" w:rsidRDefault="007C6FC5"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Sussex Health &amp; Care</w:t>
      </w:r>
      <w:r w:rsidR="00E8168D" w:rsidRPr="001A75E0">
        <w:rPr>
          <w:rFonts w:cs="Arial"/>
          <w:sz w:val="22"/>
          <w:szCs w:val="22"/>
        </w:rPr>
        <w:t xml:space="preserve">, </w:t>
      </w:r>
      <w:r w:rsidR="00BB3883" w:rsidRPr="001A75E0">
        <w:rPr>
          <w:rFonts w:cs="Arial"/>
          <w:sz w:val="22"/>
          <w:szCs w:val="22"/>
        </w:rPr>
        <w:t>no date</w:t>
      </w:r>
      <w:r w:rsidRPr="001A75E0">
        <w:rPr>
          <w:rFonts w:cs="Arial"/>
          <w:sz w:val="22"/>
          <w:szCs w:val="22"/>
        </w:rPr>
        <w:t xml:space="preserve">. </w:t>
      </w:r>
      <w:hyperlink r:id="rId42" w:history="1">
        <w:r w:rsidR="005B0BE4" w:rsidRPr="001A75E0">
          <w:rPr>
            <w:rStyle w:val="Hyperlink"/>
            <w:rFonts w:cs="Arial"/>
            <w:sz w:val="22"/>
            <w:szCs w:val="22"/>
          </w:rPr>
          <w:t>Learning Disability and Autism</w:t>
        </w:r>
      </w:hyperlink>
      <w:r w:rsidR="00CE6196">
        <w:rPr>
          <w:sz w:val="22"/>
          <w:szCs w:val="22"/>
        </w:rPr>
        <w:t>.</w:t>
      </w:r>
      <w:r w:rsidRPr="001A75E0">
        <w:rPr>
          <w:rFonts w:cs="Arial"/>
          <w:sz w:val="22"/>
          <w:szCs w:val="22"/>
        </w:rPr>
        <w:t xml:space="preserve"> </w:t>
      </w:r>
      <w:r w:rsidR="005B0BE4" w:rsidRPr="001A75E0">
        <w:rPr>
          <w:rFonts w:cs="Arial"/>
          <w:sz w:val="22"/>
          <w:szCs w:val="22"/>
        </w:rPr>
        <w:t>(A</w:t>
      </w:r>
      <w:r w:rsidR="00E8168D" w:rsidRPr="001A75E0">
        <w:rPr>
          <w:rFonts w:cs="Arial"/>
          <w:sz w:val="22"/>
          <w:szCs w:val="22"/>
        </w:rPr>
        <w:t>ccessed October 2024</w:t>
      </w:r>
      <w:r w:rsidR="005B0BE4" w:rsidRPr="001A75E0">
        <w:rPr>
          <w:rFonts w:cs="Arial"/>
          <w:sz w:val="22"/>
          <w:szCs w:val="22"/>
        </w:rPr>
        <w:t>).</w:t>
      </w:r>
    </w:p>
  </w:endnote>
  <w:endnote w:id="44">
    <w:p w14:paraId="7D83DDE9" w14:textId="2CFB7F37" w:rsidR="005B0BE4" w:rsidRPr="003A53D8" w:rsidRDefault="007C6FC5" w:rsidP="00587ADD">
      <w:pPr>
        <w:pStyle w:val="EndnoteText"/>
        <w:rPr>
          <w:rFonts w:cs="Arial"/>
          <w:sz w:val="22"/>
          <w:szCs w:val="22"/>
        </w:rPr>
      </w:pPr>
      <w:r w:rsidRPr="001A75E0">
        <w:rPr>
          <w:rStyle w:val="EndnoteReference"/>
          <w:rFonts w:cs="Arial"/>
          <w:sz w:val="22"/>
          <w:szCs w:val="22"/>
        </w:rPr>
        <w:endnoteRef/>
      </w:r>
      <w:r w:rsidRPr="001A75E0">
        <w:rPr>
          <w:rFonts w:cs="Arial"/>
          <w:sz w:val="22"/>
          <w:szCs w:val="22"/>
        </w:rPr>
        <w:t xml:space="preserve"> </w:t>
      </w:r>
      <w:r w:rsidR="00F27EEC" w:rsidRPr="001A75E0">
        <w:rPr>
          <w:rFonts w:cs="Arial"/>
          <w:sz w:val="22"/>
          <w:szCs w:val="22"/>
        </w:rPr>
        <w:t xml:space="preserve">Brighton &amp; Hove City Council, </w:t>
      </w:r>
      <w:r w:rsidR="00B1632B" w:rsidRPr="001A75E0">
        <w:rPr>
          <w:rFonts w:cs="Arial"/>
          <w:sz w:val="22"/>
          <w:szCs w:val="22"/>
        </w:rPr>
        <w:t>(</w:t>
      </w:r>
      <w:r w:rsidR="00F27EEC" w:rsidRPr="001A75E0">
        <w:rPr>
          <w:rFonts w:cs="Arial"/>
          <w:sz w:val="22"/>
          <w:szCs w:val="22"/>
        </w:rPr>
        <w:t>20</w:t>
      </w:r>
      <w:r w:rsidR="00AD0433" w:rsidRPr="001A75E0">
        <w:rPr>
          <w:rFonts w:cs="Arial"/>
          <w:sz w:val="22"/>
          <w:szCs w:val="22"/>
        </w:rPr>
        <w:t>2</w:t>
      </w:r>
      <w:r w:rsidR="00F27EEC" w:rsidRPr="001A75E0">
        <w:rPr>
          <w:rFonts w:cs="Arial"/>
          <w:sz w:val="22"/>
          <w:szCs w:val="22"/>
        </w:rPr>
        <w:t>1</w:t>
      </w:r>
      <w:r w:rsidR="00B1632B" w:rsidRPr="001A75E0">
        <w:rPr>
          <w:rFonts w:cs="Arial"/>
          <w:sz w:val="22"/>
          <w:szCs w:val="22"/>
        </w:rPr>
        <w:t>)</w:t>
      </w:r>
      <w:r w:rsidRPr="001A75E0">
        <w:rPr>
          <w:rFonts w:cs="Arial"/>
          <w:sz w:val="22"/>
          <w:szCs w:val="22"/>
        </w:rPr>
        <w:t xml:space="preserve">. </w:t>
      </w:r>
      <w:hyperlink r:id="rId43" w:history="1">
        <w:r w:rsidR="00876E1F" w:rsidRPr="001A75E0">
          <w:rPr>
            <w:rStyle w:val="Hyperlink"/>
            <w:rFonts w:cs="Arial"/>
            <w:sz w:val="22"/>
            <w:szCs w:val="22"/>
          </w:rPr>
          <w:t>Brighton &amp; Hove Special Educational Needs and Disabilities Guide for Professionals: Executive Summary for Partners in Education</w:t>
        </w:r>
      </w:hyperlink>
    </w:p>
  </w:endnote>
  <w:endnote w:id="45">
    <w:p w14:paraId="62F1DE9D" w14:textId="474C1A9A" w:rsidR="00EB6D43" w:rsidRPr="00F57C85" w:rsidRDefault="007C6FC5" w:rsidP="00EB6D43">
      <w:pPr>
        <w:pStyle w:val="EndnoteText"/>
        <w:rPr>
          <w:rFonts w:cs="Arial"/>
          <w:sz w:val="22"/>
          <w:szCs w:val="22"/>
        </w:rPr>
      </w:pPr>
      <w:r w:rsidRPr="00F57C85">
        <w:rPr>
          <w:rStyle w:val="EndnoteReference"/>
          <w:rFonts w:cs="Arial"/>
          <w:sz w:val="22"/>
          <w:szCs w:val="22"/>
        </w:rPr>
        <w:endnoteRef/>
      </w:r>
      <w:r w:rsidRPr="00F57C85">
        <w:rPr>
          <w:rFonts w:cs="Arial"/>
          <w:sz w:val="22"/>
          <w:szCs w:val="22"/>
        </w:rPr>
        <w:t xml:space="preserve"> Brighton &amp; Hove City Council</w:t>
      </w:r>
      <w:r w:rsidR="00EB6D43" w:rsidRPr="00F57C85">
        <w:rPr>
          <w:rFonts w:cs="Arial"/>
          <w:sz w:val="22"/>
          <w:szCs w:val="22"/>
        </w:rPr>
        <w:t>,</w:t>
      </w:r>
      <w:r w:rsidRPr="00F57C85">
        <w:rPr>
          <w:rFonts w:cs="Arial"/>
          <w:sz w:val="22"/>
          <w:szCs w:val="22"/>
        </w:rPr>
        <w:t xml:space="preserve"> </w:t>
      </w:r>
      <w:r w:rsidR="007B1577" w:rsidRPr="00F57C85">
        <w:rPr>
          <w:rFonts w:cs="Arial"/>
          <w:sz w:val="22"/>
          <w:szCs w:val="22"/>
        </w:rPr>
        <w:t>(</w:t>
      </w:r>
      <w:r w:rsidRPr="00F57C85">
        <w:rPr>
          <w:rFonts w:cs="Arial"/>
          <w:sz w:val="22"/>
          <w:szCs w:val="22"/>
        </w:rPr>
        <w:t>2023</w:t>
      </w:r>
      <w:r w:rsidR="007B1577" w:rsidRPr="00F57C85">
        <w:rPr>
          <w:rFonts w:cs="Arial"/>
          <w:sz w:val="22"/>
          <w:szCs w:val="22"/>
        </w:rPr>
        <w:t>)</w:t>
      </w:r>
      <w:r w:rsidRPr="00F57C85">
        <w:rPr>
          <w:rFonts w:cs="Arial"/>
          <w:sz w:val="22"/>
          <w:szCs w:val="22"/>
        </w:rPr>
        <w:t xml:space="preserve">. </w:t>
      </w:r>
      <w:hyperlink r:id="rId44" w:history="1">
        <w:r w:rsidR="00EB6D43" w:rsidRPr="00F57C85">
          <w:rPr>
            <w:rStyle w:val="Hyperlink"/>
            <w:rFonts w:cs="Arial"/>
            <w:sz w:val="22"/>
            <w:szCs w:val="22"/>
          </w:rPr>
          <w:t>PowerPoint Presentation: Health and Adult Social Care Delivery Strategy 2023-2027</w:t>
        </w:r>
      </w:hyperlink>
    </w:p>
  </w:endnote>
  <w:endnote w:id="46">
    <w:p w14:paraId="6B6E6884" w14:textId="4DA55392" w:rsidR="003D74BC" w:rsidRPr="00F57C85" w:rsidRDefault="007C6FC5" w:rsidP="00587ADD">
      <w:pPr>
        <w:pStyle w:val="EndnoteText"/>
        <w:rPr>
          <w:rFonts w:cs="Arial"/>
          <w:sz w:val="22"/>
          <w:szCs w:val="22"/>
        </w:rPr>
      </w:pPr>
      <w:r w:rsidRPr="00F57C85">
        <w:rPr>
          <w:rStyle w:val="EndnoteReference"/>
          <w:rFonts w:cs="Arial"/>
          <w:sz w:val="22"/>
          <w:szCs w:val="22"/>
        </w:rPr>
        <w:endnoteRef/>
      </w:r>
      <w:r w:rsidRPr="00F57C85">
        <w:rPr>
          <w:rFonts w:cs="Arial"/>
          <w:sz w:val="22"/>
          <w:szCs w:val="22"/>
        </w:rPr>
        <w:t xml:space="preserve"> </w:t>
      </w:r>
      <w:r w:rsidR="00E2503A" w:rsidRPr="00F57C85">
        <w:rPr>
          <w:rFonts w:cs="Arial"/>
          <w:sz w:val="22"/>
          <w:szCs w:val="22"/>
        </w:rPr>
        <w:t xml:space="preserve">Brighton &amp; Hove City Council, </w:t>
      </w:r>
      <w:r w:rsidR="00BB3883" w:rsidRPr="00F57C85">
        <w:rPr>
          <w:rFonts w:cs="Arial"/>
          <w:sz w:val="22"/>
          <w:szCs w:val="22"/>
        </w:rPr>
        <w:t>no date</w:t>
      </w:r>
      <w:r w:rsidRPr="00F57C85">
        <w:rPr>
          <w:rFonts w:cs="Arial"/>
          <w:sz w:val="22"/>
          <w:szCs w:val="22"/>
        </w:rPr>
        <w:t xml:space="preserve">. </w:t>
      </w:r>
      <w:hyperlink r:id="rId45" w:history="1">
        <w:r w:rsidR="003D74BC" w:rsidRPr="00F57C85">
          <w:rPr>
            <w:rStyle w:val="Hyperlink"/>
            <w:rFonts w:cs="Arial"/>
            <w:sz w:val="22"/>
            <w:szCs w:val="22"/>
          </w:rPr>
          <w:t>Brighton &amp; Hove’s Hidden Children Strategy</w:t>
        </w:r>
      </w:hyperlink>
    </w:p>
  </w:endnote>
  <w:endnote w:id="47">
    <w:p w14:paraId="19E82F91" w14:textId="5A83E8C5" w:rsidR="00BB3883" w:rsidRPr="00F57C85" w:rsidRDefault="007C6FC5" w:rsidP="00587ADD">
      <w:pPr>
        <w:pStyle w:val="EndnoteText"/>
        <w:rPr>
          <w:rFonts w:cs="Arial"/>
          <w:sz w:val="22"/>
          <w:szCs w:val="22"/>
        </w:rPr>
      </w:pPr>
      <w:r w:rsidRPr="00F57C85">
        <w:rPr>
          <w:rStyle w:val="EndnoteReference"/>
          <w:rFonts w:cs="Arial"/>
          <w:sz w:val="22"/>
          <w:szCs w:val="22"/>
        </w:rPr>
        <w:endnoteRef/>
      </w:r>
      <w:r w:rsidRPr="00F57C85">
        <w:rPr>
          <w:rFonts w:cs="Arial"/>
          <w:sz w:val="22"/>
          <w:szCs w:val="22"/>
        </w:rPr>
        <w:t xml:space="preserve"> Brighton &amp; Hove City Council</w:t>
      </w:r>
      <w:r w:rsidR="00FA1FA4" w:rsidRPr="00F57C85">
        <w:rPr>
          <w:rFonts w:cs="Arial"/>
          <w:sz w:val="22"/>
          <w:szCs w:val="22"/>
        </w:rPr>
        <w:t xml:space="preserve">, </w:t>
      </w:r>
      <w:r w:rsidR="007B1577" w:rsidRPr="00F57C85">
        <w:rPr>
          <w:rFonts w:cs="Arial"/>
          <w:sz w:val="22"/>
          <w:szCs w:val="22"/>
        </w:rPr>
        <w:t>(</w:t>
      </w:r>
      <w:r w:rsidR="00FA1FA4" w:rsidRPr="00F57C85">
        <w:rPr>
          <w:rFonts w:cs="Arial"/>
          <w:sz w:val="22"/>
          <w:szCs w:val="22"/>
        </w:rPr>
        <w:t>2020</w:t>
      </w:r>
      <w:r w:rsidR="007B1577" w:rsidRPr="00F57C85">
        <w:rPr>
          <w:rFonts w:cs="Arial"/>
          <w:sz w:val="22"/>
          <w:szCs w:val="22"/>
        </w:rPr>
        <w:t>)</w:t>
      </w:r>
      <w:r w:rsidRPr="00F57C85">
        <w:rPr>
          <w:rFonts w:cs="Arial"/>
          <w:sz w:val="22"/>
          <w:szCs w:val="22"/>
        </w:rPr>
        <w:t xml:space="preserve">. </w:t>
      </w:r>
      <w:hyperlink r:id="rId46" w:history="1">
        <w:r w:rsidR="00FA1FA4" w:rsidRPr="00F57C85">
          <w:rPr>
            <w:rStyle w:val="Hyperlink"/>
            <w:rFonts w:cs="Arial"/>
            <w:sz w:val="22"/>
            <w:szCs w:val="22"/>
          </w:rPr>
          <w:t>Brighton &amp; Hove City Council</w:t>
        </w:r>
        <w:r w:rsidR="00A7603C" w:rsidRPr="00F57C85">
          <w:rPr>
            <w:rStyle w:val="Hyperlink"/>
            <w:rFonts w:cs="Arial"/>
            <w:sz w:val="22"/>
            <w:szCs w:val="22"/>
          </w:rPr>
          <w:t>:</w:t>
        </w:r>
        <w:r w:rsidR="00FA1FA4" w:rsidRPr="00F57C85">
          <w:rPr>
            <w:rStyle w:val="Hyperlink"/>
            <w:rFonts w:cs="Arial"/>
            <w:sz w:val="22"/>
            <w:szCs w:val="22"/>
          </w:rPr>
          <w:t xml:space="preserve"> Our plan 2020 to 2023</w:t>
        </w:r>
        <w:r w:rsidR="00A7603C" w:rsidRPr="00F57C85">
          <w:rPr>
            <w:rStyle w:val="Hyperlink"/>
            <w:rFonts w:cs="Arial"/>
            <w:sz w:val="22"/>
            <w:szCs w:val="22"/>
          </w:rPr>
          <w:t xml:space="preserve"> -</w:t>
        </w:r>
        <w:r w:rsidR="00FA1FA4" w:rsidRPr="00F57C85">
          <w:rPr>
            <w:rStyle w:val="Hyperlink"/>
            <w:rFonts w:cs="Arial"/>
            <w:sz w:val="22"/>
            <w:szCs w:val="22"/>
          </w:rPr>
          <w:t xml:space="preserve"> A fairer city, a sustainable future</w:t>
        </w:r>
      </w:hyperlink>
    </w:p>
  </w:endnote>
  <w:endnote w:id="48">
    <w:p w14:paraId="6E0115FB" w14:textId="1185BA84" w:rsidR="00E802C3" w:rsidRPr="00F57C85" w:rsidRDefault="00C22A64" w:rsidP="00587ADD">
      <w:pPr>
        <w:pStyle w:val="EndnoteText"/>
        <w:rPr>
          <w:rFonts w:cs="Arial"/>
          <w:sz w:val="22"/>
          <w:szCs w:val="22"/>
        </w:rPr>
      </w:pPr>
      <w:r w:rsidRPr="00F57C85">
        <w:rPr>
          <w:rStyle w:val="EndnoteReference"/>
          <w:rFonts w:cs="Arial"/>
          <w:sz w:val="22"/>
          <w:szCs w:val="22"/>
        </w:rPr>
        <w:endnoteRef/>
      </w:r>
      <w:r w:rsidRPr="00F57C85">
        <w:rPr>
          <w:rFonts w:cs="Arial"/>
          <w:sz w:val="22"/>
          <w:szCs w:val="22"/>
        </w:rPr>
        <w:t xml:space="preserve"> Department for Work </w:t>
      </w:r>
      <w:r w:rsidR="0032721B" w:rsidRPr="00F57C85">
        <w:rPr>
          <w:rFonts w:cs="Arial"/>
          <w:sz w:val="22"/>
          <w:szCs w:val="22"/>
        </w:rPr>
        <w:t>&amp;</w:t>
      </w:r>
      <w:r w:rsidRPr="00F57C85">
        <w:rPr>
          <w:rFonts w:cs="Arial"/>
          <w:sz w:val="22"/>
          <w:szCs w:val="22"/>
        </w:rPr>
        <w:t xml:space="preserve"> Pensions</w:t>
      </w:r>
      <w:r w:rsidR="00333178" w:rsidRPr="00F57C85">
        <w:rPr>
          <w:rFonts w:cs="Arial"/>
          <w:sz w:val="22"/>
          <w:szCs w:val="22"/>
        </w:rPr>
        <w:t xml:space="preserve">, </w:t>
      </w:r>
      <w:r w:rsidR="007B1577" w:rsidRPr="00F57C85">
        <w:rPr>
          <w:rFonts w:cs="Arial"/>
          <w:sz w:val="22"/>
          <w:szCs w:val="22"/>
        </w:rPr>
        <w:t>(</w:t>
      </w:r>
      <w:r w:rsidR="00333178" w:rsidRPr="00F57C85">
        <w:rPr>
          <w:rFonts w:cs="Arial"/>
          <w:sz w:val="22"/>
          <w:szCs w:val="22"/>
        </w:rPr>
        <w:t>2025</w:t>
      </w:r>
      <w:r w:rsidR="00BE2009" w:rsidRPr="00F57C85">
        <w:rPr>
          <w:rFonts w:cs="Arial"/>
          <w:sz w:val="22"/>
          <w:szCs w:val="22"/>
        </w:rPr>
        <w:t>)</w:t>
      </w:r>
      <w:r w:rsidR="00333178" w:rsidRPr="00F57C85">
        <w:rPr>
          <w:rFonts w:cs="Arial"/>
          <w:sz w:val="22"/>
          <w:szCs w:val="22"/>
        </w:rPr>
        <w:t xml:space="preserve">. </w:t>
      </w:r>
      <w:hyperlink r:id="rId47" w:history="1">
        <w:r w:rsidR="00333178" w:rsidRPr="00F57C85">
          <w:rPr>
            <w:rStyle w:val="Hyperlink"/>
            <w:rFonts w:cs="Arial"/>
            <w:sz w:val="22"/>
            <w:szCs w:val="22"/>
          </w:rPr>
          <w:t>Family Resources Survey: financial year 2022 to 2023</w:t>
        </w:r>
      </w:hyperlink>
    </w:p>
  </w:endnote>
  <w:endnote w:id="49">
    <w:p w14:paraId="27BE3E3C" w14:textId="52511179" w:rsidR="0032721B" w:rsidRPr="00F57C85" w:rsidRDefault="00981440" w:rsidP="00587ADD">
      <w:pPr>
        <w:pStyle w:val="EndnoteText"/>
        <w:rPr>
          <w:rFonts w:cs="Arial"/>
          <w:sz w:val="22"/>
          <w:szCs w:val="22"/>
        </w:rPr>
      </w:pPr>
      <w:r w:rsidRPr="00F57C85">
        <w:rPr>
          <w:rStyle w:val="EndnoteReference"/>
          <w:rFonts w:cs="Arial"/>
          <w:sz w:val="22"/>
          <w:szCs w:val="22"/>
        </w:rPr>
        <w:endnoteRef/>
      </w:r>
      <w:r w:rsidRPr="00F57C85">
        <w:rPr>
          <w:rFonts w:cs="Arial"/>
          <w:sz w:val="22"/>
          <w:szCs w:val="22"/>
        </w:rPr>
        <w:t xml:space="preserve"> Department for Education</w:t>
      </w:r>
      <w:r w:rsidR="00B07E1F" w:rsidRPr="00F57C85">
        <w:rPr>
          <w:rFonts w:cs="Arial"/>
          <w:sz w:val="22"/>
          <w:szCs w:val="22"/>
        </w:rPr>
        <w:t xml:space="preserve">, </w:t>
      </w:r>
      <w:r w:rsidR="00BE2009" w:rsidRPr="00F57C85">
        <w:rPr>
          <w:rFonts w:cs="Arial"/>
          <w:sz w:val="22"/>
          <w:szCs w:val="22"/>
        </w:rPr>
        <w:t>(</w:t>
      </w:r>
      <w:r w:rsidR="00B07E1F" w:rsidRPr="00F57C85">
        <w:rPr>
          <w:rFonts w:cs="Arial"/>
          <w:sz w:val="22"/>
          <w:szCs w:val="22"/>
        </w:rPr>
        <w:t>2025</w:t>
      </w:r>
      <w:r w:rsidR="00BE2009" w:rsidRPr="00F57C85">
        <w:rPr>
          <w:rFonts w:cs="Arial"/>
          <w:sz w:val="22"/>
          <w:szCs w:val="22"/>
        </w:rPr>
        <w:t>)</w:t>
      </w:r>
      <w:r w:rsidRPr="00F57C85">
        <w:rPr>
          <w:rFonts w:cs="Arial"/>
          <w:sz w:val="22"/>
          <w:szCs w:val="22"/>
        </w:rPr>
        <w:t xml:space="preserve">. </w:t>
      </w:r>
      <w:hyperlink r:id="rId48" w:anchor="dataBlock-52866b7c-0ead-487f-90d0-9c6fe2f4308a-tables" w:history="1">
        <w:r w:rsidR="00D61636" w:rsidRPr="00F57C85">
          <w:rPr>
            <w:rStyle w:val="Hyperlink"/>
            <w:rFonts w:cs="Arial"/>
            <w:sz w:val="22"/>
            <w:szCs w:val="22"/>
          </w:rPr>
          <w:t>Special educational needs in England: Academic year 2024/25</w:t>
        </w:r>
      </w:hyperlink>
    </w:p>
  </w:endnote>
  <w:endnote w:id="50">
    <w:p w14:paraId="730C1C1F" w14:textId="0B183FA7" w:rsidR="00E67213" w:rsidRPr="00F57C85" w:rsidRDefault="00C22A64" w:rsidP="00E67213">
      <w:pPr>
        <w:pStyle w:val="EndnoteText"/>
        <w:rPr>
          <w:rFonts w:cs="Arial"/>
          <w:sz w:val="22"/>
          <w:szCs w:val="22"/>
        </w:rPr>
      </w:pPr>
      <w:r w:rsidRPr="00F57C85">
        <w:rPr>
          <w:rStyle w:val="EndnoteReference"/>
          <w:rFonts w:cs="Arial"/>
          <w:sz w:val="22"/>
          <w:szCs w:val="22"/>
        </w:rPr>
        <w:endnoteRef/>
      </w:r>
      <w:r w:rsidRPr="00F57C85">
        <w:rPr>
          <w:rFonts w:cs="Arial"/>
          <w:sz w:val="22"/>
          <w:szCs w:val="22"/>
        </w:rPr>
        <w:t xml:space="preserve"> Department for Education</w:t>
      </w:r>
      <w:r w:rsidR="00E67213" w:rsidRPr="00F57C85">
        <w:rPr>
          <w:rFonts w:cs="Arial"/>
          <w:sz w:val="22"/>
          <w:szCs w:val="22"/>
        </w:rPr>
        <w:t xml:space="preserve">, </w:t>
      </w:r>
      <w:r w:rsidR="00F57C85">
        <w:rPr>
          <w:rFonts w:cs="Arial"/>
          <w:sz w:val="22"/>
          <w:szCs w:val="22"/>
        </w:rPr>
        <w:t>(</w:t>
      </w:r>
      <w:r w:rsidR="00E67213" w:rsidRPr="00F57C85">
        <w:rPr>
          <w:rFonts w:cs="Arial"/>
          <w:sz w:val="22"/>
          <w:szCs w:val="22"/>
        </w:rPr>
        <w:t>202</w:t>
      </w:r>
      <w:r w:rsidR="00BA41A8" w:rsidRPr="00F57C85">
        <w:rPr>
          <w:rFonts w:cs="Arial"/>
          <w:sz w:val="22"/>
          <w:szCs w:val="22"/>
        </w:rPr>
        <w:t>5</w:t>
      </w:r>
      <w:r w:rsidR="00F57C85">
        <w:rPr>
          <w:rFonts w:cs="Arial"/>
          <w:sz w:val="22"/>
          <w:szCs w:val="22"/>
        </w:rPr>
        <w:t>)</w:t>
      </w:r>
      <w:r w:rsidR="00E67213" w:rsidRPr="00F57C85">
        <w:rPr>
          <w:rFonts w:cs="Arial"/>
          <w:sz w:val="22"/>
          <w:szCs w:val="22"/>
        </w:rPr>
        <w:t xml:space="preserve">. </w:t>
      </w:r>
      <w:hyperlink r:id="rId49" w:history="1">
        <w:r w:rsidR="00E67213" w:rsidRPr="00F57C85">
          <w:rPr>
            <w:rStyle w:val="Hyperlink"/>
            <w:rFonts w:cs="Arial"/>
            <w:sz w:val="22"/>
            <w:szCs w:val="22"/>
          </w:rPr>
          <w:t>Outcomes for children in need, including children looked after by local authorities in England: Reporting year 2024</w:t>
        </w:r>
      </w:hyperlink>
    </w:p>
  </w:endnote>
  <w:endnote w:id="51">
    <w:p w14:paraId="10F497B9" w14:textId="3C4EA456" w:rsidR="00DB79BD" w:rsidRPr="00F57C85" w:rsidRDefault="00DB79BD" w:rsidP="00587ADD">
      <w:pPr>
        <w:spacing w:line="240" w:lineRule="auto"/>
        <w:rPr>
          <w:rFonts w:eastAsia="Calibri" w:cs="Arial"/>
          <w:sz w:val="22"/>
          <w:u w:val="single"/>
        </w:rPr>
      </w:pPr>
      <w:r w:rsidRPr="00F57C85">
        <w:rPr>
          <w:rStyle w:val="EndnoteReference"/>
          <w:rFonts w:cs="Arial"/>
          <w:sz w:val="22"/>
        </w:rPr>
        <w:endnoteRef/>
      </w:r>
      <w:r w:rsidRPr="00F57C85">
        <w:rPr>
          <w:rFonts w:cs="Arial"/>
          <w:sz w:val="22"/>
        </w:rPr>
        <w:t xml:space="preserve"> Department for Education</w:t>
      </w:r>
      <w:r w:rsidR="00AC694F" w:rsidRPr="00F57C85">
        <w:rPr>
          <w:rFonts w:cs="Arial"/>
          <w:sz w:val="22"/>
        </w:rPr>
        <w:t xml:space="preserve">, </w:t>
      </w:r>
      <w:r w:rsidR="00BE2009" w:rsidRPr="00F57C85">
        <w:rPr>
          <w:rFonts w:cs="Arial"/>
          <w:sz w:val="22"/>
        </w:rPr>
        <w:t>(</w:t>
      </w:r>
      <w:r w:rsidR="00AC694F" w:rsidRPr="00F57C85">
        <w:rPr>
          <w:rFonts w:cs="Arial"/>
          <w:sz w:val="22"/>
        </w:rPr>
        <w:t>2025</w:t>
      </w:r>
      <w:r w:rsidR="00BE2009" w:rsidRPr="00F57C85">
        <w:rPr>
          <w:rFonts w:cs="Arial"/>
          <w:sz w:val="22"/>
        </w:rPr>
        <w:t>)</w:t>
      </w:r>
      <w:r w:rsidR="00AC694F" w:rsidRPr="00F57C85">
        <w:rPr>
          <w:rFonts w:cs="Arial"/>
          <w:sz w:val="22"/>
        </w:rPr>
        <w:t xml:space="preserve">. </w:t>
      </w:r>
      <w:r w:rsidRPr="00F57C85">
        <w:rPr>
          <w:rFonts w:eastAsia="Calibri" w:cs="Arial"/>
          <w:sz w:val="22"/>
        </w:rPr>
        <w:t>SEN provision for pupils in all schools in Brighton &amp; Hove, South</w:t>
      </w:r>
      <w:r w:rsidR="003970C5" w:rsidRPr="00F57C85">
        <w:rPr>
          <w:rFonts w:eastAsia="Calibri" w:cs="Arial"/>
          <w:sz w:val="22"/>
        </w:rPr>
        <w:t xml:space="preserve"> </w:t>
      </w:r>
      <w:r w:rsidRPr="00F57C85">
        <w:rPr>
          <w:rFonts w:eastAsia="Calibri" w:cs="Arial"/>
          <w:sz w:val="22"/>
        </w:rPr>
        <w:t xml:space="preserve">East and England, 2022/23 – 2023/24. Available at: </w:t>
      </w:r>
      <w:hyperlink r:id="rId50" w:history="1">
        <w:r w:rsidR="00182BE8" w:rsidRPr="00F57C85">
          <w:rPr>
            <w:rFonts w:cs="Arial"/>
            <w:color w:val="0000FF"/>
            <w:sz w:val="22"/>
            <w:u w:val="single"/>
          </w:rPr>
          <w:t>'Pupils in all schools, by type of SEN provision - including independent schools and general hospital schools - 2016 to 2024' from 'Special educational needs in England'</w:t>
        </w:r>
      </w:hyperlink>
    </w:p>
  </w:endnote>
  <w:endnote w:id="52">
    <w:p w14:paraId="23C3E63E" w14:textId="300359B3" w:rsidR="003A2010" w:rsidRPr="00F57C85" w:rsidRDefault="00B646D9" w:rsidP="00587ADD">
      <w:pPr>
        <w:pStyle w:val="EndnoteText"/>
        <w:rPr>
          <w:rFonts w:cs="Arial"/>
          <w:sz w:val="22"/>
          <w:szCs w:val="22"/>
        </w:rPr>
      </w:pPr>
      <w:r w:rsidRPr="00F57C85">
        <w:rPr>
          <w:rStyle w:val="EndnoteReference"/>
          <w:rFonts w:cs="Arial"/>
          <w:sz w:val="22"/>
          <w:szCs w:val="22"/>
        </w:rPr>
        <w:endnoteRef/>
      </w:r>
      <w:r w:rsidRPr="00F57C85">
        <w:rPr>
          <w:rFonts w:cs="Arial"/>
          <w:sz w:val="22"/>
          <w:szCs w:val="22"/>
        </w:rPr>
        <w:t xml:space="preserve"> Department for Education</w:t>
      </w:r>
      <w:r w:rsidR="003A2010" w:rsidRPr="00F57C85">
        <w:rPr>
          <w:rFonts w:cs="Arial"/>
          <w:sz w:val="22"/>
          <w:szCs w:val="22"/>
        </w:rPr>
        <w:t xml:space="preserve">, </w:t>
      </w:r>
      <w:r w:rsidR="00BE2009" w:rsidRPr="00F57C85">
        <w:rPr>
          <w:rFonts w:cs="Arial"/>
          <w:sz w:val="22"/>
          <w:szCs w:val="22"/>
        </w:rPr>
        <w:t>(</w:t>
      </w:r>
      <w:r w:rsidR="003A2010" w:rsidRPr="00F57C85">
        <w:rPr>
          <w:rFonts w:cs="Arial"/>
          <w:sz w:val="22"/>
          <w:szCs w:val="22"/>
        </w:rPr>
        <w:t>2</w:t>
      </w:r>
      <w:r w:rsidRPr="00F57C85">
        <w:rPr>
          <w:rFonts w:cs="Arial"/>
          <w:sz w:val="22"/>
          <w:szCs w:val="22"/>
        </w:rPr>
        <w:t>024</w:t>
      </w:r>
      <w:r w:rsidR="00BE2009" w:rsidRPr="00F57C85">
        <w:rPr>
          <w:rFonts w:cs="Arial"/>
          <w:sz w:val="22"/>
          <w:szCs w:val="22"/>
        </w:rPr>
        <w:t>)</w:t>
      </w:r>
      <w:r w:rsidR="003A2010" w:rsidRPr="00F57C85">
        <w:rPr>
          <w:rFonts w:cs="Arial"/>
          <w:sz w:val="22"/>
          <w:szCs w:val="22"/>
        </w:rPr>
        <w:t xml:space="preserve">. </w:t>
      </w:r>
      <w:hyperlink r:id="rId51" w:history="1">
        <w:r w:rsidR="003A2010" w:rsidRPr="00F57C85">
          <w:rPr>
            <w:rStyle w:val="Hyperlink"/>
            <w:rFonts w:cs="Arial"/>
            <w:sz w:val="22"/>
            <w:szCs w:val="22"/>
          </w:rPr>
          <w:t>Schools, pupils and their characteristics: January 2024</w:t>
        </w:r>
      </w:hyperlink>
    </w:p>
  </w:endnote>
  <w:endnote w:id="53">
    <w:p w14:paraId="0F63F1EC" w14:textId="0B94F56F" w:rsidR="003939FC" w:rsidRPr="00F57C85" w:rsidRDefault="00B646D9" w:rsidP="003067B1">
      <w:pPr>
        <w:pStyle w:val="EndnoteText"/>
        <w:rPr>
          <w:rFonts w:cs="Arial"/>
          <w:sz w:val="22"/>
          <w:szCs w:val="22"/>
        </w:rPr>
      </w:pPr>
      <w:r w:rsidRPr="00F57C85">
        <w:rPr>
          <w:rStyle w:val="EndnoteReference"/>
          <w:rFonts w:cs="Arial"/>
          <w:sz w:val="22"/>
          <w:szCs w:val="22"/>
        </w:rPr>
        <w:endnoteRef/>
      </w:r>
      <w:r w:rsidRPr="00F57C85">
        <w:rPr>
          <w:rFonts w:cs="Arial"/>
          <w:sz w:val="22"/>
          <w:szCs w:val="22"/>
        </w:rPr>
        <w:t xml:space="preserve"> Department for Education</w:t>
      </w:r>
      <w:r w:rsidR="003067B1" w:rsidRPr="00F57C85">
        <w:rPr>
          <w:rFonts w:cs="Arial"/>
          <w:sz w:val="22"/>
          <w:szCs w:val="22"/>
        </w:rPr>
        <w:t xml:space="preserve">, </w:t>
      </w:r>
      <w:r w:rsidR="00BE2009" w:rsidRPr="00F57C85">
        <w:rPr>
          <w:rFonts w:cs="Arial"/>
          <w:sz w:val="22"/>
          <w:szCs w:val="22"/>
        </w:rPr>
        <w:t>(</w:t>
      </w:r>
      <w:r w:rsidR="00AB1E04" w:rsidRPr="00F57C85">
        <w:rPr>
          <w:rFonts w:cs="Arial"/>
          <w:sz w:val="22"/>
          <w:szCs w:val="22"/>
        </w:rPr>
        <w:t>2025</w:t>
      </w:r>
      <w:r w:rsidR="00BE2009" w:rsidRPr="00F57C85">
        <w:rPr>
          <w:rFonts w:cs="Arial"/>
          <w:sz w:val="22"/>
          <w:szCs w:val="22"/>
        </w:rPr>
        <w:t>)</w:t>
      </w:r>
      <w:r w:rsidRPr="00F57C85">
        <w:rPr>
          <w:rFonts w:cs="Arial"/>
          <w:sz w:val="22"/>
          <w:szCs w:val="22"/>
        </w:rPr>
        <w:t xml:space="preserve">. </w:t>
      </w:r>
      <w:hyperlink r:id="rId52" w:history="1">
        <w:r w:rsidR="003067B1" w:rsidRPr="00F57C85">
          <w:rPr>
            <w:rStyle w:val="Hyperlink"/>
            <w:rFonts w:cs="Arial"/>
            <w:sz w:val="22"/>
            <w:szCs w:val="22"/>
          </w:rPr>
          <w:t>Special educational needs in England: Academic year 2024/25</w:t>
        </w:r>
      </w:hyperlink>
    </w:p>
  </w:endnote>
  <w:endnote w:id="54">
    <w:p w14:paraId="2F76C508" w14:textId="6C9848C9" w:rsidR="00AB1E04" w:rsidRPr="00F57C85" w:rsidRDefault="003048A1" w:rsidP="00587ADD">
      <w:pPr>
        <w:spacing w:line="240" w:lineRule="auto"/>
        <w:rPr>
          <w:rFonts w:eastAsia="Aptos" w:cs="Arial"/>
          <w:color w:val="3071C3" w:themeColor="text2" w:themeTint="BF"/>
          <w:sz w:val="22"/>
        </w:rPr>
      </w:pPr>
      <w:r w:rsidRPr="00F57C85">
        <w:rPr>
          <w:rStyle w:val="EndnoteReference"/>
          <w:rFonts w:cs="Arial"/>
          <w:sz w:val="22"/>
        </w:rPr>
        <w:endnoteRef/>
      </w:r>
      <w:r w:rsidRPr="00F57C85">
        <w:rPr>
          <w:rFonts w:cs="Arial"/>
          <w:sz w:val="22"/>
        </w:rPr>
        <w:t xml:space="preserve"> </w:t>
      </w:r>
      <w:r w:rsidR="00AF580D" w:rsidRPr="00F57C85">
        <w:rPr>
          <w:rFonts w:cs="Arial"/>
          <w:sz w:val="22"/>
        </w:rPr>
        <w:t>Department for Education</w:t>
      </w:r>
      <w:r w:rsidR="00AB1E04" w:rsidRPr="00F57C85">
        <w:rPr>
          <w:rFonts w:cs="Arial"/>
          <w:sz w:val="22"/>
        </w:rPr>
        <w:t xml:space="preserve">, </w:t>
      </w:r>
      <w:r w:rsidR="00BE2009" w:rsidRPr="00F57C85">
        <w:rPr>
          <w:rFonts w:cs="Arial"/>
          <w:sz w:val="22"/>
        </w:rPr>
        <w:t>(</w:t>
      </w:r>
      <w:r w:rsidR="00AB1E04" w:rsidRPr="00F57C85">
        <w:rPr>
          <w:rFonts w:cs="Arial"/>
          <w:sz w:val="22"/>
        </w:rPr>
        <w:t>2025</w:t>
      </w:r>
      <w:r w:rsidR="00BE2009" w:rsidRPr="00F57C85">
        <w:rPr>
          <w:rFonts w:cs="Arial"/>
          <w:sz w:val="22"/>
        </w:rPr>
        <w:t>)</w:t>
      </w:r>
      <w:r w:rsidR="00AB1E04" w:rsidRPr="00F57C85">
        <w:rPr>
          <w:rFonts w:cs="Arial"/>
          <w:sz w:val="22"/>
        </w:rPr>
        <w:t xml:space="preserve">. </w:t>
      </w:r>
      <w:hyperlink r:id="rId53" w:history="1">
        <w:r w:rsidR="00AB1E04" w:rsidRPr="00F57C85">
          <w:rPr>
            <w:rFonts w:cs="Arial"/>
            <w:color w:val="0000FF"/>
            <w:sz w:val="22"/>
            <w:u w:val="single"/>
          </w:rPr>
          <w:t>'LA - Special education needs (SEN)' from 'Outcomes for children in need, including children looked after by local authorities in England'</w:t>
        </w:r>
      </w:hyperlink>
    </w:p>
  </w:endnote>
  <w:endnote w:id="55">
    <w:p w14:paraId="1A326D4D" w14:textId="292D4055" w:rsidR="00037D79" w:rsidRPr="00F57C85" w:rsidRDefault="005C3751" w:rsidP="00587ADD">
      <w:pPr>
        <w:spacing w:line="240" w:lineRule="auto"/>
        <w:rPr>
          <w:rFonts w:eastAsia="Calibri" w:cs="Arial"/>
          <w:b/>
          <w:color w:val="3071C3" w:themeColor="text2" w:themeTint="BF"/>
          <w:sz w:val="22"/>
        </w:rPr>
      </w:pPr>
      <w:r w:rsidRPr="00F57C85">
        <w:rPr>
          <w:rStyle w:val="EndnoteReference"/>
          <w:rFonts w:cs="Arial"/>
          <w:sz w:val="22"/>
        </w:rPr>
        <w:endnoteRef/>
      </w:r>
      <w:r w:rsidRPr="00F57C85">
        <w:rPr>
          <w:rFonts w:cs="Arial"/>
          <w:sz w:val="22"/>
        </w:rPr>
        <w:t xml:space="preserve"> </w:t>
      </w:r>
      <w:r w:rsidR="008A3237" w:rsidRPr="00F57C85">
        <w:rPr>
          <w:rFonts w:cs="Arial"/>
          <w:sz w:val="22"/>
        </w:rPr>
        <w:t>Department for Education</w:t>
      </w:r>
      <w:r w:rsidR="00AF28F3" w:rsidRPr="00F57C85">
        <w:rPr>
          <w:rFonts w:cs="Arial"/>
          <w:sz w:val="22"/>
        </w:rPr>
        <w:t xml:space="preserve">, </w:t>
      </w:r>
      <w:r w:rsidR="00EB7052" w:rsidRPr="00F57C85">
        <w:rPr>
          <w:rFonts w:cs="Arial"/>
          <w:sz w:val="22"/>
        </w:rPr>
        <w:t>(</w:t>
      </w:r>
      <w:r w:rsidR="00AF28F3" w:rsidRPr="00F57C85">
        <w:rPr>
          <w:rFonts w:cs="Arial"/>
          <w:sz w:val="22"/>
        </w:rPr>
        <w:t>2025</w:t>
      </w:r>
      <w:r w:rsidR="00EB7052" w:rsidRPr="00F57C85">
        <w:rPr>
          <w:rFonts w:cs="Arial"/>
          <w:sz w:val="22"/>
        </w:rPr>
        <w:t>)</w:t>
      </w:r>
      <w:r w:rsidR="008A3237" w:rsidRPr="00F57C85">
        <w:rPr>
          <w:rFonts w:cs="Arial"/>
          <w:sz w:val="22"/>
        </w:rPr>
        <w:t xml:space="preserve">. </w:t>
      </w:r>
      <w:r w:rsidR="008A3237" w:rsidRPr="00F57C85">
        <w:rPr>
          <w:rFonts w:eastAsia="Calibri" w:cs="Arial"/>
          <w:sz w:val="22"/>
        </w:rPr>
        <w:t xml:space="preserve">Special education need for </w:t>
      </w:r>
      <w:r w:rsidR="001E2B92" w:rsidRPr="00F57C85">
        <w:rPr>
          <w:rFonts w:eastAsia="Calibri" w:cs="Arial"/>
          <w:sz w:val="22"/>
        </w:rPr>
        <w:t>children looked after (</w:t>
      </w:r>
      <w:r w:rsidR="008A3237" w:rsidRPr="00F57C85">
        <w:rPr>
          <w:rFonts w:eastAsia="Calibri" w:cs="Arial"/>
          <w:sz w:val="22"/>
        </w:rPr>
        <w:t>CLA</w:t>
      </w:r>
      <w:r w:rsidR="001E2B92" w:rsidRPr="00F57C85">
        <w:rPr>
          <w:rFonts w:eastAsia="Calibri" w:cs="Arial"/>
          <w:sz w:val="22"/>
        </w:rPr>
        <w:t>)</w:t>
      </w:r>
      <w:r w:rsidR="008A3237" w:rsidRPr="00F57C85">
        <w:rPr>
          <w:rFonts w:eastAsia="Calibri" w:cs="Arial"/>
          <w:sz w:val="22"/>
        </w:rPr>
        <w:t xml:space="preserve"> at 31 March in Brighton &amp; Hove, South-East, and England, 2022/23 – 2023/24</w:t>
      </w:r>
      <w:r w:rsidR="00970466" w:rsidRPr="00F57C85">
        <w:rPr>
          <w:rFonts w:eastAsia="Calibri" w:cs="Arial"/>
          <w:sz w:val="22"/>
        </w:rPr>
        <w:t>. Available at:</w:t>
      </w:r>
      <w:r w:rsidR="008A3237" w:rsidRPr="00F57C85">
        <w:rPr>
          <w:rFonts w:eastAsia="Calibri" w:cs="Arial"/>
          <w:sz w:val="22"/>
        </w:rPr>
        <w:t xml:space="preserve"> </w:t>
      </w:r>
      <w:hyperlink r:id="rId54" w:history="1">
        <w:r w:rsidR="00037D79" w:rsidRPr="00F57C85">
          <w:rPr>
            <w:rFonts w:cs="Arial"/>
            <w:color w:val="0000FF"/>
            <w:sz w:val="22"/>
            <w:u w:val="single"/>
          </w:rPr>
          <w:t>'LA - Special education needs (SEN)' from 'Outcomes for children in need, including children looked after by local authorities in England'</w:t>
        </w:r>
      </w:hyperlink>
    </w:p>
  </w:endnote>
  <w:endnote w:id="56">
    <w:p w14:paraId="4B7BF8E7" w14:textId="4809B35A" w:rsidR="00AF28F3" w:rsidRPr="00F57C85" w:rsidRDefault="00912CD9" w:rsidP="00587ADD">
      <w:pPr>
        <w:spacing w:line="240" w:lineRule="auto"/>
        <w:rPr>
          <w:rFonts w:eastAsia="Calibri" w:cs="Arial"/>
          <w:b/>
          <w:color w:val="3071C3" w:themeColor="text2" w:themeTint="BF"/>
          <w:sz w:val="22"/>
        </w:rPr>
      </w:pPr>
      <w:r w:rsidRPr="00F57C85">
        <w:rPr>
          <w:rStyle w:val="EndnoteReference"/>
          <w:rFonts w:cs="Arial"/>
          <w:sz w:val="22"/>
        </w:rPr>
        <w:endnoteRef/>
      </w:r>
      <w:r w:rsidRPr="00F57C85">
        <w:rPr>
          <w:rFonts w:cs="Arial"/>
          <w:sz w:val="22"/>
        </w:rPr>
        <w:t xml:space="preserve"> </w:t>
      </w:r>
      <w:r w:rsidR="00AD2E12" w:rsidRPr="00F57C85">
        <w:rPr>
          <w:rFonts w:cs="Arial"/>
          <w:sz w:val="22"/>
        </w:rPr>
        <w:t>Department for Education</w:t>
      </w:r>
      <w:r w:rsidR="001D0E20" w:rsidRPr="00F57C85">
        <w:rPr>
          <w:rFonts w:cs="Arial"/>
          <w:sz w:val="22"/>
        </w:rPr>
        <w:t xml:space="preserve">, </w:t>
      </w:r>
      <w:r w:rsidR="00EB7052" w:rsidRPr="00F57C85">
        <w:rPr>
          <w:rFonts w:cs="Arial"/>
          <w:sz w:val="22"/>
        </w:rPr>
        <w:t>(</w:t>
      </w:r>
      <w:r w:rsidR="001D0E20" w:rsidRPr="00F57C85">
        <w:rPr>
          <w:rFonts w:cs="Arial"/>
          <w:sz w:val="22"/>
        </w:rPr>
        <w:t>2025</w:t>
      </w:r>
      <w:r w:rsidR="00EB7052" w:rsidRPr="00F57C85">
        <w:rPr>
          <w:rFonts w:cs="Arial"/>
          <w:sz w:val="22"/>
        </w:rPr>
        <w:t>)</w:t>
      </w:r>
      <w:r w:rsidR="00AD2E12" w:rsidRPr="00F57C85">
        <w:rPr>
          <w:rFonts w:cs="Arial"/>
          <w:sz w:val="22"/>
        </w:rPr>
        <w:t xml:space="preserve">. </w:t>
      </w:r>
      <w:r w:rsidR="002929FE" w:rsidRPr="00F57C85">
        <w:rPr>
          <w:rFonts w:eastAsia="Calibri" w:cs="Arial"/>
          <w:sz w:val="22"/>
        </w:rPr>
        <w:t xml:space="preserve">Special education need for </w:t>
      </w:r>
      <w:r w:rsidR="0032709E" w:rsidRPr="00F57C85">
        <w:rPr>
          <w:rFonts w:eastAsia="Calibri" w:cs="Arial"/>
          <w:sz w:val="22"/>
        </w:rPr>
        <w:t>children on child protection plan (</w:t>
      </w:r>
      <w:r w:rsidR="002929FE" w:rsidRPr="00F57C85">
        <w:rPr>
          <w:rFonts w:eastAsia="Calibri" w:cs="Arial"/>
          <w:sz w:val="22"/>
        </w:rPr>
        <w:t>CPPO</w:t>
      </w:r>
      <w:r w:rsidR="0032709E" w:rsidRPr="00F57C85">
        <w:rPr>
          <w:rFonts w:eastAsia="Calibri" w:cs="Arial"/>
          <w:sz w:val="22"/>
        </w:rPr>
        <w:t>)</w:t>
      </w:r>
      <w:r w:rsidR="002929FE" w:rsidRPr="00F57C85">
        <w:rPr>
          <w:rFonts w:eastAsia="Calibri" w:cs="Arial"/>
          <w:sz w:val="22"/>
        </w:rPr>
        <w:t xml:space="preserve"> </w:t>
      </w:r>
      <w:r w:rsidR="001D0E20" w:rsidRPr="00F57C85">
        <w:rPr>
          <w:rFonts w:eastAsia="Calibri" w:cs="Arial"/>
          <w:sz w:val="22"/>
        </w:rPr>
        <w:t>at</w:t>
      </w:r>
      <w:r w:rsidR="002929FE" w:rsidRPr="00F57C85">
        <w:rPr>
          <w:rFonts w:eastAsia="Calibri" w:cs="Arial"/>
          <w:sz w:val="22"/>
        </w:rPr>
        <w:t xml:space="preserve"> 31 March in Brighton &amp; Hove, South-East, and England, 2022/23 – 2023/24</w:t>
      </w:r>
      <w:r w:rsidR="00AD2E12" w:rsidRPr="00F57C85">
        <w:rPr>
          <w:rFonts w:eastAsia="Calibri" w:cs="Arial"/>
          <w:sz w:val="22"/>
        </w:rPr>
        <w:t>. Available at:</w:t>
      </w:r>
      <w:r w:rsidR="002929FE" w:rsidRPr="00F57C85">
        <w:rPr>
          <w:rFonts w:eastAsia="Calibri" w:cs="Arial"/>
          <w:sz w:val="22"/>
        </w:rPr>
        <w:t xml:space="preserve"> </w:t>
      </w:r>
      <w:hyperlink r:id="rId55" w:history="1">
        <w:r w:rsidR="00506D59" w:rsidRPr="00F57C85">
          <w:rPr>
            <w:rFonts w:cs="Arial"/>
            <w:color w:val="0000FF"/>
            <w:sz w:val="22"/>
            <w:u w:val="single"/>
          </w:rPr>
          <w:t>'LA - Special education needs (SEN)' from 'Outcomes for children in need, including children looked after by local authorities in England'</w:t>
        </w:r>
      </w:hyperlink>
    </w:p>
  </w:endnote>
  <w:endnote w:id="57">
    <w:p w14:paraId="49BEFCC2" w14:textId="37325F8F" w:rsidR="000C20B4" w:rsidRPr="00F57C85" w:rsidRDefault="00DF0FE9" w:rsidP="00587ADD">
      <w:pPr>
        <w:pStyle w:val="EndnoteText"/>
        <w:rPr>
          <w:rFonts w:cs="Arial"/>
          <w:sz w:val="22"/>
          <w:szCs w:val="22"/>
        </w:rPr>
      </w:pPr>
      <w:r w:rsidRPr="00F57C85">
        <w:rPr>
          <w:rStyle w:val="EndnoteReference"/>
          <w:rFonts w:cs="Arial"/>
          <w:sz w:val="22"/>
          <w:szCs w:val="22"/>
        </w:rPr>
        <w:endnoteRef/>
      </w:r>
      <w:r w:rsidRPr="00F57C85">
        <w:rPr>
          <w:rFonts w:cs="Arial"/>
          <w:sz w:val="22"/>
          <w:szCs w:val="22"/>
        </w:rPr>
        <w:t xml:space="preserve"> Brighton &amp; Hove City Council and University of Sussex</w:t>
      </w:r>
      <w:r w:rsidR="003B2DC9" w:rsidRPr="00F57C85">
        <w:rPr>
          <w:rFonts w:cs="Arial"/>
          <w:sz w:val="22"/>
          <w:szCs w:val="22"/>
        </w:rPr>
        <w:t xml:space="preserve">, </w:t>
      </w:r>
      <w:r w:rsidR="00EB7052" w:rsidRPr="00F57C85">
        <w:rPr>
          <w:rFonts w:cs="Arial"/>
          <w:sz w:val="22"/>
          <w:szCs w:val="22"/>
        </w:rPr>
        <w:t>(</w:t>
      </w:r>
      <w:r w:rsidRPr="00F57C85">
        <w:rPr>
          <w:rFonts w:cs="Arial"/>
          <w:sz w:val="22"/>
          <w:szCs w:val="22"/>
        </w:rPr>
        <w:t>2023</w:t>
      </w:r>
      <w:r w:rsidR="00EB7052" w:rsidRPr="00F57C85">
        <w:rPr>
          <w:rFonts w:cs="Arial"/>
          <w:sz w:val="22"/>
          <w:szCs w:val="22"/>
        </w:rPr>
        <w:t>)</w:t>
      </w:r>
      <w:r w:rsidRPr="00F57C85">
        <w:rPr>
          <w:rFonts w:cs="Arial"/>
          <w:sz w:val="22"/>
          <w:szCs w:val="22"/>
        </w:rPr>
        <w:t xml:space="preserve">. </w:t>
      </w:r>
      <w:hyperlink r:id="rId56" w:history="1">
        <w:r w:rsidRPr="00F57C85">
          <w:rPr>
            <w:rStyle w:val="Hyperlink"/>
            <w:rFonts w:cs="Arial"/>
            <w:sz w:val="22"/>
            <w:szCs w:val="22"/>
          </w:rPr>
          <w:t>Safe and well at school</w:t>
        </w:r>
      </w:hyperlink>
    </w:p>
  </w:endnote>
  <w:endnote w:id="58">
    <w:p w14:paraId="63D1A667" w14:textId="2288BEF4" w:rsidR="003B2DC9" w:rsidRPr="00F57C85" w:rsidRDefault="00C87240" w:rsidP="00587ADD">
      <w:pPr>
        <w:pStyle w:val="EndnoteText"/>
        <w:rPr>
          <w:rFonts w:cs="Arial"/>
          <w:sz w:val="22"/>
          <w:szCs w:val="22"/>
        </w:rPr>
      </w:pPr>
      <w:r w:rsidRPr="00F57C85">
        <w:rPr>
          <w:rStyle w:val="EndnoteReference"/>
          <w:rFonts w:cs="Arial"/>
          <w:sz w:val="22"/>
          <w:szCs w:val="22"/>
        </w:rPr>
        <w:endnoteRef/>
      </w:r>
      <w:r w:rsidRPr="00F57C85">
        <w:rPr>
          <w:rFonts w:cs="Arial"/>
          <w:sz w:val="22"/>
          <w:szCs w:val="22"/>
        </w:rPr>
        <w:t xml:space="preserve"> </w:t>
      </w:r>
      <w:r w:rsidR="00A34FCA" w:rsidRPr="00F57C85">
        <w:rPr>
          <w:rFonts w:cs="Arial"/>
          <w:sz w:val="22"/>
          <w:szCs w:val="22"/>
        </w:rPr>
        <w:t>Brighton &amp; Hove City Council</w:t>
      </w:r>
      <w:r w:rsidR="009D72E7" w:rsidRPr="00F57C85">
        <w:rPr>
          <w:rFonts w:cs="Arial"/>
          <w:sz w:val="22"/>
          <w:szCs w:val="22"/>
        </w:rPr>
        <w:t xml:space="preserve">. </w:t>
      </w:r>
      <w:r w:rsidR="00397CB6" w:rsidRPr="00F57C85">
        <w:rPr>
          <w:rFonts w:cs="Arial"/>
          <w:sz w:val="22"/>
          <w:szCs w:val="22"/>
        </w:rPr>
        <w:t>Health Counts Survey</w:t>
      </w:r>
      <w:r w:rsidR="002C4D38" w:rsidRPr="00F57C85">
        <w:rPr>
          <w:rFonts w:cs="Arial"/>
          <w:sz w:val="22"/>
          <w:szCs w:val="22"/>
        </w:rPr>
        <w:t>,</w:t>
      </w:r>
      <w:r w:rsidR="00397CB6" w:rsidRPr="00F57C85">
        <w:rPr>
          <w:rFonts w:cs="Arial"/>
          <w:sz w:val="22"/>
          <w:szCs w:val="22"/>
        </w:rPr>
        <w:t xml:space="preserve"> </w:t>
      </w:r>
      <w:r w:rsidR="00EB7052" w:rsidRPr="00F57C85">
        <w:rPr>
          <w:rFonts w:cs="Arial"/>
          <w:sz w:val="22"/>
          <w:szCs w:val="22"/>
        </w:rPr>
        <w:t>(</w:t>
      </w:r>
      <w:r w:rsidR="00397CB6" w:rsidRPr="00F57C85">
        <w:rPr>
          <w:rFonts w:cs="Arial"/>
          <w:sz w:val="22"/>
          <w:szCs w:val="22"/>
        </w:rPr>
        <w:t>2024</w:t>
      </w:r>
      <w:r w:rsidR="00EB7052" w:rsidRPr="00F57C85">
        <w:rPr>
          <w:rFonts w:cs="Arial"/>
          <w:sz w:val="22"/>
          <w:szCs w:val="22"/>
        </w:rPr>
        <w:t>)</w:t>
      </w:r>
      <w:r w:rsidR="00397CB6" w:rsidRPr="00F57C85">
        <w:rPr>
          <w:rFonts w:cs="Arial"/>
          <w:sz w:val="22"/>
          <w:szCs w:val="22"/>
        </w:rPr>
        <w:t xml:space="preserve">. </w:t>
      </w:r>
      <w:hyperlink r:id="rId57" w:history="1">
        <w:r w:rsidR="008163EE" w:rsidRPr="00F57C85">
          <w:rPr>
            <w:rStyle w:val="Hyperlink"/>
            <w:rFonts w:cs="Arial"/>
            <w:sz w:val="22"/>
            <w:szCs w:val="22"/>
          </w:rPr>
          <w:t>Health Counts 2024</w:t>
        </w:r>
      </w:hyperlink>
    </w:p>
  </w:endnote>
  <w:endnote w:id="59">
    <w:p w14:paraId="6387B023" w14:textId="73124D7C" w:rsidR="002C4D38" w:rsidRPr="00F57C85" w:rsidRDefault="002420F9" w:rsidP="00587ADD">
      <w:pPr>
        <w:spacing w:line="240" w:lineRule="auto"/>
        <w:rPr>
          <w:rFonts w:cs="Arial"/>
          <w:sz w:val="22"/>
          <w:lang w:eastAsia="en-GB"/>
        </w:rPr>
      </w:pPr>
      <w:r w:rsidRPr="00F57C85">
        <w:rPr>
          <w:rStyle w:val="EndnoteReference"/>
          <w:rFonts w:cs="Arial"/>
          <w:sz w:val="22"/>
        </w:rPr>
        <w:endnoteRef/>
      </w:r>
      <w:r w:rsidRPr="00F57C85">
        <w:rPr>
          <w:rFonts w:cs="Arial"/>
          <w:sz w:val="22"/>
        </w:rPr>
        <w:t xml:space="preserve"> NHS England,</w:t>
      </w:r>
      <w:r w:rsidR="00462AB2" w:rsidRPr="00F57C85">
        <w:rPr>
          <w:rFonts w:cs="Arial"/>
          <w:sz w:val="22"/>
        </w:rPr>
        <w:t xml:space="preserve"> </w:t>
      </w:r>
      <w:r w:rsidR="00EB7052" w:rsidRPr="00F57C85">
        <w:rPr>
          <w:rFonts w:cs="Arial"/>
          <w:sz w:val="22"/>
        </w:rPr>
        <w:t>(</w:t>
      </w:r>
      <w:r w:rsidR="00462AB2" w:rsidRPr="00F57C85">
        <w:rPr>
          <w:rFonts w:cs="Arial"/>
          <w:sz w:val="22"/>
        </w:rPr>
        <w:t>2025</w:t>
      </w:r>
      <w:r w:rsidR="00EB7052" w:rsidRPr="00F57C85">
        <w:rPr>
          <w:rFonts w:cs="Arial"/>
          <w:sz w:val="22"/>
        </w:rPr>
        <w:t>)</w:t>
      </w:r>
      <w:r w:rsidR="00BF12E0" w:rsidRPr="00F57C85">
        <w:rPr>
          <w:rFonts w:cs="Arial"/>
          <w:sz w:val="22"/>
        </w:rPr>
        <w:t xml:space="preserve">. </w:t>
      </w:r>
      <w:hyperlink r:id="rId58" w:history="1">
        <w:r w:rsidR="00D23130" w:rsidRPr="00F57C85">
          <w:rPr>
            <w:rStyle w:val="Hyperlink"/>
            <w:rFonts w:cs="Arial"/>
            <w:sz w:val="22"/>
          </w:rPr>
          <w:t>Autism Waiting Time Statistics</w:t>
        </w:r>
      </w:hyperlink>
    </w:p>
  </w:endnote>
  <w:endnote w:id="60">
    <w:p w14:paraId="26E550C8" w14:textId="20338CC1" w:rsidR="00462AB2" w:rsidRPr="00F57C85" w:rsidRDefault="00AF3042" w:rsidP="006525E9">
      <w:pPr>
        <w:pStyle w:val="Caption"/>
        <w:rPr>
          <w:sz w:val="22"/>
          <w:szCs w:val="22"/>
        </w:rPr>
      </w:pPr>
      <w:r w:rsidRPr="00F57C85">
        <w:rPr>
          <w:rStyle w:val="EndnoteReference"/>
          <w:rFonts w:cs="Arial"/>
          <w:sz w:val="22"/>
          <w:szCs w:val="22"/>
        </w:rPr>
        <w:endnoteRef/>
      </w:r>
      <w:r w:rsidRPr="00F57C85">
        <w:rPr>
          <w:rFonts w:cs="Arial"/>
          <w:sz w:val="22"/>
          <w:szCs w:val="22"/>
        </w:rPr>
        <w:t xml:space="preserve"> </w:t>
      </w:r>
      <w:r w:rsidR="00F8736E" w:rsidRPr="00F57C85">
        <w:rPr>
          <w:rFonts w:cs="Arial"/>
          <w:b w:val="0"/>
          <w:sz w:val="22"/>
          <w:szCs w:val="22"/>
        </w:rPr>
        <w:t>Department for Education</w:t>
      </w:r>
      <w:r w:rsidR="005C7F19" w:rsidRPr="00F57C85">
        <w:rPr>
          <w:rFonts w:cs="Arial"/>
          <w:b w:val="0"/>
          <w:sz w:val="22"/>
          <w:szCs w:val="22"/>
        </w:rPr>
        <w:t xml:space="preserve">, </w:t>
      </w:r>
      <w:r w:rsidR="00EB7052" w:rsidRPr="00F57C85">
        <w:rPr>
          <w:rFonts w:cs="Arial"/>
          <w:b w:val="0"/>
          <w:sz w:val="22"/>
          <w:szCs w:val="22"/>
        </w:rPr>
        <w:t>(</w:t>
      </w:r>
      <w:r w:rsidR="005C7F19" w:rsidRPr="00F57C85">
        <w:rPr>
          <w:rFonts w:cs="Arial"/>
          <w:b w:val="0"/>
          <w:sz w:val="22"/>
          <w:szCs w:val="22"/>
        </w:rPr>
        <w:t>2025</w:t>
      </w:r>
      <w:r w:rsidR="00EB7052" w:rsidRPr="00F57C85">
        <w:rPr>
          <w:rFonts w:cs="Arial"/>
          <w:b w:val="0"/>
          <w:sz w:val="22"/>
          <w:szCs w:val="22"/>
        </w:rPr>
        <w:t>)</w:t>
      </w:r>
      <w:r w:rsidR="00F8736E" w:rsidRPr="00F57C85">
        <w:rPr>
          <w:rFonts w:cs="Arial"/>
          <w:b w:val="0"/>
          <w:sz w:val="22"/>
          <w:szCs w:val="22"/>
        </w:rPr>
        <w:t xml:space="preserve">. Phonics screening check attainment Year 1, 2023/24. Available at: </w:t>
      </w:r>
      <w:hyperlink r:id="rId59" w:history="1">
        <w:r w:rsidR="00E37C1F" w:rsidRPr="00F57C85">
          <w:rPr>
            <w:rStyle w:val="Hyperlink"/>
            <w:rFonts w:cs="Arial"/>
            <w:b w:val="0"/>
            <w:sz w:val="22"/>
            <w:szCs w:val="22"/>
          </w:rPr>
          <w:t>Phonics screening check attainment: Academic year 2024/25</w:t>
        </w:r>
      </w:hyperlink>
    </w:p>
  </w:endnote>
  <w:endnote w:id="61">
    <w:p w14:paraId="54576BCE" w14:textId="74AB8195" w:rsidR="00D357C1" w:rsidRPr="00F57C85" w:rsidRDefault="002B4C0F" w:rsidP="00CF2F9E">
      <w:pPr>
        <w:pStyle w:val="Caption"/>
        <w:rPr>
          <w:sz w:val="22"/>
          <w:szCs w:val="22"/>
        </w:rPr>
      </w:pPr>
      <w:r w:rsidRPr="00F57C85">
        <w:rPr>
          <w:rStyle w:val="EndnoteReference"/>
          <w:rFonts w:cs="Arial"/>
          <w:sz w:val="22"/>
          <w:szCs w:val="22"/>
        </w:rPr>
        <w:endnoteRef/>
      </w:r>
      <w:r w:rsidRPr="00F57C85">
        <w:rPr>
          <w:rFonts w:cs="Arial"/>
          <w:sz w:val="22"/>
          <w:szCs w:val="22"/>
        </w:rPr>
        <w:t xml:space="preserve"> </w:t>
      </w:r>
      <w:r w:rsidRPr="00F57C85">
        <w:rPr>
          <w:rFonts w:cs="Arial"/>
          <w:b w:val="0"/>
          <w:sz w:val="22"/>
          <w:szCs w:val="22"/>
        </w:rPr>
        <w:t>Department for Education</w:t>
      </w:r>
      <w:r w:rsidR="00021FAC" w:rsidRPr="00F57C85">
        <w:rPr>
          <w:rFonts w:cs="Arial"/>
          <w:b w:val="0"/>
          <w:sz w:val="22"/>
          <w:szCs w:val="22"/>
        </w:rPr>
        <w:t>, (2025)</w:t>
      </w:r>
      <w:r w:rsidRPr="00F57C85">
        <w:rPr>
          <w:rFonts w:cs="Arial"/>
          <w:b w:val="0"/>
          <w:sz w:val="22"/>
          <w:szCs w:val="22"/>
        </w:rPr>
        <w:t xml:space="preserve">. </w:t>
      </w:r>
      <w:hyperlink r:id="rId60" w:anchor="dataBlock-20396943-b6de-452a-a0e6-b46d285f5de4-tables" w:history="1">
        <w:r w:rsidR="00AC6859" w:rsidRPr="00F57C85">
          <w:rPr>
            <w:rStyle w:val="Hyperlink"/>
            <w:rFonts w:cs="Arial"/>
            <w:b w:val="0"/>
            <w:sz w:val="22"/>
            <w:szCs w:val="22"/>
          </w:rPr>
          <w:t>Key stage 2 attainment: Academic year 2024/25 Revised</w:t>
        </w:r>
      </w:hyperlink>
    </w:p>
  </w:endnote>
  <w:endnote w:id="62">
    <w:p w14:paraId="5A317F5F" w14:textId="7297172E" w:rsidR="004C5EFC" w:rsidRPr="00F57C85" w:rsidRDefault="00BA4548" w:rsidP="004C5EFC">
      <w:pPr>
        <w:pStyle w:val="Caption"/>
        <w:rPr>
          <w:sz w:val="22"/>
          <w:szCs w:val="22"/>
        </w:rPr>
      </w:pPr>
      <w:r w:rsidRPr="00F57C85">
        <w:rPr>
          <w:rStyle w:val="EndnoteReference"/>
          <w:rFonts w:cs="Arial"/>
          <w:sz w:val="22"/>
          <w:szCs w:val="22"/>
        </w:rPr>
        <w:endnoteRef/>
      </w:r>
      <w:r w:rsidRPr="00F57C85">
        <w:rPr>
          <w:rFonts w:cs="Arial"/>
          <w:sz w:val="22"/>
          <w:szCs w:val="22"/>
        </w:rPr>
        <w:t xml:space="preserve"> </w:t>
      </w:r>
      <w:r w:rsidRPr="00F57C85">
        <w:rPr>
          <w:rFonts w:cs="Arial"/>
          <w:b w:val="0"/>
          <w:sz w:val="22"/>
          <w:szCs w:val="22"/>
        </w:rPr>
        <w:t>Department for Education</w:t>
      </w:r>
      <w:r w:rsidR="009447B8" w:rsidRPr="00F57C85">
        <w:rPr>
          <w:rFonts w:cs="Arial"/>
          <w:b w:val="0"/>
          <w:sz w:val="22"/>
          <w:szCs w:val="22"/>
        </w:rPr>
        <w:t xml:space="preserve">, </w:t>
      </w:r>
      <w:r w:rsidR="006F7978" w:rsidRPr="00F57C85">
        <w:rPr>
          <w:rFonts w:cs="Arial"/>
          <w:b w:val="0"/>
          <w:sz w:val="22"/>
          <w:szCs w:val="22"/>
        </w:rPr>
        <w:t>(</w:t>
      </w:r>
      <w:r w:rsidR="009447B8" w:rsidRPr="00F57C85">
        <w:rPr>
          <w:rFonts w:cs="Arial"/>
          <w:b w:val="0"/>
          <w:sz w:val="22"/>
          <w:szCs w:val="22"/>
        </w:rPr>
        <w:t>2025</w:t>
      </w:r>
      <w:r w:rsidR="006F7978" w:rsidRPr="00F57C85">
        <w:rPr>
          <w:rFonts w:cs="Arial"/>
          <w:b w:val="0"/>
          <w:sz w:val="22"/>
          <w:szCs w:val="22"/>
        </w:rPr>
        <w:t>)</w:t>
      </w:r>
      <w:r w:rsidRPr="00F57C85">
        <w:rPr>
          <w:rFonts w:cs="Arial"/>
          <w:b w:val="0"/>
          <w:sz w:val="22"/>
          <w:szCs w:val="22"/>
        </w:rPr>
        <w:t xml:space="preserve">. </w:t>
      </w:r>
      <w:hyperlink r:id="rId61" w:history="1">
        <w:r w:rsidR="004C5EFC" w:rsidRPr="00F57C85">
          <w:rPr>
            <w:rStyle w:val="Hyperlink"/>
            <w:rFonts w:cs="Arial"/>
            <w:b w:val="0"/>
            <w:sz w:val="22"/>
            <w:szCs w:val="22"/>
          </w:rPr>
          <w:t>Key stage 4 performance: Academic year 2023/24</w:t>
        </w:r>
      </w:hyperlink>
    </w:p>
  </w:endnote>
  <w:endnote w:id="63">
    <w:p w14:paraId="4E1FFA9A" w14:textId="296128D6" w:rsidR="004C5EFC" w:rsidRPr="00F57C85" w:rsidRDefault="002B2341" w:rsidP="00361B85">
      <w:pPr>
        <w:pStyle w:val="Caption"/>
        <w:rPr>
          <w:sz w:val="22"/>
          <w:szCs w:val="22"/>
        </w:rPr>
      </w:pPr>
      <w:r w:rsidRPr="00F57C85">
        <w:rPr>
          <w:rStyle w:val="EndnoteReference"/>
          <w:rFonts w:cs="Arial"/>
          <w:sz w:val="22"/>
          <w:szCs w:val="22"/>
        </w:rPr>
        <w:endnoteRef/>
      </w:r>
      <w:r w:rsidRPr="00F57C85">
        <w:rPr>
          <w:rFonts w:cs="Arial"/>
          <w:sz w:val="22"/>
          <w:szCs w:val="22"/>
        </w:rPr>
        <w:t xml:space="preserve"> </w:t>
      </w:r>
      <w:r w:rsidRPr="00F57C85">
        <w:rPr>
          <w:rFonts w:cs="Arial"/>
          <w:b w:val="0"/>
          <w:sz w:val="22"/>
          <w:szCs w:val="22"/>
        </w:rPr>
        <w:t>Department for Education</w:t>
      </w:r>
      <w:r w:rsidR="009447B8" w:rsidRPr="00F57C85">
        <w:rPr>
          <w:rFonts w:cs="Arial"/>
          <w:b w:val="0"/>
          <w:sz w:val="22"/>
          <w:szCs w:val="22"/>
        </w:rPr>
        <w:t xml:space="preserve">, </w:t>
      </w:r>
      <w:r w:rsidR="006F7978" w:rsidRPr="00F57C85">
        <w:rPr>
          <w:rFonts w:cs="Arial"/>
          <w:b w:val="0"/>
          <w:sz w:val="22"/>
          <w:szCs w:val="22"/>
        </w:rPr>
        <w:t>(</w:t>
      </w:r>
      <w:r w:rsidR="009447B8" w:rsidRPr="00F57C85">
        <w:rPr>
          <w:rFonts w:cs="Arial"/>
          <w:b w:val="0"/>
          <w:sz w:val="22"/>
          <w:szCs w:val="22"/>
        </w:rPr>
        <w:t>2025</w:t>
      </w:r>
      <w:r w:rsidR="006F7978" w:rsidRPr="00F57C85">
        <w:rPr>
          <w:rFonts w:cs="Arial"/>
          <w:b w:val="0"/>
          <w:sz w:val="22"/>
          <w:szCs w:val="22"/>
        </w:rPr>
        <w:t>)</w:t>
      </w:r>
      <w:r w:rsidR="009447B8" w:rsidRPr="00F57C85">
        <w:rPr>
          <w:rFonts w:cs="Arial"/>
          <w:b w:val="0"/>
          <w:sz w:val="22"/>
          <w:szCs w:val="22"/>
        </w:rPr>
        <w:t>.</w:t>
      </w:r>
      <w:r w:rsidRPr="00F57C85">
        <w:rPr>
          <w:rFonts w:cs="Arial"/>
          <w:b w:val="0"/>
          <w:sz w:val="22"/>
          <w:szCs w:val="22"/>
        </w:rPr>
        <w:t xml:space="preserve"> Pupil absence</w:t>
      </w:r>
      <w:r w:rsidR="003562F0" w:rsidRPr="00F57C85">
        <w:rPr>
          <w:rFonts w:cs="Arial"/>
          <w:b w:val="0"/>
          <w:sz w:val="22"/>
          <w:szCs w:val="22"/>
        </w:rPr>
        <w:t xml:space="preserve"> (</w:t>
      </w:r>
      <w:r w:rsidR="00542D09" w:rsidRPr="00F57C85">
        <w:rPr>
          <w:rFonts w:cs="Arial"/>
          <w:b w:val="0"/>
          <w:sz w:val="22"/>
          <w:szCs w:val="22"/>
        </w:rPr>
        <w:t>O</w:t>
      </w:r>
      <w:r w:rsidR="003562F0" w:rsidRPr="00F57C85">
        <w:rPr>
          <w:rFonts w:cs="Arial"/>
          <w:b w:val="0"/>
          <w:sz w:val="22"/>
          <w:szCs w:val="22"/>
        </w:rPr>
        <w:t>verall absence)</w:t>
      </w:r>
      <w:r w:rsidRPr="00F57C85">
        <w:rPr>
          <w:rFonts w:cs="Arial"/>
          <w:b w:val="0"/>
          <w:sz w:val="22"/>
          <w:szCs w:val="22"/>
        </w:rPr>
        <w:t xml:space="preserve"> in schools in England</w:t>
      </w:r>
      <w:r w:rsidR="003562F0" w:rsidRPr="00F57C85">
        <w:rPr>
          <w:rFonts w:cs="Arial"/>
          <w:b w:val="0"/>
          <w:sz w:val="22"/>
          <w:szCs w:val="22"/>
        </w:rPr>
        <w:t>,</w:t>
      </w:r>
      <w:r w:rsidRPr="00F57C85">
        <w:rPr>
          <w:rFonts w:cs="Arial"/>
          <w:b w:val="0"/>
          <w:sz w:val="22"/>
          <w:szCs w:val="22"/>
        </w:rPr>
        <w:t xml:space="preserve"> 2023/24</w:t>
      </w:r>
      <w:r w:rsidR="003562F0" w:rsidRPr="00F57C85">
        <w:rPr>
          <w:rFonts w:cs="Arial"/>
          <w:b w:val="0"/>
          <w:sz w:val="22"/>
          <w:szCs w:val="22"/>
        </w:rPr>
        <w:t>. Available at:</w:t>
      </w:r>
      <w:r w:rsidRPr="00F57C85">
        <w:rPr>
          <w:rFonts w:cs="Arial"/>
          <w:b w:val="0"/>
          <w:sz w:val="22"/>
          <w:szCs w:val="22"/>
        </w:rPr>
        <w:t xml:space="preserve"> </w:t>
      </w:r>
      <w:hyperlink r:id="rId62" w:history="1">
        <w:r w:rsidR="009447B8" w:rsidRPr="00F57C85">
          <w:rPr>
            <w:rStyle w:val="Hyperlink"/>
            <w:rFonts w:cs="Arial"/>
            <w:b w:val="0"/>
            <w:sz w:val="22"/>
            <w:szCs w:val="22"/>
          </w:rPr>
          <w:t>Pupil absence in schools in England: Autumn and spring term 2024/25</w:t>
        </w:r>
      </w:hyperlink>
    </w:p>
  </w:endnote>
  <w:endnote w:id="64">
    <w:p w14:paraId="79BA8A31" w14:textId="0F686D97" w:rsidR="00361B85" w:rsidRPr="00F57C85" w:rsidRDefault="00740CAC" w:rsidP="00587ADD">
      <w:pPr>
        <w:pStyle w:val="EndnoteText"/>
        <w:rPr>
          <w:rFonts w:cs="Arial"/>
          <w:sz w:val="22"/>
          <w:szCs w:val="22"/>
        </w:rPr>
      </w:pPr>
      <w:r w:rsidRPr="00F57C85">
        <w:rPr>
          <w:rStyle w:val="EndnoteReference"/>
          <w:rFonts w:cs="Arial"/>
          <w:sz w:val="22"/>
          <w:szCs w:val="22"/>
        </w:rPr>
        <w:endnoteRef/>
      </w:r>
      <w:r w:rsidRPr="00F57C85">
        <w:rPr>
          <w:rFonts w:cs="Arial"/>
          <w:sz w:val="22"/>
          <w:szCs w:val="22"/>
        </w:rPr>
        <w:t xml:space="preserve"> </w:t>
      </w:r>
      <w:r w:rsidR="00006ECF" w:rsidRPr="00F57C85">
        <w:rPr>
          <w:rFonts w:cs="Arial"/>
          <w:sz w:val="22"/>
          <w:szCs w:val="22"/>
        </w:rPr>
        <w:t>Department for Education</w:t>
      </w:r>
      <w:r w:rsidR="00DB5F58" w:rsidRPr="00F57C85">
        <w:rPr>
          <w:rFonts w:cs="Arial"/>
          <w:sz w:val="22"/>
          <w:szCs w:val="22"/>
        </w:rPr>
        <w:t xml:space="preserve">, </w:t>
      </w:r>
      <w:r w:rsidR="006F7978" w:rsidRPr="00F57C85">
        <w:rPr>
          <w:rFonts w:cs="Arial"/>
          <w:sz w:val="22"/>
          <w:szCs w:val="22"/>
        </w:rPr>
        <w:t>(</w:t>
      </w:r>
      <w:r w:rsidR="00DB5F58" w:rsidRPr="00F57C85">
        <w:rPr>
          <w:rFonts w:cs="Arial"/>
          <w:sz w:val="22"/>
          <w:szCs w:val="22"/>
        </w:rPr>
        <w:t>2025</w:t>
      </w:r>
      <w:r w:rsidR="006F7978" w:rsidRPr="00F57C85">
        <w:rPr>
          <w:rFonts w:cs="Arial"/>
          <w:sz w:val="22"/>
          <w:szCs w:val="22"/>
        </w:rPr>
        <w:t>)</w:t>
      </w:r>
      <w:r w:rsidR="00DB5F58" w:rsidRPr="00F57C85">
        <w:rPr>
          <w:rFonts w:cs="Arial"/>
          <w:sz w:val="22"/>
          <w:szCs w:val="22"/>
        </w:rPr>
        <w:t>.</w:t>
      </w:r>
      <w:r w:rsidR="00006ECF" w:rsidRPr="00F57C85">
        <w:rPr>
          <w:rFonts w:cs="Arial"/>
          <w:sz w:val="22"/>
          <w:szCs w:val="22"/>
        </w:rPr>
        <w:t xml:space="preserve"> Pupil absence (Persistent absence) in schools in England, 2023/24. Available at: </w:t>
      </w:r>
      <w:hyperlink r:id="rId63" w:history="1">
        <w:r w:rsidR="00DB5F58" w:rsidRPr="00F57C85">
          <w:rPr>
            <w:rStyle w:val="Hyperlink"/>
            <w:rFonts w:cs="Arial"/>
            <w:sz w:val="22"/>
            <w:szCs w:val="22"/>
          </w:rPr>
          <w:t>Pupil absence in schools in England: Autumn and spring term 2024/25</w:t>
        </w:r>
      </w:hyperlink>
    </w:p>
  </w:endnote>
  <w:endnote w:id="65">
    <w:p w14:paraId="0909355E" w14:textId="3440F726" w:rsidR="003E15B2" w:rsidRPr="00F57C85" w:rsidRDefault="000675D0" w:rsidP="00587ADD">
      <w:pPr>
        <w:pStyle w:val="EndnoteText"/>
        <w:rPr>
          <w:rFonts w:cs="Arial"/>
          <w:sz w:val="22"/>
          <w:szCs w:val="22"/>
        </w:rPr>
      </w:pPr>
      <w:r w:rsidRPr="00F57C85">
        <w:rPr>
          <w:rStyle w:val="EndnoteReference"/>
          <w:rFonts w:cs="Arial"/>
          <w:sz w:val="22"/>
          <w:szCs w:val="22"/>
        </w:rPr>
        <w:endnoteRef/>
      </w:r>
      <w:r w:rsidRPr="00F57C85">
        <w:rPr>
          <w:rFonts w:cs="Arial"/>
          <w:sz w:val="22"/>
          <w:szCs w:val="22"/>
        </w:rPr>
        <w:t xml:space="preserve"> </w:t>
      </w:r>
      <w:r w:rsidR="00924F2B" w:rsidRPr="00F57C85">
        <w:rPr>
          <w:rFonts w:cs="Arial"/>
          <w:sz w:val="22"/>
          <w:szCs w:val="22"/>
        </w:rPr>
        <w:t xml:space="preserve">Department for Education, </w:t>
      </w:r>
      <w:r w:rsidR="006F7978" w:rsidRPr="00F57C85">
        <w:rPr>
          <w:rFonts w:cs="Arial"/>
          <w:sz w:val="22"/>
          <w:szCs w:val="22"/>
        </w:rPr>
        <w:t>(</w:t>
      </w:r>
      <w:r w:rsidR="004647C9" w:rsidRPr="00F57C85">
        <w:rPr>
          <w:rFonts w:cs="Arial"/>
          <w:sz w:val="22"/>
          <w:szCs w:val="22"/>
        </w:rPr>
        <w:t>2024</w:t>
      </w:r>
      <w:r w:rsidR="006F7978" w:rsidRPr="00F57C85">
        <w:rPr>
          <w:rFonts w:cs="Arial"/>
          <w:sz w:val="22"/>
          <w:szCs w:val="22"/>
        </w:rPr>
        <w:t>)</w:t>
      </w:r>
      <w:r w:rsidR="001223CC" w:rsidRPr="00F57C85">
        <w:rPr>
          <w:rFonts w:cs="Arial"/>
          <w:sz w:val="22"/>
          <w:szCs w:val="22"/>
        </w:rPr>
        <w:t xml:space="preserve">. </w:t>
      </w:r>
      <w:hyperlink r:id="rId64" w:history="1">
        <w:r w:rsidR="003E15B2" w:rsidRPr="00F57C85">
          <w:rPr>
            <w:rStyle w:val="Hyperlink"/>
            <w:rFonts w:cs="Arial"/>
            <w:sz w:val="22"/>
            <w:szCs w:val="22"/>
          </w:rPr>
          <w:t>Working together to improve school attendance</w:t>
        </w:r>
      </w:hyperlink>
    </w:p>
  </w:endnote>
  <w:endnote w:id="66">
    <w:p w14:paraId="7B5DE803" w14:textId="41C240D8" w:rsidR="00DE3D75" w:rsidRPr="00605E42" w:rsidRDefault="00570CB8" w:rsidP="00587ADD">
      <w:pPr>
        <w:pStyle w:val="EndnoteText"/>
        <w:rPr>
          <w:rFonts w:cs="Arial"/>
          <w:sz w:val="22"/>
          <w:szCs w:val="22"/>
        </w:rPr>
      </w:pPr>
      <w:r w:rsidRPr="00F57C85">
        <w:rPr>
          <w:rStyle w:val="EndnoteReference"/>
          <w:rFonts w:cs="Arial"/>
          <w:sz w:val="22"/>
          <w:szCs w:val="22"/>
        </w:rPr>
        <w:endnoteRef/>
      </w:r>
      <w:r w:rsidRPr="00F57C85">
        <w:rPr>
          <w:rFonts w:cs="Arial"/>
          <w:sz w:val="22"/>
          <w:szCs w:val="22"/>
        </w:rPr>
        <w:t xml:space="preserve"> Brighton &amp; Hove City Council</w:t>
      </w:r>
      <w:r w:rsidR="002C6DE1" w:rsidRPr="00F57C85">
        <w:rPr>
          <w:rFonts w:cs="Arial"/>
          <w:sz w:val="22"/>
          <w:szCs w:val="22"/>
        </w:rPr>
        <w:t>, no date.</w:t>
      </w:r>
      <w:r w:rsidRPr="00F57C85">
        <w:rPr>
          <w:rFonts w:cs="Arial"/>
          <w:sz w:val="22"/>
          <w:szCs w:val="22"/>
        </w:rPr>
        <w:t xml:space="preserve"> </w:t>
      </w:r>
      <w:hyperlink r:id="rId65" w:history="1">
        <w:r w:rsidRPr="00F57C85">
          <w:rPr>
            <w:rStyle w:val="Hyperlink"/>
            <w:rFonts w:cs="Arial"/>
            <w:sz w:val="22"/>
            <w:szCs w:val="22"/>
          </w:rPr>
          <w:t>How to educate your child at home</w:t>
        </w:r>
      </w:hyperlink>
      <w:r w:rsidR="00601412" w:rsidRPr="00F57C85">
        <w:rPr>
          <w:sz w:val="22"/>
          <w:szCs w:val="22"/>
        </w:rPr>
        <w:t xml:space="preserve"> (Data provided by Brighton &amp; Hove City Council Children’s Services team for the needs assessment, September 2025)</w:t>
      </w:r>
      <w:r w:rsidR="00E672B1">
        <w:rPr>
          <w:sz w:val="22"/>
          <w:szCs w:val="22"/>
        </w:rPr>
        <w:t>.</w:t>
      </w:r>
    </w:p>
  </w:endnote>
  <w:endnote w:id="67">
    <w:p w14:paraId="25476178" w14:textId="3C7CF7C7" w:rsidR="007745A4" w:rsidRPr="00330C29" w:rsidRDefault="00835DC7" w:rsidP="00BB0CAF">
      <w:pPr>
        <w:pStyle w:val="EndnoteText"/>
        <w:rPr>
          <w:rFonts w:cs="Arial"/>
          <w:sz w:val="22"/>
          <w:szCs w:val="22"/>
        </w:rPr>
      </w:pPr>
      <w:r w:rsidRPr="00330C29">
        <w:rPr>
          <w:rStyle w:val="EndnoteReference"/>
          <w:rFonts w:cs="Arial"/>
          <w:sz w:val="22"/>
          <w:szCs w:val="22"/>
        </w:rPr>
        <w:endnoteRef/>
      </w:r>
      <w:r w:rsidRPr="00330C29">
        <w:rPr>
          <w:rFonts w:cs="Arial"/>
          <w:sz w:val="22"/>
          <w:szCs w:val="22"/>
        </w:rPr>
        <w:t xml:space="preserve"> Brighton &amp; Hove City Council</w:t>
      </w:r>
      <w:r w:rsidR="0037729F" w:rsidRPr="00330C29">
        <w:rPr>
          <w:rFonts w:cs="Arial"/>
          <w:sz w:val="22"/>
          <w:szCs w:val="22"/>
        </w:rPr>
        <w:t>, no date</w:t>
      </w:r>
      <w:r w:rsidRPr="00330C29">
        <w:rPr>
          <w:rFonts w:cs="Arial"/>
          <w:sz w:val="22"/>
          <w:szCs w:val="22"/>
        </w:rPr>
        <w:t xml:space="preserve">. </w:t>
      </w:r>
      <w:hyperlink r:id="rId66" w:history="1">
        <w:r w:rsidR="007745A4" w:rsidRPr="00330C29">
          <w:rPr>
            <w:rStyle w:val="Hyperlink"/>
            <w:rFonts w:cs="Arial"/>
            <w:sz w:val="22"/>
            <w:szCs w:val="22"/>
          </w:rPr>
          <w:t>Tuition services for children unable to attend school due to a medical need</w:t>
        </w:r>
      </w:hyperlink>
      <w:r w:rsidR="00570CB8" w:rsidRPr="00330C29">
        <w:rPr>
          <w:rFonts w:cs="Arial"/>
          <w:sz w:val="22"/>
          <w:szCs w:val="22"/>
        </w:rPr>
        <w:t xml:space="preserve"> </w:t>
      </w:r>
      <w:r w:rsidR="00601412" w:rsidRPr="00330C29">
        <w:rPr>
          <w:rFonts w:cs="Arial"/>
          <w:sz w:val="22"/>
          <w:szCs w:val="22"/>
        </w:rPr>
        <w:t>(</w:t>
      </w:r>
      <w:r w:rsidR="00570CB8" w:rsidRPr="00330C29">
        <w:rPr>
          <w:rFonts w:cs="Arial"/>
          <w:sz w:val="22"/>
          <w:szCs w:val="22"/>
        </w:rPr>
        <w:t>Data provided by Brighton &amp; Hove City Council Children’s Services team for the needs assessment</w:t>
      </w:r>
      <w:r w:rsidR="00601412" w:rsidRPr="00330C29">
        <w:rPr>
          <w:rFonts w:cs="Arial"/>
          <w:sz w:val="22"/>
          <w:szCs w:val="22"/>
        </w:rPr>
        <w:t xml:space="preserve">, </w:t>
      </w:r>
      <w:r w:rsidR="00570CB8" w:rsidRPr="00330C29">
        <w:rPr>
          <w:rFonts w:cs="Arial"/>
          <w:sz w:val="22"/>
          <w:szCs w:val="22"/>
        </w:rPr>
        <w:t>September 2025</w:t>
      </w:r>
      <w:r w:rsidR="006342AA">
        <w:rPr>
          <w:rFonts w:cs="Arial"/>
          <w:sz w:val="22"/>
          <w:szCs w:val="22"/>
        </w:rPr>
        <w:t>.</w:t>
      </w:r>
      <w:r w:rsidR="00601412" w:rsidRPr="00330C29">
        <w:rPr>
          <w:rFonts w:cs="Arial"/>
          <w:sz w:val="22"/>
          <w:szCs w:val="22"/>
        </w:rPr>
        <w:t>)</w:t>
      </w:r>
    </w:p>
  </w:endnote>
  <w:endnote w:id="68">
    <w:p w14:paraId="0E155201" w14:textId="3B56369C" w:rsidR="00FB5CD0" w:rsidRPr="00330C29" w:rsidRDefault="000E1A82" w:rsidP="00BB0CAF">
      <w:pPr>
        <w:spacing w:line="240" w:lineRule="auto"/>
        <w:rPr>
          <w:rFonts w:cs="Arial"/>
          <w:sz w:val="22"/>
        </w:rPr>
      </w:pPr>
      <w:r w:rsidRPr="00330C29">
        <w:rPr>
          <w:rStyle w:val="EndnoteReference"/>
          <w:rFonts w:cs="Arial"/>
          <w:sz w:val="22"/>
        </w:rPr>
        <w:endnoteRef/>
      </w:r>
      <w:r w:rsidRPr="00330C29">
        <w:rPr>
          <w:rFonts w:cs="Arial"/>
          <w:sz w:val="22"/>
        </w:rPr>
        <w:t xml:space="preserve"> </w:t>
      </w:r>
      <w:r w:rsidR="00C83E55" w:rsidRPr="00330C29">
        <w:rPr>
          <w:rFonts w:cs="Arial"/>
          <w:sz w:val="22"/>
        </w:rPr>
        <w:t>Department for Education</w:t>
      </w:r>
      <w:r w:rsidR="00E51F4D" w:rsidRPr="00330C29">
        <w:rPr>
          <w:rFonts w:cs="Arial"/>
          <w:sz w:val="22"/>
        </w:rPr>
        <w:t xml:space="preserve">, </w:t>
      </w:r>
      <w:r w:rsidR="00904CB2" w:rsidRPr="00330C29">
        <w:rPr>
          <w:rFonts w:cs="Arial"/>
          <w:sz w:val="22"/>
        </w:rPr>
        <w:t>(</w:t>
      </w:r>
      <w:r w:rsidR="00E51F4D" w:rsidRPr="00330C29">
        <w:rPr>
          <w:rFonts w:cs="Arial"/>
          <w:sz w:val="22"/>
        </w:rPr>
        <w:t>2025</w:t>
      </w:r>
      <w:r w:rsidR="00904CB2" w:rsidRPr="00330C29">
        <w:rPr>
          <w:rFonts w:cs="Arial"/>
          <w:sz w:val="22"/>
        </w:rPr>
        <w:t>)</w:t>
      </w:r>
      <w:r w:rsidR="00E51F4D" w:rsidRPr="00330C29">
        <w:rPr>
          <w:rFonts w:cs="Arial"/>
          <w:sz w:val="22"/>
        </w:rPr>
        <w:t xml:space="preserve">. </w:t>
      </w:r>
      <w:hyperlink r:id="rId67" w:history="1">
        <w:r w:rsidR="00A8250F" w:rsidRPr="00296162">
          <w:rPr>
            <w:rStyle w:val="Hyperlink"/>
            <w:rFonts w:cs="Arial"/>
            <w:sz w:val="22"/>
          </w:rPr>
          <w:t xml:space="preserve">Suspensions and permanent exclusions in England: </w:t>
        </w:r>
        <w:r w:rsidR="00296162" w:rsidRPr="00296162">
          <w:rPr>
            <w:rStyle w:val="Hyperlink"/>
            <w:rFonts w:cs="Arial"/>
            <w:sz w:val="22"/>
          </w:rPr>
          <w:t>Autumn term 2024/25</w:t>
        </w:r>
      </w:hyperlink>
    </w:p>
  </w:endnote>
  <w:endnote w:id="69">
    <w:p w14:paraId="31B467BB" w14:textId="7579D549" w:rsidR="004F77F4" w:rsidRPr="00330C29" w:rsidRDefault="00A8720E" w:rsidP="00BB0CAF">
      <w:pPr>
        <w:pStyle w:val="EndnoteText"/>
        <w:rPr>
          <w:rFonts w:cs="Arial"/>
          <w:sz w:val="22"/>
          <w:szCs w:val="22"/>
        </w:rPr>
      </w:pPr>
      <w:r w:rsidRPr="00330C29">
        <w:rPr>
          <w:rStyle w:val="EndnoteReference"/>
          <w:rFonts w:cs="Arial"/>
          <w:sz w:val="22"/>
          <w:szCs w:val="22"/>
        </w:rPr>
        <w:endnoteRef/>
      </w:r>
      <w:r w:rsidRPr="00330C29">
        <w:rPr>
          <w:rFonts w:cs="Arial"/>
          <w:sz w:val="22"/>
          <w:szCs w:val="22"/>
        </w:rPr>
        <w:t xml:space="preserve"> Department for Education</w:t>
      </w:r>
      <w:r w:rsidR="004F77F4" w:rsidRPr="00330C29">
        <w:rPr>
          <w:rFonts w:cs="Arial"/>
          <w:sz w:val="22"/>
          <w:szCs w:val="22"/>
        </w:rPr>
        <w:t xml:space="preserve">, </w:t>
      </w:r>
      <w:r w:rsidR="00904CB2" w:rsidRPr="00330C29">
        <w:rPr>
          <w:rFonts w:cs="Arial"/>
          <w:sz w:val="22"/>
          <w:szCs w:val="22"/>
        </w:rPr>
        <w:t>(</w:t>
      </w:r>
      <w:r w:rsidR="004F77F4" w:rsidRPr="00330C29">
        <w:rPr>
          <w:rFonts w:cs="Arial"/>
          <w:sz w:val="22"/>
          <w:szCs w:val="22"/>
        </w:rPr>
        <w:t>2025</w:t>
      </w:r>
      <w:r w:rsidR="00904CB2" w:rsidRPr="00330C29">
        <w:rPr>
          <w:rFonts w:cs="Arial"/>
          <w:sz w:val="22"/>
          <w:szCs w:val="22"/>
        </w:rPr>
        <w:t>)</w:t>
      </w:r>
      <w:r w:rsidRPr="00330C29">
        <w:rPr>
          <w:rFonts w:cs="Arial"/>
          <w:sz w:val="22"/>
          <w:szCs w:val="22"/>
        </w:rPr>
        <w:t>.</w:t>
      </w:r>
      <w:r w:rsidR="004F77F4" w:rsidRPr="00330C29">
        <w:rPr>
          <w:rFonts w:cs="Arial"/>
          <w:sz w:val="22"/>
          <w:szCs w:val="22"/>
        </w:rPr>
        <w:t xml:space="preserve"> </w:t>
      </w:r>
      <w:hyperlink r:id="rId68" w:history="1">
        <w:r w:rsidR="004F77F4" w:rsidRPr="006425F8">
          <w:rPr>
            <w:rStyle w:val="Hyperlink"/>
            <w:rFonts w:cs="Arial"/>
            <w:sz w:val="22"/>
            <w:szCs w:val="22"/>
          </w:rPr>
          <w:t xml:space="preserve">Participation in education, training and NEET age 16 to 17 by local authority: </w:t>
        </w:r>
        <w:r w:rsidR="006425F8" w:rsidRPr="006425F8">
          <w:rPr>
            <w:rStyle w:val="Hyperlink"/>
            <w:rFonts w:cs="Arial"/>
            <w:sz w:val="22"/>
            <w:szCs w:val="22"/>
          </w:rPr>
          <w:t>Academic year 2024/25</w:t>
        </w:r>
      </w:hyperlink>
    </w:p>
  </w:endnote>
  <w:endnote w:id="70">
    <w:p w14:paraId="04B01181" w14:textId="5DF850D2" w:rsidR="00436910" w:rsidRPr="00330C29" w:rsidRDefault="00552D27" w:rsidP="00BB0CAF">
      <w:pPr>
        <w:pStyle w:val="EndnoteText"/>
        <w:rPr>
          <w:rFonts w:cs="Arial"/>
          <w:sz w:val="22"/>
          <w:szCs w:val="22"/>
        </w:rPr>
      </w:pPr>
      <w:r w:rsidRPr="00330C29">
        <w:rPr>
          <w:rStyle w:val="EndnoteReference"/>
          <w:rFonts w:cs="Arial"/>
          <w:sz w:val="22"/>
          <w:szCs w:val="22"/>
        </w:rPr>
        <w:endnoteRef/>
      </w:r>
      <w:r w:rsidRPr="00330C29">
        <w:rPr>
          <w:rFonts w:cs="Arial"/>
          <w:sz w:val="22"/>
          <w:szCs w:val="22"/>
        </w:rPr>
        <w:t xml:space="preserve"> Department for Education</w:t>
      </w:r>
      <w:r w:rsidR="00436910" w:rsidRPr="00330C29">
        <w:rPr>
          <w:rFonts w:cs="Arial"/>
          <w:sz w:val="22"/>
          <w:szCs w:val="22"/>
        </w:rPr>
        <w:t xml:space="preserve">, </w:t>
      </w:r>
      <w:r w:rsidR="00904CB2" w:rsidRPr="00330C29">
        <w:rPr>
          <w:rFonts w:cs="Arial"/>
          <w:sz w:val="22"/>
          <w:szCs w:val="22"/>
        </w:rPr>
        <w:t>(</w:t>
      </w:r>
      <w:r w:rsidR="00436910" w:rsidRPr="00330C29">
        <w:rPr>
          <w:rFonts w:cs="Arial"/>
          <w:sz w:val="22"/>
          <w:szCs w:val="22"/>
        </w:rPr>
        <w:t>2025</w:t>
      </w:r>
      <w:r w:rsidR="00904CB2" w:rsidRPr="00330C29">
        <w:rPr>
          <w:rFonts w:cs="Arial"/>
          <w:sz w:val="22"/>
          <w:szCs w:val="22"/>
        </w:rPr>
        <w:t>)</w:t>
      </w:r>
      <w:r w:rsidRPr="00330C29">
        <w:rPr>
          <w:rFonts w:cs="Arial"/>
          <w:sz w:val="22"/>
          <w:szCs w:val="22"/>
        </w:rPr>
        <w:t xml:space="preserve">. </w:t>
      </w:r>
      <w:hyperlink r:id="rId69" w:history="1">
        <w:r w:rsidR="00436910" w:rsidRPr="00330C29">
          <w:rPr>
            <w:rStyle w:val="Hyperlink"/>
            <w:rFonts w:cs="Arial"/>
            <w:sz w:val="22"/>
            <w:szCs w:val="22"/>
          </w:rPr>
          <w:t>16-18 destination measures: Academic year 2023/24</w:t>
        </w:r>
      </w:hyperlink>
    </w:p>
  </w:endnote>
  <w:endnote w:id="71">
    <w:p w14:paraId="0C71B20C" w14:textId="1A417982" w:rsidR="005230D3" w:rsidRPr="00330C29" w:rsidRDefault="006A1C76" w:rsidP="002517C7">
      <w:pPr>
        <w:spacing w:line="240" w:lineRule="auto"/>
        <w:rPr>
          <w:rFonts w:cs="Arial"/>
          <w:sz w:val="22"/>
        </w:rPr>
      </w:pPr>
      <w:r w:rsidRPr="00330C29">
        <w:rPr>
          <w:rStyle w:val="EndnoteReference"/>
          <w:rFonts w:cs="Arial"/>
          <w:sz w:val="22"/>
        </w:rPr>
        <w:endnoteRef/>
      </w:r>
      <w:r w:rsidRPr="00330C29">
        <w:rPr>
          <w:rFonts w:cs="Arial"/>
          <w:sz w:val="22"/>
        </w:rPr>
        <w:t xml:space="preserve"> </w:t>
      </w:r>
      <w:r w:rsidRPr="00330C29">
        <w:rPr>
          <w:rStyle w:val="Hyperlink"/>
          <w:rFonts w:cs="Arial"/>
          <w:color w:val="auto"/>
          <w:sz w:val="22"/>
          <w:u w:val="none"/>
        </w:rPr>
        <w:t>Department of Education</w:t>
      </w:r>
      <w:r w:rsidR="00BB0CAF" w:rsidRPr="00330C29">
        <w:rPr>
          <w:rStyle w:val="Hyperlink"/>
          <w:rFonts w:cs="Arial"/>
          <w:color w:val="auto"/>
          <w:sz w:val="22"/>
          <w:u w:val="none"/>
        </w:rPr>
        <w:t xml:space="preserve">, </w:t>
      </w:r>
      <w:r w:rsidR="00904CB2" w:rsidRPr="00330C29">
        <w:rPr>
          <w:rStyle w:val="Hyperlink"/>
          <w:rFonts w:cs="Arial"/>
          <w:color w:val="auto"/>
          <w:sz w:val="22"/>
          <w:u w:val="none"/>
        </w:rPr>
        <w:t>(</w:t>
      </w:r>
      <w:r w:rsidR="00BB0CAF" w:rsidRPr="00330C29">
        <w:rPr>
          <w:rStyle w:val="Hyperlink"/>
          <w:rFonts w:cs="Arial"/>
          <w:color w:val="auto"/>
          <w:sz w:val="22"/>
          <w:u w:val="none"/>
        </w:rPr>
        <w:t>2025</w:t>
      </w:r>
      <w:r w:rsidR="00904CB2" w:rsidRPr="00330C29">
        <w:rPr>
          <w:rStyle w:val="Hyperlink"/>
          <w:rFonts w:cs="Arial"/>
          <w:color w:val="auto"/>
          <w:sz w:val="22"/>
          <w:u w:val="none"/>
        </w:rPr>
        <w:t>)</w:t>
      </w:r>
      <w:r w:rsidR="00BB0CAF" w:rsidRPr="00330C29">
        <w:rPr>
          <w:rStyle w:val="Hyperlink"/>
          <w:rFonts w:cs="Arial"/>
          <w:color w:val="auto"/>
          <w:sz w:val="22"/>
          <w:u w:val="none"/>
        </w:rPr>
        <w:t>.</w:t>
      </w:r>
      <w:r w:rsidRPr="00330C29">
        <w:rPr>
          <w:rStyle w:val="Hyperlink"/>
          <w:rFonts w:cs="Arial"/>
          <w:color w:val="auto"/>
          <w:sz w:val="22"/>
          <w:u w:val="none"/>
        </w:rPr>
        <w:t xml:space="preserve"> </w:t>
      </w:r>
      <w:hyperlink r:id="rId70" w:history="1">
        <w:r w:rsidR="005230D3" w:rsidRPr="00330C29">
          <w:rPr>
            <w:rStyle w:val="Hyperlink"/>
            <w:rFonts w:cs="Arial"/>
            <w:color w:val="3333FF"/>
            <w:sz w:val="22"/>
          </w:rPr>
          <w:t>Widening participation in higher education: Academic year 2023/24</w:t>
        </w:r>
      </w:hyperlink>
    </w:p>
  </w:endnote>
  <w:endnote w:id="72">
    <w:p w14:paraId="396276CF" w14:textId="628384A2" w:rsidR="002517C7" w:rsidRPr="00330C29" w:rsidRDefault="00AB061D" w:rsidP="00587ADD">
      <w:pPr>
        <w:pStyle w:val="EndnoteText"/>
        <w:rPr>
          <w:sz w:val="22"/>
          <w:szCs w:val="22"/>
        </w:rPr>
      </w:pPr>
      <w:r w:rsidRPr="00330C29">
        <w:rPr>
          <w:rStyle w:val="EndnoteReference"/>
          <w:sz w:val="22"/>
          <w:szCs w:val="22"/>
        </w:rPr>
        <w:endnoteRef/>
      </w:r>
      <w:r w:rsidRPr="00330C29">
        <w:rPr>
          <w:sz w:val="22"/>
          <w:szCs w:val="22"/>
        </w:rPr>
        <w:t xml:space="preserve"> Owen, D. </w:t>
      </w:r>
      <w:r w:rsidR="00904CB2" w:rsidRPr="00330C29">
        <w:rPr>
          <w:sz w:val="22"/>
          <w:szCs w:val="22"/>
        </w:rPr>
        <w:t>(</w:t>
      </w:r>
      <w:r w:rsidRPr="00330C29">
        <w:rPr>
          <w:sz w:val="22"/>
          <w:szCs w:val="22"/>
        </w:rPr>
        <w:t>2019</w:t>
      </w:r>
      <w:r w:rsidR="00904CB2" w:rsidRPr="00330C29">
        <w:rPr>
          <w:sz w:val="22"/>
          <w:szCs w:val="22"/>
        </w:rPr>
        <w:t>)</w:t>
      </w:r>
      <w:r w:rsidR="005E7692" w:rsidRPr="00330C29">
        <w:rPr>
          <w:sz w:val="22"/>
          <w:szCs w:val="22"/>
        </w:rPr>
        <w:t>.</w:t>
      </w:r>
      <w:r w:rsidR="00D60A8E" w:rsidRPr="00330C29">
        <w:rPr>
          <w:sz w:val="22"/>
          <w:szCs w:val="22"/>
        </w:rPr>
        <w:t xml:space="preserve"> </w:t>
      </w:r>
      <w:hyperlink r:id="rId71" w:history="1">
        <w:r w:rsidR="001D4D9B" w:rsidRPr="00330C29">
          <w:rPr>
            <w:rStyle w:val="Hyperlink"/>
            <w:sz w:val="22"/>
            <w:szCs w:val="22"/>
          </w:rPr>
          <w:t>What is off-rolling, and how does Ofsted look at it on inspection?</w:t>
        </w:r>
      </w:hyperlink>
      <w:r w:rsidR="00475F92" w:rsidRPr="00330C29">
        <w:rPr>
          <w:sz w:val="22"/>
          <w:szCs w:val="22"/>
        </w:rPr>
        <w:t xml:space="preserve"> </w:t>
      </w:r>
      <w:r w:rsidR="00DC178F" w:rsidRPr="00330C29">
        <w:rPr>
          <w:sz w:val="22"/>
          <w:szCs w:val="22"/>
        </w:rPr>
        <w:t>Ofsted</w:t>
      </w:r>
      <w:r w:rsidR="006342AA">
        <w:rPr>
          <w:sz w:val="22"/>
          <w:szCs w:val="22"/>
        </w:rPr>
        <w:t>.</w:t>
      </w:r>
    </w:p>
  </w:endnote>
  <w:endnote w:id="73">
    <w:p w14:paraId="5CEE2292" w14:textId="6A360E82" w:rsidR="005522E9" w:rsidRPr="00330C29" w:rsidRDefault="005522E9" w:rsidP="00587ADD">
      <w:pPr>
        <w:pStyle w:val="EndnoteText"/>
        <w:rPr>
          <w:rFonts w:cs="Arial"/>
          <w:sz w:val="22"/>
          <w:szCs w:val="22"/>
        </w:rPr>
      </w:pPr>
      <w:r w:rsidRPr="00330C29">
        <w:rPr>
          <w:rStyle w:val="EndnoteReference"/>
          <w:rFonts w:cs="Arial"/>
          <w:sz w:val="22"/>
          <w:szCs w:val="22"/>
        </w:rPr>
        <w:endnoteRef/>
      </w:r>
      <w:r w:rsidRPr="00330C29">
        <w:rPr>
          <w:rFonts w:cs="Arial"/>
          <w:sz w:val="22"/>
          <w:szCs w:val="22"/>
        </w:rPr>
        <w:t xml:space="preserve"> </w:t>
      </w:r>
      <w:r w:rsidR="00C332E7" w:rsidRPr="00330C29">
        <w:rPr>
          <w:rFonts w:cs="Arial"/>
          <w:sz w:val="22"/>
          <w:szCs w:val="22"/>
        </w:rPr>
        <w:t>Strand, S., &amp; Lindorff, A.</w:t>
      </w:r>
      <w:r w:rsidR="00003EEC" w:rsidRPr="00330C29">
        <w:rPr>
          <w:rFonts w:cs="Arial"/>
          <w:sz w:val="22"/>
          <w:szCs w:val="22"/>
        </w:rPr>
        <w:t xml:space="preserve"> </w:t>
      </w:r>
      <w:r w:rsidR="00904CB2" w:rsidRPr="00330C29">
        <w:rPr>
          <w:rFonts w:cs="Arial"/>
          <w:sz w:val="22"/>
          <w:szCs w:val="22"/>
        </w:rPr>
        <w:t>(</w:t>
      </w:r>
      <w:r w:rsidR="00C332E7" w:rsidRPr="00330C29">
        <w:rPr>
          <w:rFonts w:cs="Arial"/>
          <w:sz w:val="22"/>
          <w:szCs w:val="22"/>
        </w:rPr>
        <w:t>2021</w:t>
      </w:r>
      <w:r w:rsidR="00904CB2" w:rsidRPr="00330C29">
        <w:rPr>
          <w:rFonts w:cs="Arial"/>
          <w:sz w:val="22"/>
          <w:szCs w:val="22"/>
        </w:rPr>
        <w:t>)</w:t>
      </w:r>
      <w:r w:rsidR="00C332E7" w:rsidRPr="00330C29">
        <w:rPr>
          <w:rFonts w:cs="Arial"/>
          <w:sz w:val="22"/>
          <w:szCs w:val="22"/>
        </w:rPr>
        <w:t xml:space="preserve">. </w:t>
      </w:r>
      <w:hyperlink r:id="rId72" w:history="1">
        <w:r w:rsidR="00B94B58" w:rsidRPr="00330C29">
          <w:rPr>
            <w:rStyle w:val="Hyperlink"/>
            <w:rFonts w:cs="Arial"/>
            <w:sz w:val="22"/>
            <w:szCs w:val="22"/>
          </w:rPr>
          <w:t>Ethnic Disproportionality in the Identification of High-Incidence Special Educational Needs: A National Longitudinal Study Ages 5 to 11</w:t>
        </w:r>
      </w:hyperlink>
      <w:r w:rsidR="00C332E7" w:rsidRPr="00330C29">
        <w:rPr>
          <w:rFonts w:cs="Arial"/>
          <w:sz w:val="22"/>
          <w:szCs w:val="22"/>
        </w:rPr>
        <w:t>. </w:t>
      </w:r>
      <w:r w:rsidR="00C332E7" w:rsidRPr="00330C29">
        <w:rPr>
          <w:rFonts w:cs="Arial"/>
          <w:i/>
          <w:iCs/>
          <w:sz w:val="22"/>
          <w:szCs w:val="22"/>
        </w:rPr>
        <w:t>Exceptional Children</w:t>
      </w:r>
      <w:r w:rsidR="00C332E7" w:rsidRPr="00330C29">
        <w:rPr>
          <w:rFonts w:cs="Arial"/>
          <w:sz w:val="22"/>
          <w:szCs w:val="22"/>
        </w:rPr>
        <w:t>, </w:t>
      </w:r>
      <w:r w:rsidR="00C332E7" w:rsidRPr="00330C29">
        <w:rPr>
          <w:rFonts w:cs="Arial"/>
          <w:i/>
          <w:iCs/>
          <w:sz w:val="22"/>
          <w:szCs w:val="22"/>
        </w:rPr>
        <w:t>87</w:t>
      </w:r>
      <w:r w:rsidR="00C332E7" w:rsidRPr="00330C29">
        <w:rPr>
          <w:rFonts w:cs="Arial"/>
          <w:sz w:val="22"/>
          <w:szCs w:val="22"/>
        </w:rPr>
        <w:t>(3), 344-368.</w:t>
      </w:r>
      <w:r w:rsidR="00B94B58" w:rsidRPr="00330C29">
        <w:rPr>
          <w:rFonts w:ascii="Times New Roman" w:eastAsia="Times New Roman" w:hAnsi="Times New Roman"/>
          <w:sz w:val="22"/>
          <w:szCs w:val="22"/>
        </w:rPr>
        <w:t xml:space="preserve"> </w:t>
      </w:r>
    </w:p>
  </w:endnote>
  <w:endnote w:id="74">
    <w:p w14:paraId="696F2518" w14:textId="00CD640A" w:rsidR="002E16CD" w:rsidRPr="00330C29" w:rsidRDefault="005522E9" w:rsidP="00587ADD">
      <w:pPr>
        <w:pStyle w:val="EndnoteText"/>
        <w:rPr>
          <w:rFonts w:cs="Arial"/>
          <w:sz w:val="22"/>
          <w:szCs w:val="22"/>
        </w:rPr>
      </w:pPr>
      <w:r w:rsidRPr="00330C29">
        <w:rPr>
          <w:rStyle w:val="EndnoteReference"/>
          <w:rFonts w:cs="Arial"/>
          <w:sz w:val="22"/>
          <w:szCs w:val="22"/>
        </w:rPr>
        <w:endnoteRef/>
      </w:r>
      <w:r w:rsidRPr="00330C29">
        <w:rPr>
          <w:rFonts w:cs="Arial"/>
          <w:sz w:val="22"/>
          <w:szCs w:val="22"/>
        </w:rPr>
        <w:t xml:space="preserve"> </w:t>
      </w:r>
      <w:r w:rsidR="003A70DA" w:rsidRPr="00330C29">
        <w:rPr>
          <w:rFonts w:cs="Arial"/>
          <w:sz w:val="22"/>
          <w:szCs w:val="22"/>
        </w:rPr>
        <w:t>Roman-Urrestarazu</w:t>
      </w:r>
      <w:r w:rsidR="009F5E86" w:rsidRPr="00330C29">
        <w:rPr>
          <w:rFonts w:cs="Arial"/>
          <w:sz w:val="22"/>
          <w:szCs w:val="22"/>
        </w:rPr>
        <w:t>,</w:t>
      </w:r>
      <w:r w:rsidR="003A70DA" w:rsidRPr="00330C29">
        <w:rPr>
          <w:rFonts w:cs="Arial"/>
          <w:sz w:val="22"/>
          <w:szCs w:val="22"/>
        </w:rPr>
        <w:t xml:space="preserve"> A</w:t>
      </w:r>
      <w:r w:rsidR="009F5E86" w:rsidRPr="00330C29">
        <w:rPr>
          <w:rFonts w:cs="Arial"/>
          <w:sz w:val="22"/>
          <w:szCs w:val="22"/>
        </w:rPr>
        <w:t>.</w:t>
      </w:r>
      <w:r w:rsidR="003A70DA" w:rsidRPr="00330C29">
        <w:rPr>
          <w:rFonts w:cs="Arial"/>
          <w:sz w:val="22"/>
          <w:szCs w:val="22"/>
        </w:rPr>
        <w:t>, van Kessel</w:t>
      </w:r>
      <w:r w:rsidR="009F5E86" w:rsidRPr="00330C29">
        <w:rPr>
          <w:rFonts w:cs="Arial"/>
          <w:sz w:val="22"/>
          <w:szCs w:val="22"/>
        </w:rPr>
        <w:t>,</w:t>
      </w:r>
      <w:r w:rsidR="003A70DA" w:rsidRPr="00330C29">
        <w:rPr>
          <w:rFonts w:cs="Arial"/>
          <w:sz w:val="22"/>
          <w:szCs w:val="22"/>
        </w:rPr>
        <w:t xml:space="preserve"> R</w:t>
      </w:r>
      <w:r w:rsidR="009F5E86" w:rsidRPr="00330C29">
        <w:rPr>
          <w:rFonts w:cs="Arial"/>
          <w:sz w:val="22"/>
          <w:szCs w:val="22"/>
        </w:rPr>
        <w:t>.</w:t>
      </w:r>
      <w:r w:rsidR="003A70DA" w:rsidRPr="00330C29">
        <w:rPr>
          <w:rFonts w:cs="Arial"/>
          <w:sz w:val="22"/>
          <w:szCs w:val="22"/>
        </w:rPr>
        <w:t>, Allison</w:t>
      </w:r>
      <w:r w:rsidR="009F5E86" w:rsidRPr="00330C29">
        <w:rPr>
          <w:rFonts w:cs="Arial"/>
          <w:sz w:val="22"/>
          <w:szCs w:val="22"/>
        </w:rPr>
        <w:t>,</w:t>
      </w:r>
      <w:r w:rsidR="003A70DA" w:rsidRPr="00330C29">
        <w:rPr>
          <w:rFonts w:cs="Arial"/>
          <w:sz w:val="22"/>
          <w:szCs w:val="22"/>
        </w:rPr>
        <w:t xml:space="preserve"> C</w:t>
      </w:r>
      <w:r w:rsidR="009F5E86" w:rsidRPr="00330C29">
        <w:rPr>
          <w:rFonts w:cs="Arial"/>
          <w:sz w:val="22"/>
          <w:szCs w:val="22"/>
        </w:rPr>
        <w:t>.</w:t>
      </w:r>
      <w:r w:rsidR="003A70DA" w:rsidRPr="00330C29">
        <w:rPr>
          <w:rFonts w:cs="Arial"/>
          <w:sz w:val="22"/>
          <w:szCs w:val="22"/>
        </w:rPr>
        <w:t>, Matthews</w:t>
      </w:r>
      <w:r w:rsidR="009F5E86" w:rsidRPr="00330C29">
        <w:rPr>
          <w:rFonts w:cs="Arial"/>
          <w:sz w:val="22"/>
          <w:szCs w:val="22"/>
        </w:rPr>
        <w:t>,</w:t>
      </w:r>
      <w:r w:rsidR="003A70DA" w:rsidRPr="00330C29">
        <w:rPr>
          <w:rFonts w:cs="Arial"/>
          <w:sz w:val="22"/>
          <w:szCs w:val="22"/>
        </w:rPr>
        <w:t xml:space="preserve"> F</w:t>
      </w:r>
      <w:r w:rsidR="009F5E86" w:rsidRPr="00330C29">
        <w:rPr>
          <w:rFonts w:cs="Arial"/>
          <w:sz w:val="22"/>
          <w:szCs w:val="22"/>
        </w:rPr>
        <w:t>.</w:t>
      </w:r>
      <w:r w:rsidR="003A70DA" w:rsidRPr="00330C29">
        <w:rPr>
          <w:rFonts w:cs="Arial"/>
          <w:sz w:val="22"/>
          <w:szCs w:val="22"/>
        </w:rPr>
        <w:t>E</w:t>
      </w:r>
      <w:r w:rsidR="009F5E86" w:rsidRPr="00330C29">
        <w:rPr>
          <w:rFonts w:cs="Arial"/>
          <w:sz w:val="22"/>
          <w:szCs w:val="22"/>
        </w:rPr>
        <w:t>.</w:t>
      </w:r>
      <w:r w:rsidR="003A70DA" w:rsidRPr="00330C29">
        <w:rPr>
          <w:rFonts w:cs="Arial"/>
          <w:sz w:val="22"/>
          <w:szCs w:val="22"/>
        </w:rPr>
        <w:t>, Brayne</w:t>
      </w:r>
      <w:r w:rsidR="009F5E86" w:rsidRPr="00330C29">
        <w:rPr>
          <w:rFonts w:cs="Arial"/>
          <w:sz w:val="22"/>
          <w:szCs w:val="22"/>
        </w:rPr>
        <w:t>,</w:t>
      </w:r>
      <w:r w:rsidR="003A70DA" w:rsidRPr="00330C29">
        <w:rPr>
          <w:rFonts w:cs="Arial"/>
          <w:sz w:val="22"/>
          <w:szCs w:val="22"/>
        </w:rPr>
        <w:t xml:space="preserve"> C</w:t>
      </w:r>
      <w:r w:rsidR="009F5E86" w:rsidRPr="00330C29">
        <w:rPr>
          <w:rFonts w:cs="Arial"/>
          <w:sz w:val="22"/>
          <w:szCs w:val="22"/>
        </w:rPr>
        <w:t>.</w:t>
      </w:r>
      <w:r w:rsidR="003A70DA" w:rsidRPr="00330C29">
        <w:rPr>
          <w:rFonts w:cs="Arial"/>
          <w:sz w:val="22"/>
          <w:szCs w:val="22"/>
        </w:rPr>
        <w:t>, Baron-Cohen</w:t>
      </w:r>
      <w:r w:rsidR="009F5E86" w:rsidRPr="00330C29">
        <w:rPr>
          <w:rFonts w:cs="Arial"/>
          <w:sz w:val="22"/>
          <w:szCs w:val="22"/>
        </w:rPr>
        <w:t>,</w:t>
      </w:r>
      <w:r w:rsidR="003A70DA" w:rsidRPr="00330C29">
        <w:rPr>
          <w:rFonts w:cs="Arial"/>
          <w:sz w:val="22"/>
          <w:szCs w:val="22"/>
        </w:rPr>
        <w:t xml:space="preserve"> S.</w:t>
      </w:r>
      <w:r w:rsidR="00C34CFE" w:rsidRPr="00330C29">
        <w:rPr>
          <w:rFonts w:cs="Arial"/>
          <w:sz w:val="22"/>
          <w:szCs w:val="22"/>
        </w:rPr>
        <w:t xml:space="preserve"> (2021)</w:t>
      </w:r>
      <w:r w:rsidR="00E621C6" w:rsidRPr="00330C29">
        <w:rPr>
          <w:rFonts w:cs="Arial"/>
          <w:sz w:val="22"/>
          <w:szCs w:val="22"/>
        </w:rPr>
        <w:t xml:space="preserve"> </w:t>
      </w:r>
      <w:hyperlink r:id="rId73" w:history="1">
        <w:r w:rsidR="00E621C6" w:rsidRPr="00330C29">
          <w:rPr>
            <w:rStyle w:val="Hyperlink"/>
            <w:rFonts w:cs="Arial"/>
            <w:sz w:val="22"/>
            <w:szCs w:val="22"/>
          </w:rPr>
          <w:t>Association of Race/Ethnicity and Social Disadvantage With Autism Prevalence in 7 Million School Children in England</w:t>
        </w:r>
      </w:hyperlink>
      <w:r w:rsidR="00E621C6" w:rsidRPr="00330C29">
        <w:rPr>
          <w:rFonts w:cs="Arial"/>
          <w:sz w:val="22"/>
          <w:szCs w:val="22"/>
        </w:rPr>
        <w:t>.</w:t>
      </w:r>
      <w:r w:rsidR="006331D1" w:rsidRPr="00330C29">
        <w:rPr>
          <w:rFonts w:cs="Arial"/>
          <w:sz w:val="22"/>
          <w:szCs w:val="22"/>
        </w:rPr>
        <w:t xml:space="preserve"> </w:t>
      </w:r>
      <w:r w:rsidR="00E621C6" w:rsidRPr="00330C29">
        <w:rPr>
          <w:rFonts w:cs="Arial"/>
          <w:i/>
          <w:iCs/>
          <w:sz w:val="22"/>
          <w:szCs w:val="22"/>
        </w:rPr>
        <w:t>JAMA Pediatrics</w:t>
      </w:r>
      <w:r w:rsidR="00E621C6" w:rsidRPr="00330C29">
        <w:rPr>
          <w:rFonts w:cs="Arial"/>
          <w:sz w:val="22"/>
          <w:szCs w:val="22"/>
        </w:rPr>
        <w:t>.175(6):e210054.</w:t>
      </w:r>
    </w:p>
  </w:endnote>
  <w:endnote w:id="75">
    <w:p w14:paraId="4D744349" w14:textId="6A84331C" w:rsidR="00F90838" w:rsidRPr="00330C29" w:rsidRDefault="005522E9" w:rsidP="00587ADD">
      <w:pPr>
        <w:pStyle w:val="EndnoteText"/>
        <w:rPr>
          <w:rFonts w:cs="Arial"/>
          <w:sz w:val="22"/>
          <w:szCs w:val="22"/>
        </w:rPr>
      </w:pPr>
      <w:r w:rsidRPr="00330C29">
        <w:rPr>
          <w:rStyle w:val="EndnoteReference"/>
          <w:rFonts w:cs="Arial"/>
          <w:sz w:val="22"/>
          <w:szCs w:val="22"/>
        </w:rPr>
        <w:endnoteRef/>
      </w:r>
      <w:r w:rsidRPr="00330C29">
        <w:rPr>
          <w:rFonts w:cs="Arial"/>
          <w:sz w:val="22"/>
          <w:szCs w:val="22"/>
        </w:rPr>
        <w:t xml:space="preserve"> Strand, S. </w:t>
      </w:r>
      <w:r w:rsidR="00003EEC" w:rsidRPr="00330C29">
        <w:rPr>
          <w:rFonts w:cs="Arial"/>
          <w:sz w:val="22"/>
          <w:szCs w:val="22"/>
        </w:rPr>
        <w:t>&amp;</w:t>
      </w:r>
      <w:r w:rsidRPr="00330C29">
        <w:rPr>
          <w:rFonts w:cs="Arial"/>
          <w:sz w:val="22"/>
          <w:szCs w:val="22"/>
        </w:rPr>
        <w:t xml:space="preserve"> Lindorff, A</w:t>
      </w:r>
      <w:r w:rsidR="00003EEC" w:rsidRPr="00330C29">
        <w:rPr>
          <w:rFonts w:cs="Arial"/>
          <w:sz w:val="22"/>
          <w:szCs w:val="22"/>
        </w:rPr>
        <w:t xml:space="preserve">. </w:t>
      </w:r>
      <w:r w:rsidR="00C34CFE" w:rsidRPr="00330C29">
        <w:rPr>
          <w:rFonts w:cs="Arial"/>
          <w:sz w:val="22"/>
          <w:szCs w:val="22"/>
        </w:rPr>
        <w:t>(</w:t>
      </w:r>
      <w:r w:rsidRPr="00330C29">
        <w:rPr>
          <w:rFonts w:cs="Arial"/>
          <w:sz w:val="22"/>
          <w:szCs w:val="22"/>
        </w:rPr>
        <w:t>2018</w:t>
      </w:r>
      <w:r w:rsidR="00C34CFE" w:rsidRPr="00330C29">
        <w:rPr>
          <w:rFonts w:cs="Arial"/>
          <w:sz w:val="22"/>
          <w:szCs w:val="22"/>
        </w:rPr>
        <w:t>)</w:t>
      </w:r>
      <w:r w:rsidRPr="00330C29">
        <w:rPr>
          <w:rFonts w:cs="Arial"/>
          <w:sz w:val="22"/>
          <w:szCs w:val="22"/>
        </w:rPr>
        <w:t>.</w:t>
      </w:r>
      <w:r w:rsidR="00003EEC" w:rsidRPr="00330C29">
        <w:rPr>
          <w:rFonts w:cs="Arial"/>
          <w:sz w:val="22"/>
          <w:szCs w:val="22"/>
        </w:rPr>
        <w:t xml:space="preserve"> </w:t>
      </w:r>
      <w:hyperlink r:id="rId74" w:history="1">
        <w:r w:rsidRPr="00330C29">
          <w:rPr>
            <w:rStyle w:val="Hyperlink"/>
            <w:rFonts w:cs="Arial"/>
            <w:sz w:val="22"/>
            <w:szCs w:val="22"/>
          </w:rPr>
          <w:t>Ethnic disproportionality in the identification of Special Educational Needs (SEN) in England: Extent, causes and consequences</w:t>
        </w:r>
      </w:hyperlink>
      <w:r w:rsidR="00003EEC" w:rsidRPr="00330C29">
        <w:rPr>
          <w:sz w:val="22"/>
          <w:szCs w:val="22"/>
        </w:rPr>
        <w:t xml:space="preserve"> </w:t>
      </w:r>
      <w:r w:rsidR="00064745" w:rsidRPr="00330C29">
        <w:rPr>
          <w:sz w:val="22"/>
          <w:szCs w:val="22"/>
        </w:rPr>
        <w:t>Department of Education, University of Oxford.</w:t>
      </w:r>
    </w:p>
  </w:endnote>
  <w:endnote w:id="76">
    <w:p w14:paraId="09B3211A" w14:textId="5CDF354F" w:rsidR="00302EC4" w:rsidRPr="00330C29" w:rsidRDefault="007F2532" w:rsidP="00587ADD">
      <w:pPr>
        <w:pStyle w:val="EndnoteText"/>
        <w:rPr>
          <w:rFonts w:cs="Arial"/>
          <w:sz w:val="22"/>
          <w:szCs w:val="22"/>
        </w:rPr>
      </w:pPr>
      <w:r w:rsidRPr="00330C29">
        <w:rPr>
          <w:rStyle w:val="EndnoteReference"/>
          <w:rFonts w:cs="Arial"/>
          <w:sz w:val="22"/>
          <w:szCs w:val="22"/>
        </w:rPr>
        <w:endnoteRef/>
      </w:r>
      <w:r w:rsidRPr="00330C29">
        <w:rPr>
          <w:rFonts w:cs="Arial"/>
          <w:sz w:val="22"/>
          <w:szCs w:val="22"/>
        </w:rPr>
        <w:t xml:space="preserve"> The Alliance for Inclusive Education</w:t>
      </w:r>
      <w:r w:rsidR="00A96B71" w:rsidRPr="00330C29">
        <w:rPr>
          <w:rFonts w:cs="Arial"/>
          <w:sz w:val="22"/>
          <w:szCs w:val="22"/>
        </w:rPr>
        <w:t xml:space="preserve"> (A</w:t>
      </w:r>
      <w:r w:rsidR="006D041A" w:rsidRPr="00330C29">
        <w:rPr>
          <w:rFonts w:cs="Arial"/>
          <w:sz w:val="22"/>
          <w:szCs w:val="22"/>
        </w:rPr>
        <w:t>LLFIE)</w:t>
      </w:r>
      <w:r w:rsidR="00A96B71" w:rsidRPr="00330C29">
        <w:rPr>
          <w:rFonts w:cs="Arial"/>
          <w:sz w:val="22"/>
          <w:szCs w:val="22"/>
        </w:rPr>
        <w:t xml:space="preserve">, </w:t>
      </w:r>
      <w:r w:rsidR="009F5E86" w:rsidRPr="00330C29">
        <w:rPr>
          <w:rFonts w:cs="Arial"/>
          <w:sz w:val="22"/>
          <w:szCs w:val="22"/>
        </w:rPr>
        <w:t>(</w:t>
      </w:r>
      <w:r w:rsidR="00A96B71" w:rsidRPr="00330C29">
        <w:rPr>
          <w:rFonts w:cs="Arial"/>
          <w:sz w:val="22"/>
          <w:szCs w:val="22"/>
        </w:rPr>
        <w:t>2024</w:t>
      </w:r>
      <w:r w:rsidR="009F5E86" w:rsidRPr="00330C29">
        <w:rPr>
          <w:rFonts w:cs="Arial"/>
          <w:sz w:val="22"/>
          <w:szCs w:val="22"/>
        </w:rPr>
        <w:t>)</w:t>
      </w:r>
      <w:r w:rsidRPr="00330C29">
        <w:rPr>
          <w:rFonts w:cs="Arial"/>
          <w:sz w:val="22"/>
          <w:szCs w:val="22"/>
        </w:rPr>
        <w:t xml:space="preserve">. </w:t>
      </w:r>
      <w:hyperlink r:id="rId75" w:history="1">
        <w:r w:rsidR="00A96B71" w:rsidRPr="00330C29">
          <w:rPr>
            <w:rStyle w:val="Hyperlink"/>
            <w:sz w:val="22"/>
            <w:szCs w:val="22"/>
          </w:rPr>
          <w:t>Lived Experience of Black/Global Majority Disabled Pupils and their Families in Mainstream Education</w:t>
        </w:r>
      </w:hyperlink>
    </w:p>
  </w:endnote>
  <w:endnote w:id="77">
    <w:p w14:paraId="53490978" w14:textId="6CA9B2EE" w:rsidR="004B0C3A" w:rsidRPr="00330C29" w:rsidRDefault="007F2532" w:rsidP="00587ADD">
      <w:pPr>
        <w:pStyle w:val="EndnoteText"/>
        <w:rPr>
          <w:rFonts w:cs="Arial"/>
          <w:sz w:val="22"/>
          <w:szCs w:val="22"/>
        </w:rPr>
      </w:pPr>
      <w:r w:rsidRPr="00330C29">
        <w:rPr>
          <w:rStyle w:val="EndnoteReference"/>
          <w:rFonts w:cs="Arial"/>
          <w:sz w:val="22"/>
          <w:szCs w:val="22"/>
        </w:rPr>
        <w:endnoteRef/>
      </w:r>
      <w:r w:rsidRPr="00330C29">
        <w:rPr>
          <w:rFonts w:cs="Arial"/>
          <w:sz w:val="22"/>
          <w:szCs w:val="22"/>
        </w:rPr>
        <w:t xml:space="preserve"> </w:t>
      </w:r>
      <w:r w:rsidR="00E70566" w:rsidRPr="00330C29">
        <w:rPr>
          <w:rFonts w:cs="Arial"/>
          <w:sz w:val="22"/>
          <w:szCs w:val="22"/>
        </w:rPr>
        <w:t>Nnalue, C., &amp; Mahmud, A.</w:t>
      </w:r>
      <w:r w:rsidR="00AE740A" w:rsidRPr="00330C29">
        <w:rPr>
          <w:rFonts w:cs="Arial"/>
          <w:sz w:val="22"/>
          <w:szCs w:val="22"/>
        </w:rPr>
        <w:t xml:space="preserve"> </w:t>
      </w:r>
      <w:r w:rsidR="009F5E86" w:rsidRPr="00330C29">
        <w:rPr>
          <w:rFonts w:cs="Arial"/>
          <w:sz w:val="22"/>
          <w:szCs w:val="22"/>
        </w:rPr>
        <w:t>(</w:t>
      </w:r>
      <w:r w:rsidR="00E70566" w:rsidRPr="00330C29">
        <w:rPr>
          <w:rFonts w:cs="Arial"/>
          <w:sz w:val="22"/>
          <w:szCs w:val="22"/>
        </w:rPr>
        <w:t>2025</w:t>
      </w:r>
      <w:r w:rsidR="009F5E86" w:rsidRPr="00330C29">
        <w:rPr>
          <w:rFonts w:cs="Arial"/>
          <w:sz w:val="22"/>
          <w:szCs w:val="22"/>
        </w:rPr>
        <w:t>)</w:t>
      </w:r>
      <w:r w:rsidR="00E70566" w:rsidRPr="00330C29">
        <w:rPr>
          <w:rFonts w:cs="Arial"/>
          <w:sz w:val="22"/>
          <w:szCs w:val="22"/>
        </w:rPr>
        <w:t xml:space="preserve">. </w:t>
      </w:r>
      <w:hyperlink r:id="rId76" w:history="1">
        <w:r w:rsidR="004B0C3A" w:rsidRPr="00330C29">
          <w:rPr>
            <w:rStyle w:val="Hyperlink"/>
            <w:rFonts w:cs="Arial"/>
            <w:sz w:val="22"/>
            <w:szCs w:val="22"/>
          </w:rPr>
          <w:t>The experiences of Black African parents on partnership: Working with education professionals in the English special education needs and disability system</w:t>
        </w:r>
      </w:hyperlink>
      <w:r w:rsidR="00E70566" w:rsidRPr="00330C29">
        <w:rPr>
          <w:rFonts w:cs="Arial"/>
          <w:sz w:val="22"/>
          <w:szCs w:val="22"/>
        </w:rPr>
        <w:t xml:space="preserve">. </w:t>
      </w:r>
      <w:r w:rsidR="00E70566" w:rsidRPr="00330C29">
        <w:rPr>
          <w:rFonts w:cs="Arial"/>
          <w:i/>
          <w:iCs/>
          <w:sz w:val="22"/>
          <w:szCs w:val="22"/>
        </w:rPr>
        <w:t>Equity in Education &amp; Society</w:t>
      </w:r>
      <w:r w:rsidR="00E70566" w:rsidRPr="00330C29">
        <w:rPr>
          <w:rFonts w:cs="Arial"/>
          <w:sz w:val="22"/>
          <w:szCs w:val="22"/>
        </w:rPr>
        <w:t>, 4(3), 383-399.</w:t>
      </w:r>
    </w:p>
  </w:endnote>
  <w:endnote w:id="78">
    <w:p w14:paraId="5EEF9BE2" w14:textId="23353151" w:rsidR="00ED22FA" w:rsidRPr="00330C29" w:rsidRDefault="007F2532" w:rsidP="00ED22FA">
      <w:pPr>
        <w:pStyle w:val="EndnoteText"/>
        <w:rPr>
          <w:rFonts w:cs="Arial"/>
          <w:sz w:val="22"/>
          <w:szCs w:val="22"/>
        </w:rPr>
      </w:pPr>
      <w:r w:rsidRPr="00330C29">
        <w:rPr>
          <w:rStyle w:val="EndnoteReference"/>
          <w:rFonts w:cs="Arial"/>
          <w:sz w:val="22"/>
          <w:szCs w:val="22"/>
        </w:rPr>
        <w:endnoteRef/>
      </w:r>
      <w:r w:rsidRPr="00330C29">
        <w:rPr>
          <w:rFonts w:cs="Arial"/>
          <w:sz w:val="22"/>
          <w:szCs w:val="22"/>
        </w:rPr>
        <w:t xml:space="preserve"> Nevers-Ashton, N. (2023). </w:t>
      </w:r>
      <w:hyperlink r:id="rId77" w:history="1">
        <w:r w:rsidR="00F57CAE" w:rsidRPr="00330C29">
          <w:rPr>
            <w:rStyle w:val="Hyperlink"/>
            <w:rFonts w:cs="Arial"/>
            <w:sz w:val="22"/>
            <w:szCs w:val="22"/>
          </w:rPr>
          <w:t>“You’re black, I’m black”: art therapy, race, autism, and domestic abuse</w:t>
        </w:r>
      </w:hyperlink>
      <w:r w:rsidRPr="00330C29">
        <w:rPr>
          <w:rFonts w:cs="Arial"/>
          <w:sz w:val="22"/>
          <w:szCs w:val="22"/>
        </w:rPr>
        <w:t xml:space="preserve">. </w:t>
      </w:r>
      <w:r w:rsidRPr="00330C29">
        <w:rPr>
          <w:rFonts w:cs="Arial"/>
          <w:i/>
          <w:iCs/>
          <w:sz w:val="22"/>
          <w:szCs w:val="22"/>
        </w:rPr>
        <w:t>International Journal of Art Therapy</w:t>
      </w:r>
      <w:r w:rsidRPr="00330C29">
        <w:rPr>
          <w:rFonts w:cs="Arial"/>
          <w:sz w:val="22"/>
          <w:szCs w:val="22"/>
        </w:rPr>
        <w:t xml:space="preserve">, 28(1/2), 20–27. </w:t>
      </w:r>
    </w:p>
  </w:endnote>
  <w:endnote w:id="79">
    <w:p w14:paraId="08450527" w14:textId="6CBEFB51" w:rsidR="00ED22FA" w:rsidRPr="00330C29" w:rsidRDefault="007F2532" w:rsidP="00587ADD">
      <w:pPr>
        <w:pStyle w:val="EndnoteText"/>
        <w:rPr>
          <w:rFonts w:cs="Arial"/>
          <w:sz w:val="22"/>
          <w:szCs w:val="22"/>
        </w:rPr>
      </w:pPr>
      <w:r w:rsidRPr="00330C29">
        <w:rPr>
          <w:rStyle w:val="EndnoteReference"/>
          <w:rFonts w:cs="Arial"/>
          <w:sz w:val="22"/>
          <w:szCs w:val="22"/>
        </w:rPr>
        <w:endnoteRef/>
      </w:r>
      <w:r w:rsidRPr="00330C29">
        <w:rPr>
          <w:rFonts w:cs="Arial"/>
          <w:sz w:val="22"/>
          <w:szCs w:val="22"/>
        </w:rPr>
        <w:t xml:space="preserve"> </w:t>
      </w:r>
      <w:r w:rsidR="00D56AFD" w:rsidRPr="00330C29">
        <w:rPr>
          <w:rFonts w:cs="Arial"/>
          <w:sz w:val="22"/>
          <w:szCs w:val="22"/>
        </w:rPr>
        <w:t xml:space="preserve">Joseph, A. (2020). </w:t>
      </w:r>
      <w:hyperlink r:id="rId78" w:history="1">
        <w:r w:rsidR="00D56AFD" w:rsidRPr="00330C29">
          <w:rPr>
            <w:rStyle w:val="Hyperlink"/>
            <w:rFonts w:cs="Arial"/>
            <w:sz w:val="22"/>
            <w:szCs w:val="22"/>
          </w:rPr>
          <w:t>Navigating neoliberal school spaces: Parent and school staff perspectives on racially disproportional school exclusions in England</w:t>
        </w:r>
      </w:hyperlink>
      <w:r w:rsidR="00D56AFD" w:rsidRPr="00330C29">
        <w:rPr>
          <w:rFonts w:cs="Arial"/>
          <w:sz w:val="22"/>
          <w:szCs w:val="22"/>
        </w:rPr>
        <w:t>. </w:t>
      </w:r>
      <w:r w:rsidR="00D56AFD" w:rsidRPr="00330C29">
        <w:rPr>
          <w:rFonts w:cs="Arial"/>
          <w:i/>
          <w:iCs/>
          <w:sz w:val="22"/>
          <w:szCs w:val="22"/>
        </w:rPr>
        <w:t>International Social Work</w:t>
      </w:r>
      <w:r w:rsidR="00D56AFD" w:rsidRPr="00330C29">
        <w:rPr>
          <w:rFonts w:cs="Arial"/>
          <w:sz w:val="22"/>
          <w:szCs w:val="22"/>
        </w:rPr>
        <w:t>, </w:t>
      </w:r>
      <w:r w:rsidR="00D56AFD" w:rsidRPr="00330C29">
        <w:rPr>
          <w:rFonts w:cs="Arial"/>
          <w:i/>
          <w:iCs/>
          <w:sz w:val="22"/>
          <w:szCs w:val="22"/>
        </w:rPr>
        <w:t>63</w:t>
      </w:r>
      <w:r w:rsidR="00D56AFD" w:rsidRPr="00330C29">
        <w:rPr>
          <w:rFonts w:cs="Arial"/>
          <w:sz w:val="22"/>
          <w:szCs w:val="22"/>
        </w:rPr>
        <w:t>(4), 445-458.</w:t>
      </w:r>
    </w:p>
  </w:endnote>
  <w:endnote w:id="80">
    <w:p w14:paraId="23430DEC" w14:textId="454234AB" w:rsidR="00123556" w:rsidRPr="00330C29" w:rsidRDefault="007F2532" w:rsidP="00587ADD">
      <w:pPr>
        <w:pStyle w:val="EndnoteText"/>
        <w:rPr>
          <w:rFonts w:cs="Arial"/>
          <w:sz w:val="22"/>
          <w:szCs w:val="22"/>
        </w:rPr>
      </w:pPr>
      <w:r w:rsidRPr="00330C29">
        <w:rPr>
          <w:rStyle w:val="EndnoteReference"/>
          <w:rFonts w:cs="Arial"/>
          <w:sz w:val="22"/>
          <w:szCs w:val="22"/>
        </w:rPr>
        <w:endnoteRef/>
      </w:r>
      <w:r w:rsidRPr="00330C29">
        <w:rPr>
          <w:rFonts w:cs="Arial"/>
          <w:sz w:val="22"/>
          <w:szCs w:val="22"/>
        </w:rPr>
        <w:t xml:space="preserve"> </w:t>
      </w:r>
      <w:r w:rsidR="00EF69C0" w:rsidRPr="00330C29">
        <w:rPr>
          <w:rFonts w:cs="Arial"/>
          <w:sz w:val="22"/>
          <w:szCs w:val="22"/>
        </w:rPr>
        <w:t xml:space="preserve">Robinson, S.A. (2017). </w:t>
      </w:r>
      <w:hyperlink r:id="rId79" w:history="1">
        <w:r w:rsidR="00EF69C0" w:rsidRPr="00330C29">
          <w:rPr>
            <w:rStyle w:val="Hyperlink"/>
            <w:rFonts w:cs="Arial"/>
            <w:sz w:val="22"/>
            <w:szCs w:val="22"/>
          </w:rPr>
          <w:t>The voice of a gifted Black male with dyslexia represented through poetry: an auto-ethnographic account</w:t>
        </w:r>
      </w:hyperlink>
      <w:r w:rsidR="00EF69C0" w:rsidRPr="00330C29">
        <w:rPr>
          <w:rFonts w:cs="Arial"/>
          <w:i/>
          <w:iCs/>
          <w:sz w:val="22"/>
          <w:szCs w:val="22"/>
        </w:rPr>
        <w:t xml:space="preserve"> Journal of Poetry Therapy</w:t>
      </w:r>
      <w:r w:rsidR="00EF69C0" w:rsidRPr="00330C29">
        <w:rPr>
          <w:rFonts w:cs="Arial"/>
          <w:sz w:val="22"/>
          <w:szCs w:val="22"/>
        </w:rPr>
        <w:t>, </w:t>
      </w:r>
      <w:r w:rsidR="00EF69C0" w:rsidRPr="00330C29">
        <w:rPr>
          <w:rFonts w:cs="Arial"/>
          <w:i/>
          <w:iCs/>
          <w:sz w:val="22"/>
          <w:szCs w:val="22"/>
        </w:rPr>
        <w:t>30</w:t>
      </w:r>
      <w:r w:rsidR="00EF69C0" w:rsidRPr="00330C29">
        <w:rPr>
          <w:rFonts w:cs="Arial"/>
          <w:sz w:val="22"/>
          <w:szCs w:val="22"/>
        </w:rPr>
        <w:t>(2), 113–119.</w:t>
      </w:r>
    </w:p>
  </w:endnote>
  <w:endnote w:id="81">
    <w:p w14:paraId="0C0C1DEC" w14:textId="5AFF21E4" w:rsidR="00123556" w:rsidRPr="00330C29" w:rsidRDefault="007F2532" w:rsidP="00587ADD">
      <w:pPr>
        <w:pStyle w:val="EndnoteText"/>
        <w:rPr>
          <w:rFonts w:cs="Arial"/>
          <w:sz w:val="22"/>
          <w:szCs w:val="22"/>
        </w:rPr>
      </w:pPr>
      <w:r w:rsidRPr="00330C29">
        <w:rPr>
          <w:rStyle w:val="EndnoteReference"/>
          <w:rFonts w:cs="Arial"/>
          <w:sz w:val="22"/>
          <w:szCs w:val="22"/>
        </w:rPr>
        <w:endnoteRef/>
      </w:r>
      <w:r w:rsidRPr="00330C29">
        <w:rPr>
          <w:rFonts w:cs="Arial"/>
          <w:sz w:val="22"/>
          <w:szCs w:val="22"/>
        </w:rPr>
        <w:t xml:space="preserve"> Ilochi, J</w:t>
      </w:r>
      <w:r w:rsidR="002D7BA2">
        <w:rPr>
          <w:rFonts w:cs="Arial"/>
          <w:sz w:val="22"/>
          <w:szCs w:val="22"/>
        </w:rPr>
        <w:t>.</w:t>
      </w:r>
      <w:r w:rsidRPr="00330C29">
        <w:rPr>
          <w:rFonts w:cs="Arial"/>
          <w:sz w:val="22"/>
          <w:szCs w:val="22"/>
        </w:rPr>
        <w:t>C.</w:t>
      </w:r>
      <w:r w:rsidR="00460F6E" w:rsidRPr="00330C29">
        <w:rPr>
          <w:rFonts w:cs="Arial"/>
          <w:sz w:val="22"/>
          <w:szCs w:val="22"/>
        </w:rPr>
        <w:t xml:space="preserve"> (2014)</w:t>
      </w:r>
      <w:r w:rsidRPr="00330C29">
        <w:rPr>
          <w:rFonts w:cs="Arial"/>
          <w:sz w:val="22"/>
          <w:szCs w:val="22"/>
        </w:rPr>
        <w:t xml:space="preserve"> </w:t>
      </w:r>
      <w:hyperlink r:id="rId80" w:history="1">
        <w:r w:rsidR="00532366" w:rsidRPr="00330C29">
          <w:rPr>
            <w:rStyle w:val="Hyperlink"/>
            <w:rFonts w:cs="Arial"/>
            <w:sz w:val="22"/>
            <w:szCs w:val="22"/>
          </w:rPr>
          <w:t>Reconceptualising inclusion: an intersectional approach to understanding the needs of black and minority ethnic children with special education needs</w:t>
        </w:r>
      </w:hyperlink>
      <w:r w:rsidR="00532366" w:rsidRPr="00330C29">
        <w:rPr>
          <w:rFonts w:cs="Arial"/>
          <w:sz w:val="22"/>
          <w:szCs w:val="22"/>
        </w:rPr>
        <w:t xml:space="preserve"> [Master of philosophy thesis].</w:t>
      </w:r>
      <w:r w:rsidR="00460F6E" w:rsidRPr="00330C29">
        <w:rPr>
          <w:rFonts w:cs="Arial"/>
          <w:sz w:val="22"/>
          <w:szCs w:val="22"/>
        </w:rPr>
        <w:t xml:space="preserve"> </w:t>
      </w:r>
      <w:r w:rsidR="00460F6E" w:rsidRPr="00330C29">
        <w:rPr>
          <w:rFonts w:cs="Arial"/>
          <w:i/>
          <w:iCs/>
          <w:sz w:val="22"/>
          <w:szCs w:val="22"/>
        </w:rPr>
        <w:t>University of Birmingham Research Archive, E-theses Repository</w:t>
      </w:r>
      <w:r w:rsidR="00460F6E" w:rsidRPr="00330C29">
        <w:rPr>
          <w:rFonts w:cs="Arial"/>
          <w:sz w:val="22"/>
          <w:szCs w:val="22"/>
        </w:rPr>
        <w:t>.</w:t>
      </w:r>
    </w:p>
  </w:endnote>
  <w:endnote w:id="82">
    <w:p w14:paraId="2DDBFD7E" w14:textId="7A0D03AB" w:rsidR="00A9362A" w:rsidRPr="00330C29" w:rsidRDefault="00FE35FE" w:rsidP="00587ADD">
      <w:pPr>
        <w:pStyle w:val="EndnoteText"/>
        <w:rPr>
          <w:rFonts w:cs="Arial"/>
          <w:sz w:val="22"/>
          <w:szCs w:val="22"/>
        </w:rPr>
      </w:pPr>
      <w:r w:rsidRPr="00330C29">
        <w:rPr>
          <w:rStyle w:val="EndnoteReference"/>
          <w:rFonts w:cs="Arial"/>
          <w:sz w:val="22"/>
          <w:szCs w:val="22"/>
        </w:rPr>
        <w:endnoteRef/>
      </w:r>
      <w:r w:rsidRPr="00330C29">
        <w:rPr>
          <w:rFonts w:cs="Arial"/>
          <w:sz w:val="22"/>
          <w:szCs w:val="22"/>
        </w:rPr>
        <w:t xml:space="preserve"> </w:t>
      </w:r>
      <w:r w:rsidR="001C76D9" w:rsidRPr="00330C29">
        <w:rPr>
          <w:rFonts w:cs="Arial"/>
          <w:sz w:val="22"/>
          <w:szCs w:val="22"/>
        </w:rPr>
        <w:t xml:space="preserve">The Alliance for Inclusive Education (ALLFIE), (2024). </w:t>
      </w:r>
      <w:hyperlink r:id="rId81" w:history="1">
        <w:r w:rsidR="001C76D9" w:rsidRPr="00330C29">
          <w:rPr>
            <w:rStyle w:val="Hyperlink"/>
            <w:rFonts w:cs="Arial"/>
            <w:sz w:val="22"/>
            <w:szCs w:val="22"/>
          </w:rPr>
          <w:t>Lived Experience of Black/Global Majority Disabled Pupils and their Families in Mainstream Education</w:t>
        </w:r>
      </w:hyperlink>
    </w:p>
  </w:endnote>
  <w:endnote w:id="83">
    <w:p w14:paraId="04803CAB" w14:textId="6D782776" w:rsidR="006842A9" w:rsidRPr="00330C29" w:rsidRDefault="00FE35FE" w:rsidP="00587ADD">
      <w:pPr>
        <w:pStyle w:val="EndnoteText"/>
        <w:rPr>
          <w:rFonts w:cs="Arial"/>
          <w:sz w:val="22"/>
          <w:szCs w:val="22"/>
        </w:rPr>
      </w:pPr>
      <w:r w:rsidRPr="00330C29">
        <w:rPr>
          <w:rStyle w:val="EndnoteReference"/>
          <w:rFonts w:cs="Arial"/>
          <w:sz w:val="22"/>
          <w:szCs w:val="22"/>
        </w:rPr>
        <w:endnoteRef/>
      </w:r>
      <w:r w:rsidRPr="00330C29">
        <w:rPr>
          <w:rFonts w:cs="Arial"/>
          <w:sz w:val="22"/>
          <w:szCs w:val="22"/>
        </w:rPr>
        <w:t xml:space="preserve"> </w:t>
      </w:r>
      <w:r w:rsidR="009E7D48" w:rsidRPr="00330C29">
        <w:rPr>
          <w:rFonts w:cs="Arial"/>
          <w:sz w:val="22"/>
          <w:szCs w:val="22"/>
        </w:rPr>
        <w:t>Nnalue, C., &amp; Mahmud, A. (2025).</w:t>
      </w:r>
      <w:r w:rsidR="009E7D48" w:rsidRPr="00330C29">
        <w:rPr>
          <w:sz w:val="22"/>
          <w:szCs w:val="22"/>
        </w:rPr>
        <w:t xml:space="preserve"> </w:t>
      </w:r>
      <w:hyperlink r:id="rId82" w:history="1">
        <w:r w:rsidR="009E7D48" w:rsidRPr="00330C29">
          <w:rPr>
            <w:rStyle w:val="Hyperlink"/>
            <w:rFonts w:cs="Arial"/>
            <w:sz w:val="22"/>
            <w:szCs w:val="22"/>
          </w:rPr>
          <w:t>The experiences of Black African parents on partnership: Working with education professionals in the English special education needs and disability system</w:t>
        </w:r>
      </w:hyperlink>
      <w:r w:rsidR="009E7D48" w:rsidRPr="00330C29">
        <w:rPr>
          <w:rFonts w:cs="Arial"/>
          <w:sz w:val="22"/>
          <w:szCs w:val="22"/>
        </w:rPr>
        <w:t>. </w:t>
      </w:r>
      <w:r w:rsidR="009E7D48" w:rsidRPr="00330C29">
        <w:rPr>
          <w:rFonts w:cs="Arial"/>
          <w:i/>
          <w:iCs/>
          <w:sz w:val="22"/>
          <w:szCs w:val="22"/>
        </w:rPr>
        <w:t>Equity in Education &amp; Society</w:t>
      </w:r>
      <w:r w:rsidR="009E7D48" w:rsidRPr="00330C29">
        <w:rPr>
          <w:rFonts w:cs="Arial"/>
          <w:sz w:val="22"/>
          <w:szCs w:val="22"/>
        </w:rPr>
        <w:t>, </w:t>
      </w:r>
      <w:r w:rsidR="009E7D48" w:rsidRPr="00330C29">
        <w:rPr>
          <w:rFonts w:cs="Arial"/>
          <w:i/>
          <w:iCs/>
          <w:sz w:val="22"/>
          <w:szCs w:val="22"/>
        </w:rPr>
        <w:t>4</w:t>
      </w:r>
      <w:r w:rsidR="009E7D48" w:rsidRPr="00330C29">
        <w:rPr>
          <w:rFonts w:cs="Arial"/>
          <w:sz w:val="22"/>
          <w:szCs w:val="22"/>
        </w:rPr>
        <w:t>(3), 383-399.</w:t>
      </w:r>
    </w:p>
  </w:endnote>
  <w:endnote w:id="84">
    <w:p w14:paraId="133BD910" w14:textId="4798F1A2" w:rsidR="000D01C3" w:rsidRPr="00330C29" w:rsidRDefault="005A6BEF" w:rsidP="00587ADD">
      <w:pPr>
        <w:pStyle w:val="EndnoteText"/>
        <w:rPr>
          <w:rFonts w:cs="Arial"/>
          <w:sz w:val="22"/>
          <w:szCs w:val="22"/>
        </w:rPr>
      </w:pPr>
      <w:r w:rsidRPr="00330C29">
        <w:rPr>
          <w:rStyle w:val="EndnoteReference"/>
          <w:rFonts w:cs="Arial"/>
          <w:sz w:val="22"/>
          <w:szCs w:val="22"/>
        </w:rPr>
        <w:endnoteRef/>
      </w:r>
      <w:r w:rsidRPr="00330C29">
        <w:rPr>
          <w:rFonts w:cs="Arial"/>
          <w:sz w:val="22"/>
          <w:szCs w:val="22"/>
        </w:rPr>
        <w:t xml:space="preserve"> </w:t>
      </w:r>
      <w:r w:rsidR="00FE3D28" w:rsidRPr="00330C29">
        <w:rPr>
          <w:rFonts w:cs="Arial"/>
          <w:sz w:val="22"/>
          <w:szCs w:val="22"/>
        </w:rPr>
        <w:t xml:space="preserve">Marku, B., Niolaki, G., Terzopoulos, A., &amp; Wood, C. (2022). </w:t>
      </w:r>
      <w:hyperlink r:id="rId83" w:history="1">
        <w:r w:rsidR="00FE3D28" w:rsidRPr="00330C29">
          <w:rPr>
            <w:rStyle w:val="Hyperlink"/>
            <w:rFonts w:cs="Arial"/>
            <w:sz w:val="22"/>
            <w:szCs w:val="22"/>
          </w:rPr>
          <w:t>Eastern European parents’ experiences of parenting a child with SEN in England</w:t>
        </w:r>
      </w:hyperlink>
      <w:r w:rsidR="00FE3D28" w:rsidRPr="00330C29">
        <w:rPr>
          <w:rFonts w:cs="Arial"/>
          <w:sz w:val="22"/>
          <w:szCs w:val="22"/>
        </w:rPr>
        <w:t>. </w:t>
      </w:r>
      <w:r w:rsidR="00FE3D28" w:rsidRPr="00330C29">
        <w:rPr>
          <w:rFonts w:cs="Arial"/>
          <w:i/>
          <w:iCs/>
          <w:sz w:val="22"/>
          <w:szCs w:val="22"/>
        </w:rPr>
        <w:t>Educational Psychology in Practice</w:t>
      </w:r>
      <w:r w:rsidR="00FE3D28" w:rsidRPr="00330C29">
        <w:rPr>
          <w:rFonts w:cs="Arial"/>
          <w:sz w:val="22"/>
          <w:szCs w:val="22"/>
        </w:rPr>
        <w:t>, </w:t>
      </w:r>
      <w:r w:rsidR="00FE3D28" w:rsidRPr="00330C29">
        <w:rPr>
          <w:rFonts w:cs="Arial"/>
          <w:i/>
          <w:iCs/>
          <w:sz w:val="22"/>
          <w:szCs w:val="22"/>
        </w:rPr>
        <w:t>38</w:t>
      </w:r>
      <w:r w:rsidR="00FE3D28" w:rsidRPr="00330C29">
        <w:rPr>
          <w:rFonts w:cs="Arial"/>
          <w:sz w:val="22"/>
          <w:szCs w:val="22"/>
        </w:rPr>
        <w:t xml:space="preserve">(3), 297–316. </w:t>
      </w:r>
    </w:p>
  </w:endnote>
  <w:endnote w:id="85">
    <w:p w14:paraId="404B8938" w14:textId="2858C254" w:rsidR="004304A3" w:rsidRPr="00330C29" w:rsidRDefault="005A6BEF" w:rsidP="00587ADD">
      <w:pPr>
        <w:pStyle w:val="EndnoteText"/>
        <w:rPr>
          <w:rFonts w:cs="Arial"/>
          <w:sz w:val="22"/>
          <w:szCs w:val="22"/>
        </w:rPr>
      </w:pPr>
      <w:r w:rsidRPr="00330C29">
        <w:rPr>
          <w:rStyle w:val="EndnoteReference"/>
          <w:rFonts w:cs="Arial"/>
          <w:sz w:val="22"/>
          <w:szCs w:val="22"/>
        </w:rPr>
        <w:endnoteRef/>
      </w:r>
      <w:r w:rsidRPr="00330C29">
        <w:rPr>
          <w:rFonts w:cs="Arial"/>
          <w:sz w:val="22"/>
          <w:szCs w:val="22"/>
        </w:rPr>
        <w:t xml:space="preserve"> Oliver, C., &amp; Singal, N. (2017). </w:t>
      </w:r>
      <w:hyperlink r:id="rId84" w:history="1">
        <w:r w:rsidR="007D046E" w:rsidRPr="00330C29">
          <w:rPr>
            <w:rStyle w:val="Hyperlink"/>
            <w:rFonts w:cs="Arial"/>
            <w:sz w:val="22"/>
            <w:szCs w:val="22"/>
          </w:rPr>
          <w:t>Migration, disability and education: reflections from a special school in the east of England</w:t>
        </w:r>
      </w:hyperlink>
      <w:r w:rsidRPr="00330C29">
        <w:rPr>
          <w:rFonts w:cs="Arial"/>
          <w:sz w:val="22"/>
          <w:szCs w:val="22"/>
        </w:rPr>
        <w:t xml:space="preserve">. </w:t>
      </w:r>
      <w:r w:rsidRPr="00330C29">
        <w:rPr>
          <w:rFonts w:cs="Arial"/>
          <w:i/>
          <w:iCs/>
          <w:sz w:val="22"/>
          <w:szCs w:val="22"/>
        </w:rPr>
        <w:t>British Journal of Sociology of Education</w:t>
      </w:r>
      <w:r w:rsidRPr="00330C29">
        <w:rPr>
          <w:rFonts w:cs="Arial"/>
          <w:sz w:val="22"/>
          <w:szCs w:val="22"/>
        </w:rPr>
        <w:t>, 38(8), 1217–1229.</w:t>
      </w:r>
    </w:p>
  </w:endnote>
  <w:endnote w:id="86">
    <w:p w14:paraId="5A0725C8" w14:textId="1FEB8E4F" w:rsidR="008D46D2" w:rsidRPr="002D7BA2" w:rsidRDefault="008D46D2" w:rsidP="00587ADD">
      <w:pPr>
        <w:pStyle w:val="EndnoteText"/>
        <w:rPr>
          <w:sz w:val="22"/>
          <w:szCs w:val="22"/>
        </w:rPr>
      </w:pPr>
      <w:r w:rsidRPr="002D7BA2">
        <w:rPr>
          <w:rStyle w:val="EndnoteReference"/>
          <w:sz w:val="22"/>
          <w:szCs w:val="22"/>
        </w:rPr>
        <w:endnoteRef/>
      </w:r>
      <w:r w:rsidRPr="002D7BA2">
        <w:rPr>
          <w:sz w:val="22"/>
          <w:szCs w:val="22"/>
        </w:rPr>
        <w:t xml:space="preserve"> </w:t>
      </w:r>
      <w:r w:rsidR="00072039" w:rsidRPr="002D7BA2">
        <w:rPr>
          <w:sz w:val="22"/>
          <w:szCs w:val="22"/>
        </w:rPr>
        <w:t xml:space="preserve">Nnalue, C., &amp; Mahmud, A. (2025). </w:t>
      </w:r>
      <w:hyperlink r:id="rId85" w:history="1">
        <w:r w:rsidR="00072039" w:rsidRPr="002D7BA2">
          <w:rPr>
            <w:rStyle w:val="Hyperlink"/>
            <w:sz w:val="22"/>
            <w:szCs w:val="22"/>
          </w:rPr>
          <w:t>The experiences of Black African parents on partnership: Working with education professionals in the English special education needs and disability system</w:t>
        </w:r>
      </w:hyperlink>
      <w:r w:rsidR="00072039" w:rsidRPr="002D7BA2">
        <w:rPr>
          <w:sz w:val="22"/>
          <w:szCs w:val="22"/>
        </w:rPr>
        <w:t>. </w:t>
      </w:r>
      <w:r w:rsidR="00072039" w:rsidRPr="002D7BA2">
        <w:rPr>
          <w:i/>
          <w:iCs/>
          <w:sz w:val="22"/>
          <w:szCs w:val="22"/>
        </w:rPr>
        <w:t>Equity in Education &amp; Society</w:t>
      </w:r>
      <w:r w:rsidR="00072039" w:rsidRPr="002D7BA2">
        <w:rPr>
          <w:sz w:val="22"/>
          <w:szCs w:val="22"/>
        </w:rPr>
        <w:t>, </w:t>
      </w:r>
      <w:r w:rsidR="00072039" w:rsidRPr="002D7BA2">
        <w:rPr>
          <w:i/>
          <w:iCs/>
          <w:sz w:val="22"/>
          <w:szCs w:val="22"/>
        </w:rPr>
        <w:t>4</w:t>
      </w:r>
      <w:r w:rsidR="00072039" w:rsidRPr="002D7BA2">
        <w:rPr>
          <w:sz w:val="22"/>
          <w:szCs w:val="22"/>
        </w:rPr>
        <w:t>(3), 383-399.</w:t>
      </w:r>
    </w:p>
  </w:endnote>
  <w:endnote w:id="87">
    <w:p w14:paraId="08F4C220" w14:textId="18A407C7" w:rsidR="009044EB" w:rsidRPr="002D7BA2" w:rsidRDefault="003E1B53" w:rsidP="00587ADD">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w:t>
      </w:r>
      <w:r w:rsidR="009044EB" w:rsidRPr="002D7BA2">
        <w:rPr>
          <w:rFonts w:cs="Arial"/>
          <w:sz w:val="22"/>
          <w:szCs w:val="22"/>
        </w:rPr>
        <w:t xml:space="preserve">Marku, B., Niolaki, G., Terzopoulos, A., &amp; Wood, C. (2022). </w:t>
      </w:r>
      <w:hyperlink r:id="rId86" w:history="1">
        <w:r w:rsidR="009044EB" w:rsidRPr="002D7BA2">
          <w:rPr>
            <w:rStyle w:val="Hyperlink"/>
            <w:rFonts w:cs="Arial"/>
            <w:sz w:val="22"/>
            <w:szCs w:val="22"/>
          </w:rPr>
          <w:t>Eastern European parents’ experiences of parenting a child with SEN in England</w:t>
        </w:r>
      </w:hyperlink>
      <w:r w:rsidR="009044EB" w:rsidRPr="002D7BA2">
        <w:rPr>
          <w:rFonts w:cs="Arial"/>
          <w:sz w:val="22"/>
          <w:szCs w:val="22"/>
        </w:rPr>
        <w:t>. </w:t>
      </w:r>
      <w:r w:rsidR="009044EB" w:rsidRPr="002D7BA2">
        <w:rPr>
          <w:rFonts w:cs="Arial"/>
          <w:i/>
          <w:iCs/>
          <w:sz w:val="22"/>
          <w:szCs w:val="22"/>
        </w:rPr>
        <w:t>Educational Psychology in Practice</w:t>
      </w:r>
      <w:r w:rsidR="009044EB" w:rsidRPr="002D7BA2">
        <w:rPr>
          <w:rFonts w:cs="Arial"/>
          <w:sz w:val="22"/>
          <w:szCs w:val="22"/>
        </w:rPr>
        <w:t>, </w:t>
      </w:r>
      <w:r w:rsidR="009044EB" w:rsidRPr="002D7BA2">
        <w:rPr>
          <w:rFonts w:cs="Arial"/>
          <w:i/>
          <w:iCs/>
          <w:sz w:val="22"/>
          <w:szCs w:val="22"/>
        </w:rPr>
        <w:t>38</w:t>
      </w:r>
      <w:r w:rsidR="009044EB" w:rsidRPr="002D7BA2">
        <w:rPr>
          <w:rFonts w:cs="Arial"/>
          <w:sz w:val="22"/>
          <w:szCs w:val="22"/>
        </w:rPr>
        <w:t xml:space="preserve">(3), 297–316. </w:t>
      </w:r>
    </w:p>
  </w:endnote>
  <w:endnote w:id="88">
    <w:p w14:paraId="77CFAC62" w14:textId="767E260B" w:rsidR="003E1B53" w:rsidRPr="002D7BA2" w:rsidRDefault="003E1B53" w:rsidP="00587ADD">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w:t>
      </w:r>
      <w:r w:rsidR="0060441B" w:rsidRPr="002D7BA2">
        <w:rPr>
          <w:rFonts w:cs="Arial"/>
          <w:sz w:val="22"/>
          <w:szCs w:val="22"/>
        </w:rPr>
        <w:t xml:space="preserve">Oliver, C., &amp; Singal, N. (2017). </w:t>
      </w:r>
      <w:hyperlink r:id="rId87" w:history="1">
        <w:r w:rsidR="0060441B" w:rsidRPr="002D7BA2">
          <w:rPr>
            <w:rStyle w:val="Hyperlink"/>
            <w:rFonts w:cs="Arial"/>
            <w:sz w:val="22"/>
            <w:szCs w:val="22"/>
          </w:rPr>
          <w:t>Migration, disability and education: reflections from a special school in the east of England</w:t>
        </w:r>
      </w:hyperlink>
      <w:r w:rsidR="0060441B" w:rsidRPr="002D7BA2">
        <w:rPr>
          <w:rFonts w:cs="Arial"/>
          <w:sz w:val="22"/>
          <w:szCs w:val="22"/>
        </w:rPr>
        <w:t xml:space="preserve">. </w:t>
      </w:r>
      <w:r w:rsidR="0060441B" w:rsidRPr="002D7BA2">
        <w:rPr>
          <w:rFonts w:cs="Arial"/>
          <w:i/>
          <w:iCs/>
          <w:sz w:val="22"/>
          <w:szCs w:val="22"/>
        </w:rPr>
        <w:t>British Journal of Sociology of Education</w:t>
      </w:r>
      <w:r w:rsidR="0060441B" w:rsidRPr="002D7BA2">
        <w:rPr>
          <w:rFonts w:cs="Arial"/>
          <w:sz w:val="22"/>
          <w:szCs w:val="22"/>
        </w:rPr>
        <w:t>, 38(8), 1217–1229.</w:t>
      </w:r>
    </w:p>
  </w:endnote>
  <w:endnote w:id="89">
    <w:p w14:paraId="128C9C10" w14:textId="73974336" w:rsidR="009A3A93" w:rsidRPr="002D7BA2" w:rsidRDefault="00244DF6" w:rsidP="00587ADD">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w:t>
      </w:r>
      <w:r w:rsidR="00604375" w:rsidRPr="002D7BA2">
        <w:rPr>
          <w:rFonts w:cs="Arial"/>
          <w:sz w:val="22"/>
          <w:szCs w:val="22"/>
        </w:rPr>
        <w:t>Jørgensen, C. R., Dobson, G., &amp; Perry, T. (2021).</w:t>
      </w:r>
      <w:r w:rsidR="00D55BD0" w:rsidRPr="002D7BA2">
        <w:rPr>
          <w:rFonts w:cs="Arial"/>
          <w:sz w:val="22"/>
          <w:szCs w:val="22"/>
        </w:rPr>
        <w:t xml:space="preserve"> </w:t>
      </w:r>
      <w:hyperlink r:id="rId88" w:history="1">
        <w:r w:rsidR="00D55BD0" w:rsidRPr="002D7BA2">
          <w:rPr>
            <w:rStyle w:val="Hyperlink"/>
            <w:rFonts w:cs="Arial"/>
            <w:sz w:val="22"/>
            <w:szCs w:val="22"/>
          </w:rPr>
          <w:t>Migrant children with special educational needs in European schools – a review of current issues and approaches</w:t>
        </w:r>
      </w:hyperlink>
      <w:r w:rsidR="00604375" w:rsidRPr="002D7BA2">
        <w:rPr>
          <w:rFonts w:cs="Arial"/>
          <w:sz w:val="22"/>
          <w:szCs w:val="22"/>
        </w:rPr>
        <w:t>. </w:t>
      </w:r>
      <w:r w:rsidR="00604375" w:rsidRPr="002D7BA2">
        <w:rPr>
          <w:rFonts w:cs="Arial"/>
          <w:i/>
          <w:iCs/>
          <w:sz w:val="22"/>
          <w:szCs w:val="22"/>
        </w:rPr>
        <w:t>European Journal of Special Needs Education</w:t>
      </w:r>
      <w:r w:rsidR="00604375" w:rsidRPr="002D7BA2">
        <w:rPr>
          <w:rFonts w:cs="Arial"/>
          <w:sz w:val="22"/>
          <w:szCs w:val="22"/>
        </w:rPr>
        <w:t>, </w:t>
      </w:r>
      <w:r w:rsidR="00604375" w:rsidRPr="002D7BA2">
        <w:rPr>
          <w:rFonts w:cs="Arial"/>
          <w:i/>
          <w:iCs/>
          <w:sz w:val="22"/>
          <w:szCs w:val="22"/>
        </w:rPr>
        <w:t>36</w:t>
      </w:r>
      <w:r w:rsidR="00604375" w:rsidRPr="002D7BA2">
        <w:rPr>
          <w:rFonts w:cs="Arial"/>
          <w:sz w:val="22"/>
          <w:szCs w:val="22"/>
        </w:rPr>
        <w:t xml:space="preserve">(3), 438–453. </w:t>
      </w:r>
    </w:p>
  </w:endnote>
  <w:endnote w:id="90">
    <w:p w14:paraId="3F9E6E71" w14:textId="0F2FF27E" w:rsidR="00D55BD0" w:rsidRPr="00660BD1" w:rsidRDefault="00244DF6" w:rsidP="00587ADD">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Kashyap, K. </w:t>
      </w:r>
      <w:r w:rsidR="006A76E9" w:rsidRPr="002D7BA2">
        <w:rPr>
          <w:rFonts w:cs="Arial"/>
          <w:sz w:val="22"/>
          <w:szCs w:val="22"/>
        </w:rPr>
        <w:t>(2018)</w:t>
      </w:r>
      <w:r w:rsidR="0098699A">
        <w:rPr>
          <w:rFonts w:cs="Arial"/>
          <w:sz w:val="22"/>
          <w:szCs w:val="22"/>
        </w:rPr>
        <w:t>.</w:t>
      </w:r>
      <w:r w:rsidR="006A76E9" w:rsidRPr="002D7BA2">
        <w:rPr>
          <w:rFonts w:cs="Arial"/>
          <w:sz w:val="22"/>
          <w:szCs w:val="22"/>
        </w:rPr>
        <w:t xml:space="preserve"> </w:t>
      </w:r>
      <w:hyperlink r:id="rId89" w:history="1">
        <w:r w:rsidR="00C3765F" w:rsidRPr="002D7BA2">
          <w:rPr>
            <w:rStyle w:val="Hyperlink"/>
            <w:rFonts w:cs="Arial"/>
            <w:sz w:val="22"/>
            <w:szCs w:val="22"/>
          </w:rPr>
          <w:t>Written evidence from Kathryn Kashyap, PhD candidate at the Institute of Education, University College London. SCN0276.</w:t>
        </w:r>
      </w:hyperlink>
      <w:r w:rsidR="006A76E9" w:rsidRPr="002D7BA2">
        <w:rPr>
          <w:sz w:val="22"/>
          <w:szCs w:val="22"/>
        </w:rPr>
        <w:t xml:space="preserve"> </w:t>
      </w:r>
      <w:r w:rsidRPr="002D7BA2">
        <w:rPr>
          <w:rFonts w:cs="Arial"/>
          <w:i/>
          <w:iCs/>
          <w:sz w:val="22"/>
          <w:szCs w:val="22"/>
        </w:rPr>
        <w:t>UK Parliament</w:t>
      </w:r>
      <w:r w:rsidR="00660BD1">
        <w:rPr>
          <w:rFonts w:cs="Arial"/>
          <w:sz w:val="22"/>
          <w:szCs w:val="22"/>
        </w:rPr>
        <w:t>.</w:t>
      </w:r>
    </w:p>
  </w:endnote>
  <w:endnote w:id="91">
    <w:p w14:paraId="0C71BF77" w14:textId="6626FB65" w:rsidR="00E53748" w:rsidRPr="002D7BA2" w:rsidRDefault="00E66A49" w:rsidP="00587ADD">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w:t>
      </w:r>
      <w:r w:rsidR="00E53748" w:rsidRPr="002D7BA2">
        <w:rPr>
          <w:rFonts w:cs="Arial"/>
          <w:sz w:val="22"/>
          <w:szCs w:val="22"/>
        </w:rPr>
        <w:t xml:space="preserve">Oliver, C., &amp; Singal, N. (2017). </w:t>
      </w:r>
      <w:hyperlink r:id="rId90" w:history="1">
        <w:r w:rsidR="00E53748" w:rsidRPr="002D7BA2">
          <w:rPr>
            <w:rStyle w:val="Hyperlink"/>
            <w:rFonts w:cs="Arial"/>
            <w:sz w:val="22"/>
            <w:szCs w:val="22"/>
          </w:rPr>
          <w:t>Migration, disability and education: reflections from a special school in the east of England</w:t>
        </w:r>
      </w:hyperlink>
      <w:r w:rsidR="00E53748" w:rsidRPr="002D7BA2">
        <w:rPr>
          <w:rFonts w:cs="Arial"/>
          <w:sz w:val="22"/>
          <w:szCs w:val="22"/>
        </w:rPr>
        <w:t xml:space="preserve">. </w:t>
      </w:r>
      <w:r w:rsidR="00E53748" w:rsidRPr="002D7BA2">
        <w:rPr>
          <w:rFonts w:cs="Arial"/>
          <w:i/>
          <w:iCs/>
          <w:sz w:val="22"/>
          <w:szCs w:val="22"/>
        </w:rPr>
        <w:t>British Journal of Sociology of Education</w:t>
      </w:r>
      <w:r w:rsidR="00E53748" w:rsidRPr="002D7BA2">
        <w:rPr>
          <w:rFonts w:cs="Arial"/>
          <w:sz w:val="22"/>
          <w:szCs w:val="22"/>
        </w:rPr>
        <w:t>, 38(8), 1217–1229.</w:t>
      </w:r>
    </w:p>
  </w:endnote>
  <w:endnote w:id="92">
    <w:p w14:paraId="60132A3E" w14:textId="73F6FE78" w:rsidR="00E53748" w:rsidRPr="002D7BA2" w:rsidRDefault="004B6738" w:rsidP="00587ADD">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w:t>
      </w:r>
      <w:r w:rsidR="00310F84" w:rsidRPr="002D7BA2">
        <w:rPr>
          <w:rFonts w:cs="Arial"/>
          <w:sz w:val="22"/>
          <w:szCs w:val="22"/>
        </w:rPr>
        <w:t xml:space="preserve">The Alliance for Inclusive Education (ALLFIE), (2024). </w:t>
      </w:r>
      <w:hyperlink r:id="rId91" w:history="1">
        <w:r w:rsidR="00310F84" w:rsidRPr="002D7BA2">
          <w:rPr>
            <w:rStyle w:val="Hyperlink"/>
            <w:rFonts w:cs="Arial"/>
            <w:sz w:val="22"/>
            <w:szCs w:val="22"/>
          </w:rPr>
          <w:t>Lived Experience of Black/Global Majority Disabled Pupils and their Families in Mainstream Education</w:t>
        </w:r>
      </w:hyperlink>
    </w:p>
  </w:endnote>
  <w:endnote w:id="93">
    <w:p w14:paraId="7532FF19" w14:textId="4E112A95" w:rsidR="00310F84" w:rsidRPr="002D7BA2" w:rsidRDefault="004B6738" w:rsidP="00587ADD">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w:t>
      </w:r>
      <w:r w:rsidR="005A6ED9" w:rsidRPr="002D7BA2">
        <w:rPr>
          <w:rFonts w:cs="Arial"/>
          <w:sz w:val="22"/>
          <w:szCs w:val="22"/>
        </w:rPr>
        <w:t xml:space="preserve">Nnalue, C., &amp; Mahmud, A. (2025). </w:t>
      </w:r>
      <w:hyperlink r:id="rId92" w:history="1">
        <w:r w:rsidR="005A6ED9" w:rsidRPr="002D7BA2">
          <w:rPr>
            <w:rStyle w:val="Hyperlink"/>
            <w:rFonts w:cs="Arial"/>
            <w:sz w:val="22"/>
            <w:szCs w:val="22"/>
          </w:rPr>
          <w:t>The experiences of Black African parents on partnership: Working with education professionals in the English special education needs and disability system</w:t>
        </w:r>
      </w:hyperlink>
      <w:r w:rsidR="005A6ED9" w:rsidRPr="002D7BA2">
        <w:rPr>
          <w:rFonts w:cs="Arial"/>
          <w:sz w:val="22"/>
          <w:szCs w:val="22"/>
        </w:rPr>
        <w:t>. </w:t>
      </w:r>
      <w:r w:rsidR="005A6ED9" w:rsidRPr="002D7BA2">
        <w:rPr>
          <w:rFonts w:cs="Arial"/>
          <w:i/>
          <w:iCs/>
          <w:sz w:val="22"/>
          <w:szCs w:val="22"/>
        </w:rPr>
        <w:t>Equity in Education &amp; Society</w:t>
      </w:r>
      <w:r w:rsidR="005A6ED9" w:rsidRPr="002D7BA2">
        <w:rPr>
          <w:rFonts w:cs="Arial"/>
          <w:sz w:val="22"/>
          <w:szCs w:val="22"/>
        </w:rPr>
        <w:t>, </w:t>
      </w:r>
      <w:r w:rsidR="005A6ED9" w:rsidRPr="002D7BA2">
        <w:rPr>
          <w:rFonts w:cs="Arial"/>
          <w:i/>
          <w:iCs/>
          <w:sz w:val="22"/>
          <w:szCs w:val="22"/>
        </w:rPr>
        <w:t>4</w:t>
      </w:r>
      <w:r w:rsidR="005A6ED9" w:rsidRPr="002D7BA2">
        <w:rPr>
          <w:rFonts w:cs="Arial"/>
          <w:sz w:val="22"/>
          <w:szCs w:val="22"/>
        </w:rPr>
        <w:t>(3), 383-399.</w:t>
      </w:r>
    </w:p>
  </w:endnote>
  <w:endnote w:id="94">
    <w:p w14:paraId="65346529" w14:textId="65949103" w:rsidR="005A6ED9" w:rsidRPr="002D7BA2" w:rsidRDefault="006F18F8" w:rsidP="00587ADD">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w:t>
      </w:r>
      <w:r w:rsidR="00744D08" w:rsidRPr="002D7BA2">
        <w:rPr>
          <w:rFonts w:cs="Arial"/>
          <w:sz w:val="22"/>
          <w:szCs w:val="22"/>
        </w:rPr>
        <w:t xml:space="preserve">Joseph, A. (2020). </w:t>
      </w:r>
      <w:hyperlink r:id="rId93" w:history="1">
        <w:r w:rsidR="00744D08" w:rsidRPr="002D7BA2">
          <w:rPr>
            <w:rStyle w:val="Hyperlink"/>
            <w:rFonts w:cs="Arial"/>
            <w:sz w:val="22"/>
            <w:szCs w:val="22"/>
          </w:rPr>
          <w:t>Navigating neoliberal school spaces: Parent and school staff perspectives on racially disproportional school exclusions in England</w:t>
        </w:r>
      </w:hyperlink>
      <w:r w:rsidR="00744D08" w:rsidRPr="002D7BA2">
        <w:rPr>
          <w:rFonts w:cs="Arial"/>
          <w:sz w:val="22"/>
          <w:szCs w:val="22"/>
        </w:rPr>
        <w:t>. </w:t>
      </w:r>
      <w:r w:rsidR="00744D08" w:rsidRPr="002D7BA2">
        <w:rPr>
          <w:rFonts w:cs="Arial"/>
          <w:i/>
          <w:iCs/>
          <w:sz w:val="22"/>
          <w:szCs w:val="22"/>
        </w:rPr>
        <w:t>International Social Work</w:t>
      </w:r>
      <w:r w:rsidR="00744D08" w:rsidRPr="002D7BA2">
        <w:rPr>
          <w:rFonts w:cs="Arial"/>
          <w:sz w:val="22"/>
          <w:szCs w:val="22"/>
        </w:rPr>
        <w:t>, </w:t>
      </w:r>
      <w:r w:rsidR="00744D08" w:rsidRPr="002D7BA2">
        <w:rPr>
          <w:rFonts w:cs="Arial"/>
          <w:i/>
          <w:iCs/>
          <w:sz w:val="22"/>
          <w:szCs w:val="22"/>
        </w:rPr>
        <w:t>63</w:t>
      </w:r>
      <w:r w:rsidR="00744D08" w:rsidRPr="002D7BA2">
        <w:rPr>
          <w:rFonts w:cs="Arial"/>
          <w:sz w:val="22"/>
          <w:szCs w:val="22"/>
        </w:rPr>
        <w:t>(4), 445-458.</w:t>
      </w:r>
    </w:p>
  </w:endnote>
  <w:endnote w:id="95">
    <w:p w14:paraId="45B94E22" w14:textId="1F56FCC6" w:rsidR="00576409" w:rsidRPr="002D7BA2" w:rsidRDefault="00114E29" w:rsidP="00587ADD">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w:t>
      </w:r>
      <w:r w:rsidR="00576409" w:rsidRPr="002D7BA2">
        <w:rPr>
          <w:rFonts w:cs="Arial"/>
          <w:sz w:val="22"/>
          <w:szCs w:val="22"/>
        </w:rPr>
        <w:t xml:space="preserve">Marku, B., Niolaki, G., Terzopoulos, A., &amp; Wood, C. (2022). </w:t>
      </w:r>
      <w:hyperlink r:id="rId94" w:history="1">
        <w:r w:rsidR="00576409" w:rsidRPr="002D7BA2">
          <w:rPr>
            <w:rStyle w:val="Hyperlink"/>
            <w:rFonts w:cs="Arial"/>
            <w:sz w:val="22"/>
            <w:szCs w:val="22"/>
          </w:rPr>
          <w:t>Eastern European parents’ experiences of parenting a child with SEN in England</w:t>
        </w:r>
      </w:hyperlink>
      <w:r w:rsidR="00576409" w:rsidRPr="002D7BA2">
        <w:rPr>
          <w:rFonts w:cs="Arial"/>
          <w:sz w:val="22"/>
          <w:szCs w:val="22"/>
        </w:rPr>
        <w:t>. </w:t>
      </w:r>
      <w:r w:rsidR="00576409" w:rsidRPr="002D7BA2">
        <w:rPr>
          <w:rFonts w:cs="Arial"/>
          <w:i/>
          <w:iCs/>
          <w:sz w:val="22"/>
          <w:szCs w:val="22"/>
        </w:rPr>
        <w:t>Educational Psychology in Practice</w:t>
      </w:r>
      <w:r w:rsidR="00576409" w:rsidRPr="002D7BA2">
        <w:rPr>
          <w:rFonts w:cs="Arial"/>
          <w:sz w:val="22"/>
          <w:szCs w:val="22"/>
        </w:rPr>
        <w:t>, </w:t>
      </w:r>
      <w:r w:rsidR="00576409" w:rsidRPr="002D7BA2">
        <w:rPr>
          <w:rFonts w:cs="Arial"/>
          <w:i/>
          <w:iCs/>
          <w:sz w:val="22"/>
          <w:szCs w:val="22"/>
        </w:rPr>
        <w:t>38</w:t>
      </w:r>
      <w:r w:rsidR="00576409" w:rsidRPr="002D7BA2">
        <w:rPr>
          <w:rFonts w:cs="Arial"/>
          <w:sz w:val="22"/>
          <w:szCs w:val="22"/>
        </w:rPr>
        <w:t>(3), 297–316.</w:t>
      </w:r>
    </w:p>
  </w:endnote>
  <w:endnote w:id="96">
    <w:p w14:paraId="7F35DA61" w14:textId="3D767270" w:rsidR="00576409" w:rsidRPr="00B068DC" w:rsidRDefault="003B7DD3" w:rsidP="00587ADD">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w:t>
      </w:r>
      <w:r w:rsidR="00576409" w:rsidRPr="002D7BA2">
        <w:rPr>
          <w:rFonts w:cs="Arial"/>
          <w:sz w:val="22"/>
          <w:szCs w:val="22"/>
        </w:rPr>
        <w:t>Kashyap, K. (2018)</w:t>
      </w:r>
      <w:r w:rsidR="0098699A">
        <w:rPr>
          <w:rFonts w:cs="Arial"/>
          <w:sz w:val="22"/>
          <w:szCs w:val="22"/>
        </w:rPr>
        <w:t>.</w:t>
      </w:r>
      <w:r w:rsidR="00576409" w:rsidRPr="002D7BA2">
        <w:rPr>
          <w:rFonts w:cs="Arial"/>
          <w:sz w:val="22"/>
          <w:szCs w:val="22"/>
        </w:rPr>
        <w:t xml:space="preserve"> </w:t>
      </w:r>
      <w:hyperlink r:id="rId95" w:history="1">
        <w:r w:rsidR="00576409" w:rsidRPr="002D7BA2">
          <w:rPr>
            <w:rStyle w:val="Hyperlink"/>
            <w:rFonts w:cs="Arial"/>
            <w:sz w:val="22"/>
            <w:szCs w:val="22"/>
          </w:rPr>
          <w:t>Written evidence from Kathryn Kashyap, PhD candidate at the Institute of Education, University College London. SCN0276.</w:t>
        </w:r>
      </w:hyperlink>
      <w:r w:rsidR="00576409" w:rsidRPr="002D7BA2">
        <w:rPr>
          <w:rFonts w:cs="Arial"/>
          <w:sz w:val="22"/>
          <w:szCs w:val="22"/>
        </w:rPr>
        <w:t xml:space="preserve"> </w:t>
      </w:r>
      <w:r w:rsidR="00576409" w:rsidRPr="002D7BA2">
        <w:rPr>
          <w:rFonts w:cs="Arial"/>
          <w:i/>
          <w:iCs/>
          <w:sz w:val="22"/>
          <w:szCs w:val="22"/>
        </w:rPr>
        <w:t>UK Parliament</w:t>
      </w:r>
      <w:r w:rsidR="00B068DC">
        <w:rPr>
          <w:rFonts w:cs="Arial"/>
          <w:sz w:val="22"/>
          <w:szCs w:val="22"/>
        </w:rPr>
        <w:t>.</w:t>
      </w:r>
    </w:p>
  </w:endnote>
  <w:endnote w:id="97">
    <w:p w14:paraId="52CF1856" w14:textId="4C97CBCC" w:rsidR="008662B3" w:rsidRPr="002D7BA2" w:rsidRDefault="008662B3" w:rsidP="00587ADD">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w:t>
      </w:r>
      <w:r w:rsidR="0065164E" w:rsidRPr="002D7BA2">
        <w:rPr>
          <w:rFonts w:cs="Arial"/>
          <w:sz w:val="22"/>
          <w:szCs w:val="22"/>
        </w:rPr>
        <w:t xml:space="preserve">Nnalue, C., &amp; Mahmud, A. (2025). </w:t>
      </w:r>
      <w:hyperlink r:id="rId96" w:history="1">
        <w:r w:rsidR="0065164E" w:rsidRPr="002D7BA2">
          <w:rPr>
            <w:rStyle w:val="Hyperlink"/>
            <w:rFonts w:cs="Arial"/>
            <w:sz w:val="22"/>
            <w:szCs w:val="22"/>
          </w:rPr>
          <w:t>The experiences of Black African parents on partnership: Working with education professionals in the English special education needs and disability system</w:t>
        </w:r>
      </w:hyperlink>
      <w:r w:rsidR="0065164E" w:rsidRPr="002D7BA2">
        <w:rPr>
          <w:rFonts w:cs="Arial"/>
          <w:sz w:val="22"/>
          <w:szCs w:val="22"/>
        </w:rPr>
        <w:t>. </w:t>
      </w:r>
      <w:r w:rsidR="0065164E" w:rsidRPr="002D7BA2">
        <w:rPr>
          <w:rFonts w:cs="Arial"/>
          <w:i/>
          <w:iCs/>
          <w:sz w:val="22"/>
          <w:szCs w:val="22"/>
        </w:rPr>
        <w:t>Equity in Education &amp; Society</w:t>
      </w:r>
      <w:r w:rsidR="0065164E" w:rsidRPr="002D7BA2">
        <w:rPr>
          <w:rFonts w:cs="Arial"/>
          <w:sz w:val="22"/>
          <w:szCs w:val="22"/>
        </w:rPr>
        <w:t>, </w:t>
      </w:r>
      <w:r w:rsidR="0065164E" w:rsidRPr="002D7BA2">
        <w:rPr>
          <w:rFonts w:cs="Arial"/>
          <w:i/>
          <w:iCs/>
          <w:sz w:val="22"/>
          <w:szCs w:val="22"/>
        </w:rPr>
        <w:t>4</w:t>
      </w:r>
      <w:r w:rsidR="0065164E" w:rsidRPr="002D7BA2">
        <w:rPr>
          <w:rFonts w:cs="Arial"/>
          <w:sz w:val="22"/>
          <w:szCs w:val="22"/>
        </w:rPr>
        <w:t>(3), 383-399.</w:t>
      </w:r>
    </w:p>
  </w:endnote>
  <w:endnote w:id="98">
    <w:p w14:paraId="7C481BB6" w14:textId="630E2B26" w:rsidR="00576409" w:rsidRPr="002D7BA2" w:rsidRDefault="00606E5D" w:rsidP="00587ADD">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w:t>
      </w:r>
      <w:r w:rsidR="0065164E" w:rsidRPr="002D7BA2">
        <w:rPr>
          <w:rFonts w:cs="Arial"/>
          <w:sz w:val="22"/>
          <w:szCs w:val="22"/>
        </w:rPr>
        <w:t xml:space="preserve">Nnalue, C., &amp; Mahmud, A. (2025). </w:t>
      </w:r>
      <w:hyperlink r:id="rId97" w:history="1">
        <w:r w:rsidR="0065164E" w:rsidRPr="002D7BA2">
          <w:rPr>
            <w:rStyle w:val="Hyperlink"/>
            <w:rFonts w:cs="Arial"/>
            <w:sz w:val="22"/>
            <w:szCs w:val="22"/>
          </w:rPr>
          <w:t>The experiences of Black African parents on partnership: Working with education professionals in the English special education needs and disability system</w:t>
        </w:r>
      </w:hyperlink>
      <w:r w:rsidR="0065164E" w:rsidRPr="002D7BA2">
        <w:rPr>
          <w:rFonts w:cs="Arial"/>
          <w:sz w:val="22"/>
          <w:szCs w:val="22"/>
        </w:rPr>
        <w:t>. </w:t>
      </w:r>
      <w:r w:rsidR="0065164E" w:rsidRPr="002D7BA2">
        <w:rPr>
          <w:rFonts w:cs="Arial"/>
          <w:i/>
          <w:iCs/>
          <w:sz w:val="22"/>
          <w:szCs w:val="22"/>
        </w:rPr>
        <w:t>Equity in Education &amp; Society</w:t>
      </w:r>
      <w:r w:rsidR="0065164E" w:rsidRPr="002D7BA2">
        <w:rPr>
          <w:rFonts w:cs="Arial"/>
          <w:sz w:val="22"/>
          <w:szCs w:val="22"/>
        </w:rPr>
        <w:t>, </w:t>
      </w:r>
      <w:r w:rsidR="0065164E" w:rsidRPr="002D7BA2">
        <w:rPr>
          <w:rFonts w:cs="Arial"/>
          <w:i/>
          <w:iCs/>
          <w:sz w:val="22"/>
          <w:szCs w:val="22"/>
        </w:rPr>
        <w:t>4</w:t>
      </w:r>
      <w:r w:rsidR="0065164E" w:rsidRPr="002D7BA2">
        <w:rPr>
          <w:rFonts w:cs="Arial"/>
          <w:sz w:val="22"/>
          <w:szCs w:val="22"/>
        </w:rPr>
        <w:t>(3), 383-399.</w:t>
      </w:r>
    </w:p>
  </w:endnote>
  <w:endnote w:id="99">
    <w:p w14:paraId="0514AE94" w14:textId="54236BE3" w:rsidR="0065164E" w:rsidRPr="002D7BA2" w:rsidRDefault="00844536" w:rsidP="00587ADD">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w:t>
      </w:r>
      <w:r w:rsidR="0065164E" w:rsidRPr="002D7BA2">
        <w:rPr>
          <w:rFonts w:cs="Arial"/>
          <w:sz w:val="22"/>
          <w:szCs w:val="22"/>
        </w:rPr>
        <w:t xml:space="preserve">Marku, B., Niolaki, G., Terzopoulos, A., &amp; Wood, C. (2022). </w:t>
      </w:r>
      <w:hyperlink r:id="rId98" w:history="1">
        <w:r w:rsidR="0065164E" w:rsidRPr="002D7BA2">
          <w:rPr>
            <w:rStyle w:val="Hyperlink"/>
            <w:rFonts w:cs="Arial"/>
            <w:sz w:val="22"/>
            <w:szCs w:val="22"/>
          </w:rPr>
          <w:t>Eastern European parents’ experiences of parenting a child with SEN in England</w:t>
        </w:r>
      </w:hyperlink>
      <w:r w:rsidR="0065164E" w:rsidRPr="002D7BA2">
        <w:rPr>
          <w:rFonts w:cs="Arial"/>
          <w:sz w:val="22"/>
          <w:szCs w:val="22"/>
        </w:rPr>
        <w:t>. </w:t>
      </w:r>
      <w:r w:rsidR="0065164E" w:rsidRPr="002D7BA2">
        <w:rPr>
          <w:rFonts w:cs="Arial"/>
          <w:i/>
          <w:iCs/>
          <w:sz w:val="22"/>
          <w:szCs w:val="22"/>
        </w:rPr>
        <w:t>Educational Psychology in Practice</w:t>
      </w:r>
      <w:r w:rsidR="0065164E" w:rsidRPr="002D7BA2">
        <w:rPr>
          <w:rFonts w:cs="Arial"/>
          <w:sz w:val="22"/>
          <w:szCs w:val="22"/>
        </w:rPr>
        <w:t>, </w:t>
      </w:r>
      <w:r w:rsidR="0065164E" w:rsidRPr="002D7BA2">
        <w:rPr>
          <w:rFonts w:cs="Arial"/>
          <w:i/>
          <w:iCs/>
          <w:sz w:val="22"/>
          <w:szCs w:val="22"/>
        </w:rPr>
        <w:t>38</w:t>
      </w:r>
      <w:r w:rsidR="0065164E" w:rsidRPr="002D7BA2">
        <w:rPr>
          <w:rFonts w:cs="Arial"/>
          <w:sz w:val="22"/>
          <w:szCs w:val="22"/>
        </w:rPr>
        <w:t>(3), 297–316.</w:t>
      </w:r>
    </w:p>
  </w:endnote>
  <w:endnote w:id="100">
    <w:p w14:paraId="50A82620" w14:textId="648D5421" w:rsidR="0056345C" w:rsidRPr="002D7BA2" w:rsidRDefault="0056345C" w:rsidP="00587ADD">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w:t>
      </w:r>
      <w:r w:rsidR="007E1173" w:rsidRPr="002D7BA2">
        <w:rPr>
          <w:rFonts w:cs="Arial"/>
          <w:sz w:val="22"/>
          <w:szCs w:val="22"/>
        </w:rPr>
        <w:t xml:space="preserve">Oliver, C., &amp; Singal, N. (2017). </w:t>
      </w:r>
      <w:hyperlink r:id="rId99" w:history="1">
        <w:r w:rsidR="007E1173" w:rsidRPr="002D7BA2">
          <w:rPr>
            <w:rStyle w:val="Hyperlink"/>
            <w:rFonts w:cs="Arial"/>
            <w:sz w:val="22"/>
            <w:szCs w:val="22"/>
          </w:rPr>
          <w:t>Migration, disability and education: reflections from a special school in the east of England</w:t>
        </w:r>
      </w:hyperlink>
      <w:r w:rsidR="007E1173" w:rsidRPr="002D7BA2">
        <w:rPr>
          <w:rFonts w:cs="Arial"/>
          <w:sz w:val="22"/>
          <w:szCs w:val="22"/>
        </w:rPr>
        <w:t xml:space="preserve">. </w:t>
      </w:r>
      <w:r w:rsidR="007E1173" w:rsidRPr="002D7BA2">
        <w:rPr>
          <w:rFonts w:cs="Arial"/>
          <w:i/>
          <w:iCs/>
          <w:sz w:val="22"/>
          <w:szCs w:val="22"/>
        </w:rPr>
        <w:t>British Journal of Sociology of Education</w:t>
      </w:r>
      <w:r w:rsidR="007E1173" w:rsidRPr="002D7BA2">
        <w:rPr>
          <w:rFonts w:cs="Arial"/>
          <w:sz w:val="22"/>
          <w:szCs w:val="22"/>
        </w:rPr>
        <w:t>, 38(8), 1217–1229.</w:t>
      </w:r>
    </w:p>
  </w:endnote>
  <w:endnote w:id="101">
    <w:p w14:paraId="5CB96DEB" w14:textId="0411020A" w:rsidR="00FA06BC" w:rsidRPr="00B068DC" w:rsidRDefault="00FA06BC" w:rsidP="00587ADD">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w:t>
      </w:r>
      <w:r w:rsidR="007E1173" w:rsidRPr="002D7BA2">
        <w:rPr>
          <w:rFonts w:cs="Arial"/>
          <w:sz w:val="22"/>
          <w:szCs w:val="22"/>
        </w:rPr>
        <w:t>Kashyap, K. (2018)</w:t>
      </w:r>
      <w:r w:rsidR="0098699A">
        <w:rPr>
          <w:rFonts w:cs="Arial"/>
          <w:sz w:val="22"/>
          <w:szCs w:val="22"/>
        </w:rPr>
        <w:t>.</w:t>
      </w:r>
      <w:r w:rsidR="007E1173" w:rsidRPr="002D7BA2">
        <w:rPr>
          <w:rFonts w:cs="Arial"/>
          <w:sz w:val="22"/>
          <w:szCs w:val="22"/>
        </w:rPr>
        <w:t xml:space="preserve"> </w:t>
      </w:r>
      <w:hyperlink r:id="rId100" w:history="1">
        <w:r w:rsidR="007E1173" w:rsidRPr="002D7BA2">
          <w:rPr>
            <w:rStyle w:val="Hyperlink"/>
            <w:rFonts w:cs="Arial"/>
            <w:sz w:val="22"/>
            <w:szCs w:val="22"/>
          </w:rPr>
          <w:t>Written evidence from Kathryn Kashyap, PhD candidate at the Institute of Education, University College London. SCN0276.</w:t>
        </w:r>
      </w:hyperlink>
      <w:r w:rsidR="007E1173" w:rsidRPr="002D7BA2">
        <w:rPr>
          <w:rFonts w:cs="Arial"/>
          <w:sz w:val="22"/>
          <w:szCs w:val="22"/>
        </w:rPr>
        <w:t xml:space="preserve"> </w:t>
      </w:r>
      <w:r w:rsidR="007E1173" w:rsidRPr="002D7BA2">
        <w:rPr>
          <w:rFonts w:cs="Arial"/>
          <w:i/>
          <w:iCs/>
          <w:sz w:val="22"/>
          <w:szCs w:val="22"/>
        </w:rPr>
        <w:t>UK Parliament</w:t>
      </w:r>
      <w:r w:rsidR="00B068DC">
        <w:rPr>
          <w:rFonts w:cs="Arial"/>
          <w:sz w:val="22"/>
          <w:szCs w:val="22"/>
        </w:rPr>
        <w:t>.</w:t>
      </w:r>
    </w:p>
  </w:endnote>
  <w:endnote w:id="102">
    <w:p w14:paraId="12C7EEF5" w14:textId="6830DB35" w:rsidR="00442C83" w:rsidRPr="002D7BA2" w:rsidRDefault="00981065" w:rsidP="00442C83">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Special Needs Jungle</w:t>
      </w:r>
      <w:r w:rsidR="005E74F1" w:rsidRPr="002D7BA2">
        <w:rPr>
          <w:rFonts w:cs="Arial"/>
          <w:sz w:val="22"/>
          <w:szCs w:val="22"/>
        </w:rPr>
        <w:t>, (2022)</w:t>
      </w:r>
      <w:r w:rsidRPr="002D7BA2">
        <w:rPr>
          <w:rFonts w:cs="Arial"/>
          <w:sz w:val="22"/>
          <w:szCs w:val="22"/>
        </w:rPr>
        <w:t xml:space="preserve">. </w:t>
      </w:r>
      <w:hyperlink r:id="rId101" w:history="1">
        <w:r w:rsidR="00581FAF" w:rsidRPr="002D7BA2">
          <w:rPr>
            <w:rStyle w:val="Hyperlink"/>
            <w:rFonts w:cs="Arial"/>
            <w:sz w:val="22"/>
            <w:szCs w:val="22"/>
          </w:rPr>
          <w:t>Intersectionality in SEND: Families experiences in schools</w:t>
        </w:r>
      </w:hyperlink>
    </w:p>
  </w:endnote>
  <w:endnote w:id="103">
    <w:p w14:paraId="07F44912" w14:textId="3952536C" w:rsidR="00085235" w:rsidRPr="002D7BA2" w:rsidRDefault="00085235" w:rsidP="00587ADD">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w:t>
      </w:r>
      <w:r w:rsidR="005E74F1" w:rsidRPr="002D7BA2">
        <w:rPr>
          <w:rFonts w:cs="Arial"/>
          <w:sz w:val="22"/>
          <w:szCs w:val="22"/>
        </w:rPr>
        <w:t xml:space="preserve">Oliver, C., &amp; Singal, N. (2017). </w:t>
      </w:r>
      <w:hyperlink r:id="rId102" w:history="1">
        <w:r w:rsidR="005E74F1" w:rsidRPr="002D7BA2">
          <w:rPr>
            <w:rStyle w:val="Hyperlink"/>
            <w:rFonts w:cs="Arial"/>
            <w:sz w:val="22"/>
            <w:szCs w:val="22"/>
          </w:rPr>
          <w:t>Migration, disability and education: reflections from a special school in the east of England</w:t>
        </w:r>
      </w:hyperlink>
      <w:r w:rsidR="005E74F1" w:rsidRPr="002D7BA2">
        <w:rPr>
          <w:rFonts w:cs="Arial"/>
          <w:sz w:val="22"/>
          <w:szCs w:val="22"/>
        </w:rPr>
        <w:t xml:space="preserve">. </w:t>
      </w:r>
      <w:r w:rsidR="005E74F1" w:rsidRPr="002D7BA2">
        <w:rPr>
          <w:rFonts w:cs="Arial"/>
          <w:i/>
          <w:iCs/>
          <w:sz w:val="22"/>
          <w:szCs w:val="22"/>
        </w:rPr>
        <w:t>British Journal of Sociology of Education</w:t>
      </w:r>
      <w:r w:rsidR="005E74F1" w:rsidRPr="002D7BA2">
        <w:rPr>
          <w:rFonts w:cs="Arial"/>
          <w:sz w:val="22"/>
          <w:szCs w:val="22"/>
        </w:rPr>
        <w:t>, 38(8), 1217–1229.</w:t>
      </w:r>
    </w:p>
  </w:endnote>
  <w:endnote w:id="104">
    <w:p w14:paraId="776CA98B" w14:textId="4E5431D7" w:rsidR="006374E5" w:rsidRPr="002D7BA2" w:rsidRDefault="006374E5" w:rsidP="00587ADD">
      <w:pPr>
        <w:pStyle w:val="EndnoteText"/>
        <w:rPr>
          <w:rFonts w:cs="Arial"/>
          <w:sz w:val="22"/>
          <w:szCs w:val="22"/>
        </w:rPr>
      </w:pPr>
      <w:r w:rsidRPr="002D7BA2">
        <w:rPr>
          <w:rStyle w:val="EndnoteReference"/>
          <w:rFonts w:cs="Arial"/>
          <w:sz w:val="22"/>
          <w:szCs w:val="22"/>
        </w:rPr>
        <w:endnoteRef/>
      </w:r>
      <w:r w:rsidRPr="002D7BA2">
        <w:rPr>
          <w:rFonts w:cs="Arial"/>
          <w:sz w:val="22"/>
          <w:szCs w:val="22"/>
        </w:rPr>
        <w:t xml:space="preserve"> </w:t>
      </w:r>
      <w:r w:rsidR="009A33F5" w:rsidRPr="002D7BA2">
        <w:rPr>
          <w:rFonts w:cs="Arial"/>
          <w:sz w:val="22"/>
          <w:szCs w:val="22"/>
        </w:rPr>
        <w:t xml:space="preserve">Special Needs Jungle, (2022). </w:t>
      </w:r>
      <w:hyperlink r:id="rId103" w:history="1">
        <w:r w:rsidR="009A33F5" w:rsidRPr="002D7BA2">
          <w:rPr>
            <w:rStyle w:val="Hyperlink"/>
            <w:rFonts w:cs="Arial"/>
            <w:sz w:val="22"/>
            <w:szCs w:val="22"/>
          </w:rPr>
          <w:t>Intersectionality in SEND: Families experiences in schools</w:t>
        </w:r>
      </w:hyperlink>
    </w:p>
  </w:endnote>
  <w:endnote w:id="105">
    <w:p w14:paraId="39C4B65D" w14:textId="523696B8" w:rsidR="00934126" w:rsidRPr="003E3820" w:rsidRDefault="000779E4" w:rsidP="00587ADD">
      <w:pPr>
        <w:pStyle w:val="EndnoteText"/>
        <w:rPr>
          <w:rFonts w:cs="Arial"/>
          <w:sz w:val="22"/>
          <w:szCs w:val="22"/>
        </w:rPr>
      </w:pPr>
      <w:r w:rsidRPr="003E3820">
        <w:rPr>
          <w:rStyle w:val="EndnoteReference"/>
          <w:rFonts w:cs="Arial"/>
          <w:sz w:val="22"/>
          <w:szCs w:val="22"/>
        </w:rPr>
        <w:endnoteRef/>
      </w:r>
      <w:r w:rsidRPr="003E3820">
        <w:rPr>
          <w:rFonts w:cs="Arial"/>
          <w:sz w:val="22"/>
          <w:szCs w:val="22"/>
        </w:rPr>
        <w:t xml:space="preserve"> </w:t>
      </w:r>
      <w:r w:rsidR="00CC1235" w:rsidRPr="003E3820">
        <w:rPr>
          <w:rFonts w:cs="Arial"/>
          <w:sz w:val="22"/>
          <w:szCs w:val="22"/>
        </w:rPr>
        <w:t xml:space="preserve">Gillborn, D. (2015). </w:t>
      </w:r>
      <w:hyperlink r:id="rId104" w:history="1">
        <w:r w:rsidR="00CC1235" w:rsidRPr="003E3820">
          <w:rPr>
            <w:rStyle w:val="Hyperlink"/>
            <w:rFonts w:cs="Arial"/>
            <w:sz w:val="22"/>
            <w:szCs w:val="22"/>
          </w:rPr>
          <w:t>Intersectionality, Critical Race Theory, and the Primacy of Racism: Race, Class, Gender, and Disability in Education: Race, Class, Gender, and Disability in Education</w:t>
        </w:r>
      </w:hyperlink>
      <w:r w:rsidR="005F6A2E" w:rsidRPr="003E3820">
        <w:rPr>
          <w:rFonts w:cs="Arial"/>
          <w:sz w:val="22"/>
          <w:szCs w:val="22"/>
        </w:rPr>
        <w:t xml:space="preserve"> </w:t>
      </w:r>
      <w:r w:rsidR="00CC1235" w:rsidRPr="003E3820">
        <w:rPr>
          <w:rFonts w:cs="Arial"/>
          <w:i/>
          <w:iCs/>
          <w:sz w:val="22"/>
          <w:szCs w:val="22"/>
        </w:rPr>
        <w:t>Qualitative Inquiry</w:t>
      </w:r>
      <w:r w:rsidR="00CC1235" w:rsidRPr="003E3820">
        <w:rPr>
          <w:rFonts w:cs="Arial"/>
          <w:sz w:val="22"/>
          <w:szCs w:val="22"/>
        </w:rPr>
        <w:t>, </w:t>
      </w:r>
      <w:r w:rsidR="00CC1235" w:rsidRPr="003E3820">
        <w:rPr>
          <w:rFonts w:cs="Arial"/>
          <w:i/>
          <w:iCs/>
          <w:sz w:val="22"/>
          <w:szCs w:val="22"/>
        </w:rPr>
        <w:t>21</w:t>
      </w:r>
      <w:r w:rsidR="00CC1235" w:rsidRPr="003E3820">
        <w:rPr>
          <w:rFonts w:cs="Arial"/>
          <w:sz w:val="22"/>
          <w:szCs w:val="22"/>
        </w:rPr>
        <w:t>(3), 277-287.</w:t>
      </w:r>
    </w:p>
  </w:endnote>
  <w:endnote w:id="106">
    <w:p w14:paraId="4F6677D6" w14:textId="098F1C1F" w:rsidR="005F6A2E" w:rsidRPr="003E3820" w:rsidRDefault="00ED5C7E" w:rsidP="00587ADD">
      <w:pPr>
        <w:pStyle w:val="EndnoteText"/>
        <w:rPr>
          <w:rFonts w:cs="Arial"/>
          <w:sz w:val="22"/>
          <w:szCs w:val="22"/>
        </w:rPr>
      </w:pPr>
      <w:r w:rsidRPr="003E3820">
        <w:rPr>
          <w:rStyle w:val="EndnoteReference"/>
          <w:rFonts w:cs="Arial"/>
          <w:sz w:val="22"/>
          <w:szCs w:val="22"/>
        </w:rPr>
        <w:endnoteRef/>
      </w:r>
      <w:r w:rsidRPr="003E3820">
        <w:rPr>
          <w:rFonts w:cs="Arial"/>
          <w:sz w:val="22"/>
          <w:szCs w:val="22"/>
        </w:rPr>
        <w:t xml:space="preserve"> </w:t>
      </w:r>
      <w:r w:rsidR="005F6A2E" w:rsidRPr="003E3820">
        <w:rPr>
          <w:rFonts w:cs="Arial"/>
          <w:sz w:val="22"/>
          <w:szCs w:val="22"/>
        </w:rPr>
        <w:t xml:space="preserve">Gillborn, D. (2015). </w:t>
      </w:r>
      <w:hyperlink r:id="rId105" w:history="1">
        <w:r w:rsidR="005F6A2E" w:rsidRPr="003E3820">
          <w:rPr>
            <w:rStyle w:val="Hyperlink"/>
            <w:rFonts w:cs="Arial"/>
            <w:sz w:val="22"/>
            <w:szCs w:val="22"/>
          </w:rPr>
          <w:t>Intersectionality, Critical Race Theory, and the Primacy of Racism: Race, Class, Gender, and Disability in Education: Race, Class, Gender, and Disability in Education</w:t>
        </w:r>
      </w:hyperlink>
      <w:r w:rsidR="005F6A2E" w:rsidRPr="003E3820">
        <w:rPr>
          <w:rFonts w:cs="Arial"/>
          <w:sz w:val="22"/>
          <w:szCs w:val="22"/>
        </w:rPr>
        <w:t xml:space="preserve"> </w:t>
      </w:r>
      <w:r w:rsidR="005F6A2E" w:rsidRPr="003E3820">
        <w:rPr>
          <w:rFonts w:cs="Arial"/>
          <w:i/>
          <w:iCs/>
          <w:sz w:val="22"/>
          <w:szCs w:val="22"/>
        </w:rPr>
        <w:t>Qualitative Inquiry</w:t>
      </w:r>
      <w:r w:rsidR="005F6A2E" w:rsidRPr="003E3820">
        <w:rPr>
          <w:rFonts w:cs="Arial"/>
          <w:sz w:val="22"/>
          <w:szCs w:val="22"/>
        </w:rPr>
        <w:t>, </w:t>
      </w:r>
      <w:r w:rsidR="005F6A2E" w:rsidRPr="003E3820">
        <w:rPr>
          <w:rFonts w:cs="Arial"/>
          <w:i/>
          <w:iCs/>
          <w:sz w:val="22"/>
          <w:szCs w:val="22"/>
        </w:rPr>
        <w:t>21</w:t>
      </w:r>
      <w:r w:rsidR="005F6A2E" w:rsidRPr="003E3820">
        <w:rPr>
          <w:rFonts w:cs="Arial"/>
          <w:sz w:val="22"/>
          <w:szCs w:val="22"/>
        </w:rPr>
        <w:t>(3), 277-287.</w:t>
      </w:r>
      <w:r w:rsidR="00C14794" w:rsidRPr="003E3820">
        <w:rPr>
          <w:rFonts w:cs="Arial"/>
          <w:sz w:val="22"/>
          <w:szCs w:val="22"/>
        </w:rPr>
        <w:t xml:space="preserve"> </w:t>
      </w:r>
    </w:p>
  </w:endnote>
  <w:endnote w:id="107">
    <w:p w14:paraId="7F8B0AF1" w14:textId="5D99A935" w:rsidR="00B51337" w:rsidRPr="003E3820" w:rsidRDefault="00B51337" w:rsidP="00587ADD">
      <w:pPr>
        <w:pStyle w:val="EndnoteText"/>
        <w:rPr>
          <w:rFonts w:cs="Arial"/>
          <w:sz w:val="22"/>
          <w:szCs w:val="22"/>
        </w:rPr>
      </w:pPr>
      <w:r w:rsidRPr="003E3820">
        <w:rPr>
          <w:rStyle w:val="EndnoteReference"/>
          <w:rFonts w:cs="Arial"/>
          <w:sz w:val="22"/>
          <w:szCs w:val="22"/>
        </w:rPr>
        <w:endnoteRef/>
      </w:r>
      <w:r w:rsidRPr="003E3820">
        <w:rPr>
          <w:rFonts w:cs="Arial"/>
          <w:sz w:val="22"/>
          <w:szCs w:val="22"/>
        </w:rPr>
        <w:t xml:space="preserve"> </w:t>
      </w:r>
      <w:r w:rsidR="00C14794" w:rsidRPr="003E3820">
        <w:rPr>
          <w:rFonts w:cs="Arial"/>
          <w:sz w:val="22"/>
          <w:szCs w:val="22"/>
        </w:rPr>
        <w:t xml:space="preserve">Nnalue, C., &amp; Mahmud, A. (2025). </w:t>
      </w:r>
      <w:hyperlink r:id="rId106" w:history="1">
        <w:r w:rsidR="00C14794" w:rsidRPr="003E3820">
          <w:rPr>
            <w:rStyle w:val="Hyperlink"/>
            <w:rFonts w:cs="Arial"/>
            <w:sz w:val="22"/>
            <w:szCs w:val="22"/>
          </w:rPr>
          <w:t>The experiences of Black African parents on partnership: Working with education professionals in the English special education needs and disability system</w:t>
        </w:r>
      </w:hyperlink>
      <w:r w:rsidR="00C14794" w:rsidRPr="003E3820">
        <w:rPr>
          <w:rFonts w:cs="Arial"/>
          <w:sz w:val="22"/>
          <w:szCs w:val="22"/>
        </w:rPr>
        <w:t>. </w:t>
      </w:r>
      <w:r w:rsidR="00C14794" w:rsidRPr="003E3820">
        <w:rPr>
          <w:rFonts w:cs="Arial"/>
          <w:i/>
          <w:iCs/>
          <w:sz w:val="22"/>
          <w:szCs w:val="22"/>
        </w:rPr>
        <w:t>Equity in Education &amp; Society</w:t>
      </w:r>
      <w:r w:rsidR="00C14794" w:rsidRPr="003E3820">
        <w:rPr>
          <w:rFonts w:cs="Arial"/>
          <w:sz w:val="22"/>
          <w:szCs w:val="22"/>
        </w:rPr>
        <w:t>, </w:t>
      </w:r>
      <w:r w:rsidR="00C14794" w:rsidRPr="003E3820">
        <w:rPr>
          <w:rFonts w:cs="Arial"/>
          <w:i/>
          <w:iCs/>
          <w:sz w:val="22"/>
          <w:szCs w:val="22"/>
        </w:rPr>
        <w:t>4</w:t>
      </w:r>
      <w:r w:rsidR="00C14794" w:rsidRPr="003E3820">
        <w:rPr>
          <w:rFonts w:cs="Arial"/>
          <w:sz w:val="22"/>
          <w:szCs w:val="22"/>
        </w:rPr>
        <w:t>(3), 383-399.</w:t>
      </w:r>
      <w:r w:rsidRPr="003E3820">
        <w:rPr>
          <w:rFonts w:cs="Arial"/>
          <w:sz w:val="22"/>
          <w:szCs w:val="22"/>
        </w:rPr>
        <w:t xml:space="preserve"> </w:t>
      </w:r>
    </w:p>
  </w:endnote>
  <w:endnote w:id="108">
    <w:p w14:paraId="2FCA4652" w14:textId="5EA6E33F" w:rsidR="00364861" w:rsidRPr="003E3820" w:rsidRDefault="00325E7D" w:rsidP="00587ADD">
      <w:pPr>
        <w:pStyle w:val="EndnoteText"/>
        <w:rPr>
          <w:rFonts w:cs="Arial"/>
          <w:sz w:val="22"/>
          <w:szCs w:val="22"/>
        </w:rPr>
      </w:pPr>
      <w:r w:rsidRPr="003E3820">
        <w:rPr>
          <w:rStyle w:val="EndnoteReference"/>
          <w:rFonts w:cs="Arial"/>
          <w:sz w:val="22"/>
          <w:szCs w:val="22"/>
        </w:rPr>
        <w:endnoteRef/>
      </w:r>
      <w:r w:rsidRPr="003E3820">
        <w:rPr>
          <w:rFonts w:cs="Arial"/>
          <w:sz w:val="22"/>
          <w:szCs w:val="22"/>
        </w:rPr>
        <w:t xml:space="preserve"> </w:t>
      </w:r>
      <w:r w:rsidR="005A0A03" w:rsidRPr="003E3820">
        <w:rPr>
          <w:rFonts w:cs="Arial"/>
          <w:sz w:val="22"/>
          <w:szCs w:val="22"/>
        </w:rPr>
        <w:t xml:space="preserve">Marku, B., Niolaki, G., Terzopoulos, A., &amp; Wood, C. (2022). </w:t>
      </w:r>
      <w:hyperlink r:id="rId107" w:history="1">
        <w:r w:rsidR="005A0A03" w:rsidRPr="003E3820">
          <w:rPr>
            <w:rStyle w:val="Hyperlink"/>
            <w:rFonts w:cs="Arial"/>
            <w:sz w:val="22"/>
            <w:szCs w:val="22"/>
          </w:rPr>
          <w:t>Eastern European parents’ experiences of parenting a child with SEN in England</w:t>
        </w:r>
      </w:hyperlink>
      <w:r w:rsidR="005A0A03" w:rsidRPr="003E3820">
        <w:rPr>
          <w:rFonts w:cs="Arial"/>
          <w:sz w:val="22"/>
          <w:szCs w:val="22"/>
        </w:rPr>
        <w:t>. </w:t>
      </w:r>
      <w:r w:rsidR="005A0A03" w:rsidRPr="003E3820">
        <w:rPr>
          <w:rFonts w:cs="Arial"/>
          <w:i/>
          <w:iCs/>
          <w:sz w:val="22"/>
          <w:szCs w:val="22"/>
        </w:rPr>
        <w:t>Educational Psychology in Practice</w:t>
      </w:r>
      <w:r w:rsidR="005A0A03" w:rsidRPr="003E3820">
        <w:rPr>
          <w:rFonts w:cs="Arial"/>
          <w:sz w:val="22"/>
          <w:szCs w:val="22"/>
        </w:rPr>
        <w:t>, </w:t>
      </w:r>
      <w:r w:rsidR="005A0A03" w:rsidRPr="003E3820">
        <w:rPr>
          <w:rFonts w:cs="Arial"/>
          <w:i/>
          <w:iCs/>
          <w:sz w:val="22"/>
          <w:szCs w:val="22"/>
        </w:rPr>
        <w:t>38</w:t>
      </w:r>
      <w:r w:rsidR="005A0A03" w:rsidRPr="003E3820">
        <w:rPr>
          <w:rFonts w:cs="Arial"/>
          <w:sz w:val="22"/>
          <w:szCs w:val="22"/>
        </w:rPr>
        <w:t>(3), 297–316.</w:t>
      </w:r>
    </w:p>
  </w:endnote>
  <w:endnote w:id="109">
    <w:p w14:paraId="6A8E2BCA" w14:textId="0F27A1B8" w:rsidR="005A0A03" w:rsidRPr="003E3820" w:rsidRDefault="00325E7D" w:rsidP="00587ADD">
      <w:pPr>
        <w:pStyle w:val="EndnoteText"/>
        <w:rPr>
          <w:rFonts w:cs="Arial"/>
          <w:sz w:val="22"/>
          <w:szCs w:val="22"/>
        </w:rPr>
      </w:pPr>
      <w:r w:rsidRPr="003E3820">
        <w:rPr>
          <w:rStyle w:val="EndnoteReference"/>
          <w:rFonts w:cs="Arial"/>
          <w:sz w:val="22"/>
          <w:szCs w:val="22"/>
        </w:rPr>
        <w:endnoteRef/>
      </w:r>
      <w:r w:rsidRPr="003E3820">
        <w:rPr>
          <w:rFonts w:cs="Arial"/>
          <w:sz w:val="22"/>
          <w:szCs w:val="22"/>
        </w:rPr>
        <w:t xml:space="preserve"> </w:t>
      </w:r>
      <w:r w:rsidR="00DF39A4" w:rsidRPr="003E3820">
        <w:rPr>
          <w:rFonts w:cs="Arial"/>
          <w:sz w:val="22"/>
          <w:szCs w:val="22"/>
        </w:rPr>
        <w:t xml:space="preserve">Oliver, C., &amp; Singal, N. (2017). </w:t>
      </w:r>
      <w:hyperlink r:id="rId108" w:history="1">
        <w:r w:rsidR="00DF39A4" w:rsidRPr="003E3820">
          <w:rPr>
            <w:rStyle w:val="Hyperlink"/>
            <w:rFonts w:cs="Arial"/>
            <w:sz w:val="22"/>
            <w:szCs w:val="22"/>
          </w:rPr>
          <w:t>Migration, disability and education: reflections from a special school in the east of England</w:t>
        </w:r>
      </w:hyperlink>
      <w:r w:rsidR="00DF39A4" w:rsidRPr="003E3820">
        <w:rPr>
          <w:rFonts w:cs="Arial"/>
          <w:sz w:val="22"/>
          <w:szCs w:val="22"/>
        </w:rPr>
        <w:t xml:space="preserve">. </w:t>
      </w:r>
      <w:r w:rsidR="00DF39A4" w:rsidRPr="003E3820">
        <w:rPr>
          <w:rFonts w:cs="Arial"/>
          <w:i/>
          <w:iCs/>
          <w:sz w:val="22"/>
          <w:szCs w:val="22"/>
        </w:rPr>
        <w:t>British Journal of Sociology of Education</w:t>
      </w:r>
      <w:r w:rsidR="00DF39A4" w:rsidRPr="003E3820">
        <w:rPr>
          <w:rFonts w:cs="Arial"/>
          <w:sz w:val="22"/>
          <w:szCs w:val="22"/>
        </w:rPr>
        <w:t>, 38(8), 1217–1229.</w:t>
      </w:r>
    </w:p>
  </w:endnote>
  <w:endnote w:id="110">
    <w:p w14:paraId="269F6CB8" w14:textId="1B87FAD3" w:rsidR="00DF39A4" w:rsidRPr="003E3820" w:rsidRDefault="00330A49" w:rsidP="00587ADD">
      <w:pPr>
        <w:pStyle w:val="EndnoteText"/>
        <w:rPr>
          <w:rFonts w:cs="Arial"/>
          <w:sz w:val="22"/>
          <w:szCs w:val="22"/>
        </w:rPr>
      </w:pPr>
      <w:r w:rsidRPr="003E3820">
        <w:rPr>
          <w:rStyle w:val="EndnoteReference"/>
          <w:rFonts w:cs="Arial"/>
          <w:sz w:val="22"/>
          <w:szCs w:val="22"/>
        </w:rPr>
        <w:endnoteRef/>
      </w:r>
      <w:r w:rsidRPr="003E3820">
        <w:rPr>
          <w:rFonts w:cs="Arial"/>
          <w:sz w:val="22"/>
          <w:szCs w:val="22"/>
        </w:rPr>
        <w:t xml:space="preserve"> </w:t>
      </w:r>
      <w:r w:rsidR="00DF39A4" w:rsidRPr="003E3820">
        <w:rPr>
          <w:rFonts w:cs="Arial"/>
          <w:sz w:val="22"/>
          <w:szCs w:val="22"/>
        </w:rPr>
        <w:t>Kashyap, K. (2018)</w:t>
      </w:r>
      <w:r w:rsidR="0098699A">
        <w:rPr>
          <w:rFonts w:cs="Arial"/>
          <w:sz w:val="22"/>
          <w:szCs w:val="22"/>
        </w:rPr>
        <w:t>.</w:t>
      </w:r>
      <w:r w:rsidR="00DF39A4" w:rsidRPr="003E3820">
        <w:rPr>
          <w:rFonts w:cs="Arial"/>
          <w:sz w:val="22"/>
          <w:szCs w:val="22"/>
        </w:rPr>
        <w:t xml:space="preserve"> </w:t>
      </w:r>
      <w:hyperlink r:id="rId109" w:history="1">
        <w:r w:rsidR="00DF39A4" w:rsidRPr="003E3820">
          <w:rPr>
            <w:rStyle w:val="Hyperlink"/>
            <w:rFonts w:cs="Arial"/>
            <w:sz w:val="22"/>
            <w:szCs w:val="22"/>
          </w:rPr>
          <w:t>Written evidence from Kathryn Kashyap, PhD candidate at the Institute of Education, University College London. SCN0276.</w:t>
        </w:r>
      </w:hyperlink>
      <w:r w:rsidR="00DF39A4" w:rsidRPr="003E3820">
        <w:rPr>
          <w:rFonts w:cs="Arial"/>
          <w:sz w:val="22"/>
          <w:szCs w:val="22"/>
        </w:rPr>
        <w:t xml:space="preserve"> </w:t>
      </w:r>
      <w:r w:rsidR="00DF39A4" w:rsidRPr="003E3820">
        <w:rPr>
          <w:rFonts w:cs="Arial"/>
          <w:i/>
          <w:iCs/>
          <w:sz w:val="22"/>
          <w:szCs w:val="22"/>
        </w:rPr>
        <w:t>UK Parliament</w:t>
      </w:r>
      <w:r w:rsidR="00B068DC" w:rsidRPr="003E3820">
        <w:rPr>
          <w:rFonts w:cs="Arial"/>
          <w:sz w:val="22"/>
          <w:szCs w:val="22"/>
        </w:rPr>
        <w:t>.</w:t>
      </w:r>
    </w:p>
  </w:endnote>
  <w:endnote w:id="111">
    <w:p w14:paraId="2C03A7F7" w14:textId="461D7A75" w:rsidR="00DF39A4" w:rsidRPr="003E3820" w:rsidRDefault="0041617A" w:rsidP="00587ADD">
      <w:pPr>
        <w:pStyle w:val="EndnoteText"/>
        <w:rPr>
          <w:rFonts w:cs="Arial"/>
          <w:sz w:val="22"/>
          <w:szCs w:val="22"/>
        </w:rPr>
      </w:pPr>
      <w:r w:rsidRPr="003E3820">
        <w:rPr>
          <w:rStyle w:val="EndnoteReference"/>
          <w:rFonts w:cs="Arial"/>
          <w:sz w:val="22"/>
          <w:szCs w:val="22"/>
        </w:rPr>
        <w:endnoteRef/>
      </w:r>
      <w:r w:rsidRPr="003E3820">
        <w:rPr>
          <w:rFonts w:cs="Arial"/>
          <w:sz w:val="22"/>
          <w:szCs w:val="22"/>
        </w:rPr>
        <w:t xml:space="preserve"> </w:t>
      </w:r>
      <w:r w:rsidR="00DF39A4" w:rsidRPr="003E3820">
        <w:rPr>
          <w:rFonts w:cs="Arial"/>
          <w:sz w:val="22"/>
          <w:szCs w:val="22"/>
        </w:rPr>
        <w:t xml:space="preserve">Nnalue, C., &amp; Mahmud, A. (2025). </w:t>
      </w:r>
      <w:hyperlink r:id="rId110" w:history="1">
        <w:r w:rsidR="00DF39A4" w:rsidRPr="003E3820">
          <w:rPr>
            <w:rStyle w:val="Hyperlink"/>
            <w:rFonts w:cs="Arial"/>
            <w:sz w:val="22"/>
            <w:szCs w:val="22"/>
          </w:rPr>
          <w:t>The experiences of Black African parents on partnership: Working with education professionals in the English special education needs and disability system</w:t>
        </w:r>
      </w:hyperlink>
      <w:r w:rsidR="00DF39A4" w:rsidRPr="003E3820">
        <w:rPr>
          <w:rFonts w:cs="Arial"/>
          <w:sz w:val="22"/>
          <w:szCs w:val="22"/>
        </w:rPr>
        <w:t>. </w:t>
      </w:r>
      <w:r w:rsidR="00DF39A4" w:rsidRPr="003E3820">
        <w:rPr>
          <w:rFonts w:cs="Arial"/>
          <w:i/>
          <w:iCs/>
          <w:sz w:val="22"/>
          <w:szCs w:val="22"/>
        </w:rPr>
        <w:t>Equity in Education &amp; Society</w:t>
      </w:r>
      <w:r w:rsidR="00DF39A4" w:rsidRPr="003E3820">
        <w:rPr>
          <w:rFonts w:cs="Arial"/>
          <w:sz w:val="22"/>
          <w:szCs w:val="22"/>
        </w:rPr>
        <w:t>, </w:t>
      </w:r>
      <w:r w:rsidR="00DF39A4" w:rsidRPr="003E3820">
        <w:rPr>
          <w:rFonts w:cs="Arial"/>
          <w:i/>
          <w:iCs/>
          <w:sz w:val="22"/>
          <w:szCs w:val="22"/>
        </w:rPr>
        <w:t>4</w:t>
      </w:r>
      <w:r w:rsidR="00DF39A4" w:rsidRPr="003E3820">
        <w:rPr>
          <w:rFonts w:cs="Arial"/>
          <w:sz w:val="22"/>
          <w:szCs w:val="22"/>
        </w:rPr>
        <w:t>(3), 383-399.</w:t>
      </w:r>
    </w:p>
  </w:endnote>
  <w:endnote w:id="112">
    <w:p w14:paraId="4CF7D060" w14:textId="4CC3053B" w:rsidR="009F23B3" w:rsidRPr="003E3820" w:rsidRDefault="007067DF" w:rsidP="00587ADD">
      <w:pPr>
        <w:pStyle w:val="EndnoteText"/>
        <w:rPr>
          <w:rFonts w:cs="Arial"/>
          <w:sz w:val="22"/>
          <w:szCs w:val="22"/>
        </w:rPr>
      </w:pPr>
      <w:r w:rsidRPr="003E3820">
        <w:rPr>
          <w:rStyle w:val="EndnoteReference"/>
          <w:rFonts w:cs="Arial"/>
          <w:sz w:val="22"/>
          <w:szCs w:val="22"/>
        </w:rPr>
        <w:endnoteRef/>
      </w:r>
      <w:r w:rsidRPr="003E3820">
        <w:rPr>
          <w:rFonts w:cs="Arial"/>
          <w:sz w:val="22"/>
          <w:szCs w:val="22"/>
        </w:rPr>
        <w:t xml:space="preserve"> </w:t>
      </w:r>
      <w:r w:rsidR="009F23B3" w:rsidRPr="003E3820">
        <w:rPr>
          <w:rFonts w:cs="Arial"/>
          <w:sz w:val="22"/>
          <w:szCs w:val="22"/>
        </w:rPr>
        <w:t xml:space="preserve">Jørgensen, C.R., Dobson, G., &amp; Perry, T. (2021). </w:t>
      </w:r>
      <w:hyperlink r:id="rId111" w:history="1">
        <w:r w:rsidR="009F23B3" w:rsidRPr="003E3820">
          <w:rPr>
            <w:rStyle w:val="Hyperlink"/>
            <w:rFonts w:cs="Arial"/>
            <w:sz w:val="22"/>
            <w:szCs w:val="22"/>
          </w:rPr>
          <w:t>Migrant children with special educational needs in European schools – a review of current issues and approaches</w:t>
        </w:r>
      </w:hyperlink>
      <w:r w:rsidR="009F23B3" w:rsidRPr="003E3820">
        <w:rPr>
          <w:rFonts w:cs="Arial"/>
          <w:sz w:val="22"/>
          <w:szCs w:val="22"/>
        </w:rPr>
        <w:t>. </w:t>
      </w:r>
      <w:r w:rsidR="009F23B3" w:rsidRPr="003E3820">
        <w:rPr>
          <w:rFonts w:cs="Arial"/>
          <w:i/>
          <w:iCs/>
          <w:sz w:val="22"/>
          <w:szCs w:val="22"/>
        </w:rPr>
        <w:t>European Journal of Special Needs Education</w:t>
      </w:r>
      <w:r w:rsidR="009F23B3" w:rsidRPr="003E3820">
        <w:rPr>
          <w:rFonts w:cs="Arial"/>
          <w:sz w:val="22"/>
          <w:szCs w:val="22"/>
        </w:rPr>
        <w:t>, </w:t>
      </w:r>
      <w:r w:rsidR="009F23B3" w:rsidRPr="003E3820">
        <w:rPr>
          <w:rFonts w:cs="Arial"/>
          <w:i/>
          <w:iCs/>
          <w:sz w:val="22"/>
          <w:szCs w:val="22"/>
        </w:rPr>
        <w:t>36</w:t>
      </w:r>
      <w:r w:rsidR="009F23B3" w:rsidRPr="003E3820">
        <w:rPr>
          <w:rFonts w:cs="Arial"/>
          <w:sz w:val="22"/>
          <w:szCs w:val="22"/>
        </w:rPr>
        <w:t>(3), 438–453.</w:t>
      </w:r>
    </w:p>
  </w:endnote>
  <w:endnote w:id="113">
    <w:p w14:paraId="558C5A54" w14:textId="38A1FF69" w:rsidR="000E6DEB" w:rsidRPr="003E3820" w:rsidRDefault="008F65C6" w:rsidP="00587ADD">
      <w:pPr>
        <w:pStyle w:val="EndnoteText"/>
        <w:rPr>
          <w:rFonts w:cs="Arial"/>
          <w:sz w:val="22"/>
          <w:szCs w:val="22"/>
        </w:rPr>
      </w:pPr>
      <w:r w:rsidRPr="003E3820">
        <w:rPr>
          <w:rStyle w:val="EndnoteReference"/>
          <w:rFonts w:cs="Arial"/>
          <w:sz w:val="22"/>
          <w:szCs w:val="22"/>
        </w:rPr>
        <w:endnoteRef/>
      </w:r>
      <w:r w:rsidRPr="003E3820">
        <w:rPr>
          <w:rFonts w:cs="Arial"/>
          <w:sz w:val="22"/>
          <w:szCs w:val="22"/>
        </w:rPr>
        <w:t xml:space="preserve"> </w:t>
      </w:r>
      <w:r w:rsidR="00B66632" w:rsidRPr="003E3820">
        <w:rPr>
          <w:rFonts w:cs="Arial"/>
          <w:sz w:val="22"/>
          <w:szCs w:val="22"/>
        </w:rPr>
        <w:t xml:space="preserve">Swanwick, R., Elmore, J., &amp; Salter, J. (2021). </w:t>
      </w:r>
      <w:hyperlink r:id="rId112" w:history="1">
        <w:r w:rsidR="00B66632" w:rsidRPr="003E3820">
          <w:rPr>
            <w:rStyle w:val="Hyperlink"/>
            <w:rFonts w:cs="Arial"/>
            <w:sz w:val="22"/>
            <w:szCs w:val="22"/>
          </w:rPr>
          <w:t>Educational inclusion of children who are deaf or hard of hearing and from migrant Roma families: Implications for multi-professional working</w:t>
        </w:r>
      </w:hyperlink>
      <w:r w:rsidR="00B66632" w:rsidRPr="003E3820">
        <w:rPr>
          <w:rFonts w:cs="Arial"/>
          <w:sz w:val="22"/>
          <w:szCs w:val="22"/>
        </w:rPr>
        <w:t>. </w:t>
      </w:r>
      <w:r w:rsidR="00B66632" w:rsidRPr="003E3820">
        <w:rPr>
          <w:rFonts w:cs="Arial"/>
          <w:i/>
          <w:iCs/>
          <w:sz w:val="22"/>
          <w:szCs w:val="22"/>
        </w:rPr>
        <w:t>Deafness &amp; Education International</w:t>
      </w:r>
      <w:r w:rsidR="00B66632" w:rsidRPr="003E3820">
        <w:rPr>
          <w:rFonts w:cs="Arial"/>
          <w:sz w:val="22"/>
          <w:szCs w:val="22"/>
        </w:rPr>
        <w:t>, </w:t>
      </w:r>
      <w:r w:rsidR="00B66632" w:rsidRPr="003E3820">
        <w:rPr>
          <w:rFonts w:cs="Arial"/>
          <w:i/>
          <w:iCs/>
          <w:sz w:val="22"/>
          <w:szCs w:val="22"/>
        </w:rPr>
        <w:t>23</w:t>
      </w:r>
      <w:r w:rsidR="00B66632" w:rsidRPr="003E3820">
        <w:rPr>
          <w:rFonts w:cs="Arial"/>
          <w:sz w:val="22"/>
          <w:szCs w:val="22"/>
        </w:rPr>
        <w:t>(1), 25–42.</w:t>
      </w:r>
    </w:p>
  </w:endnote>
  <w:endnote w:id="114">
    <w:p w14:paraId="3169777C" w14:textId="4D259896" w:rsidR="002900C3" w:rsidRPr="003E3820" w:rsidRDefault="00353ABB" w:rsidP="00587ADD">
      <w:pPr>
        <w:pStyle w:val="EndnoteText"/>
        <w:rPr>
          <w:rFonts w:cs="Arial"/>
          <w:sz w:val="22"/>
          <w:szCs w:val="22"/>
        </w:rPr>
      </w:pPr>
      <w:r w:rsidRPr="003E3820">
        <w:rPr>
          <w:rStyle w:val="EndnoteReference"/>
          <w:rFonts w:cs="Arial"/>
          <w:sz w:val="22"/>
          <w:szCs w:val="22"/>
        </w:rPr>
        <w:endnoteRef/>
      </w:r>
      <w:r w:rsidRPr="003E3820">
        <w:rPr>
          <w:rFonts w:cs="Arial"/>
          <w:sz w:val="22"/>
          <w:szCs w:val="22"/>
        </w:rPr>
        <w:t xml:space="preserve"> </w:t>
      </w:r>
      <w:r w:rsidR="002900C3" w:rsidRPr="003E3820">
        <w:rPr>
          <w:rFonts w:cs="Arial"/>
          <w:sz w:val="22"/>
          <w:szCs w:val="22"/>
        </w:rPr>
        <w:t xml:space="preserve">The Alliance for Inclusive Education (ALLFIE), (2024). </w:t>
      </w:r>
      <w:hyperlink r:id="rId113" w:history="1">
        <w:r w:rsidR="002900C3" w:rsidRPr="003E3820">
          <w:rPr>
            <w:rStyle w:val="Hyperlink"/>
            <w:rFonts w:cs="Arial"/>
            <w:sz w:val="22"/>
            <w:szCs w:val="22"/>
          </w:rPr>
          <w:t>Lived Experience of Black/Global Majority Disabled Pupils and their Families in Mainstream Education</w:t>
        </w:r>
      </w:hyperlink>
    </w:p>
  </w:endnote>
  <w:endnote w:id="115">
    <w:p w14:paraId="1E0E3181" w14:textId="3227C67E" w:rsidR="002900C3" w:rsidRPr="003E3820" w:rsidRDefault="00353ABB" w:rsidP="00587ADD">
      <w:pPr>
        <w:pStyle w:val="EndnoteText"/>
        <w:rPr>
          <w:rFonts w:cs="Arial"/>
          <w:sz w:val="22"/>
          <w:szCs w:val="22"/>
        </w:rPr>
      </w:pPr>
      <w:r w:rsidRPr="003E3820">
        <w:rPr>
          <w:rStyle w:val="EndnoteReference"/>
          <w:rFonts w:cs="Arial"/>
          <w:sz w:val="22"/>
          <w:szCs w:val="22"/>
        </w:rPr>
        <w:endnoteRef/>
      </w:r>
      <w:r w:rsidRPr="003E3820">
        <w:rPr>
          <w:rFonts w:cs="Arial"/>
          <w:sz w:val="22"/>
          <w:szCs w:val="22"/>
        </w:rPr>
        <w:t xml:space="preserve"> </w:t>
      </w:r>
      <w:r w:rsidR="002900C3" w:rsidRPr="003E3820">
        <w:rPr>
          <w:rFonts w:cs="Arial"/>
          <w:sz w:val="22"/>
          <w:szCs w:val="22"/>
        </w:rPr>
        <w:t xml:space="preserve">Nnalue, C., &amp; Mahmud, A. (2025). </w:t>
      </w:r>
      <w:hyperlink r:id="rId114" w:history="1">
        <w:r w:rsidR="002900C3" w:rsidRPr="003E3820">
          <w:rPr>
            <w:rStyle w:val="Hyperlink"/>
            <w:rFonts w:cs="Arial"/>
            <w:sz w:val="22"/>
            <w:szCs w:val="22"/>
          </w:rPr>
          <w:t>The experiences of Black African parents on partnership: Working with education professionals in the English special education needs and disability system</w:t>
        </w:r>
      </w:hyperlink>
      <w:r w:rsidR="002900C3" w:rsidRPr="003E3820">
        <w:rPr>
          <w:rFonts w:cs="Arial"/>
          <w:sz w:val="22"/>
          <w:szCs w:val="22"/>
        </w:rPr>
        <w:t>. </w:t>
      </w:r>
      <w:r w:rsidR="002900C3" w:rsidRPr="003E3820">
        <w:rPr>
          <w:rFonts w:cs="Arial"/>
          <w:i/>
          <w:iCs/>
          <w:sz w:val="22"/>
          <w:szCs w:val="22"/>
        </w:rPr>
        <w:t>Equity in Education &amp; Society</w:t>
      </w:r>
      <w:r w:rsidR="002900C3" w:rsidRPr="003E3820">
        <w:rPr>
          <w:rFonts w:cs="Arial"/>
          <w:sz w:val="22"/>
          <w:szCs w:val="22"/>
        </w:rPr>
        <w:t>, </w:t>
      </w:r>
      <w:r w:rsidR="002900C3" w:rsidRPr="003E3820">
        <w:rPr>
          <w:rFonts w:cs="Arial"/>
          <w:i/>
          <w:iCs/>
          <w:sz w:val="22"/>
          <w:szCs w:val="22"/>
        </w:rPr>
        <w:t>4</w:t>
      </w:r>
      <w:r w:rsidR="002900C3" w:rsidRPr="003E3820">
        <w:rPr>
          <w:rFonts w:cs="Arial"/>
          <w:sz w:val="22"/>
          <w:szCs w:val="22"/>
        </w:rPr>
        <w:t>(3), 383-399.</w:t>
      </w:r>
    </w:p>
  </w:endnote>
  <w:endnote w:id="116">
    <w:p w14:paraId="78A2AD77" w14:textId="5CC93774" w:rsidR="00534896" w:rsidRPr="003E3820" w:rsidRDefault="00534896" w:rsidP="00587ADD">
      <w:pPr>
        <w:pStyle w:val="EndnoteText"/>
        <w:rPr>
          <w:rFonts w:cs="Arial"/>
          <w:sz w:val="22"/>
          <w:szCs w:val="22"/>
        </w:rPr>
      </w:pPr>
      <w:r w:rsidRPr="003E3820">
        <w:rPr>
          <w:rStyle w:val="EndnoteReference"/>
          <w:rFonts w:cs="Arial"/>
          <w:sz w:val="22"/>
          <w:szCs w:val="22"/>
        </w:rPr>
        <w:endnoteRef/>
      </w:r>
      <w:r w:rsidRPr="003E3820">
        <w:rPr>
          <w:rFonts w:cs="Arial"/>
          <w:sz w:val="22"/>
          <w:szCs w:val="22"/>
        </w:rPr>
        <w:t xml:space="preserve"> </w:t>
      </w:r>
      <w:r w:rsidR="00AE13BE" w:rsidRPr="003E3820">
        <w:rPr>
          <w:rFonts w:cs="Arial"/>
          <w:sz w:val="22"/>
          <w:szCs w:val="22"/>
        </w:rPr>
        <w:t xml:space="preserve">Marku, B., Niolaki, G., Terzopoulos, A., &amp; Wood, C. (2022). </w:t>
      </w:r>
      <w:hyperlink r:id="rId115" w:history="1">
        <w:r w:rsidR="00AE13BE" w:rsidRPr="003E3820">
          <w:rPr>
            <w:rStyle w:val="Hyperlink"/>
            <w:rFonts w:cs="Arial"/>
            <w:sz w:val="22"/>
            <w:szCs w:val="22"/>
          </w:rPr>
          <w:t>Eastern European parents’ experiences of parenting a child with SEN in England</w:t>
        </w:r>
      </w:hyperlink>
      <w:r w:rsidR="00AE13BE" w:rsidRPr="003E3820">
        <w:rPr>
          <w:rFonts w:cs="Arial"/>
          <w:sz w:val="22"/>
          <w:szCs w:val="22"/>
        </w:rPr>
        <w:t>. </w:t>
      </w:r>
      <w:r w:rsidR="00AE13BE" w:rsidRPr="003E3820">
        <w:rPr>
          <w:rFonts w:cs="Arial"/>
          <w:i/>
          <w:iCs/>
          <w:sz w:val="22"/>
          <w:szCs w:val="22"/>
        </w:rPr>
        <w:t>Educational Psychology in Practice</w:t>
      </w:r>
      <w:r w:rsidR="00AE13BE" w:rsidRPr="003E3820">
        <w:rPr>
          <w:rFonts w:cs="Arial"/>
          <w:sz w:val="22"/>
          <w:szCs w:val="22"/>
        </w:rPr>
        <w:t>, </w:t>
      </w:r>
      <w:r w:rsidR="00AE13BE" w:rsidRPr="003E3820">
        <w:rPr>
          <w:rFonts w:cs="Arial"/>
          <w:i/>
          <w:iCs/>
          <w:sz w:val="22"/>
          <w:szCs w:val="22"/>
        </w:rPr>
        <w:t>38</w:t>
      </w:r>
      <w:r w:rsidR="00AE13BE" w:rsidRPr="003E3820">
        <w:rPr>
          <w:rFonts w:cs="Arial"/>
          <w:sz w:val="22"/>
          <w:szCs w:val="22"/>
        </w:rPr>
        <w:t>(3), 297–316.</w:t>
      </w:r>
    </w:p>
  </w:endnote>
  <w:endnote w:id="117">
    <w:p w14:paraId="57D834B5" w14:textId="676A2428" w:rsidR="00EA16E9" w:rsidRPr="003E3820" w:rsidRDefault="00534896" w:rsidP="00587ADD">
      <w:pPr>
        <w:pStyle w:val="EndnoteText"/>
        <w:rPr>
          <w:rFonts w:cs="Arial"/>
          <w:sz w:val="22"/>
          <w:szCs w:val="22"/>
        </w:rPr>
      </w:pPr>
      <w:r w:rsidRPr="003E3820">
        <w:rPr>
          <w:rStyle w:val="EndnoteReference"/>
          <w:rFonts w:cs="Arial"/>
          <w:sz w:val="22"/>
          <w:szCs w:val="22"/>
        </w:rPr>
        <w:endnoteRef/>
      </w:r>
      <w:r w:rsidRPr="003E3820">
        <w:rPr>
          <w:rFonts w:cs="Arial"/>
          <w:sz w:val="22"/>
          <w:szCs w:val="22"/>
        </w:rPr>
        <w:t xml:space="preserve"> </w:t>
      </w:r>
      <w:r w:rsidR="00EA16E9" w:rsidRPr="003E3820">
        <w:rPr>
          <w:rFonts w:cs="Arial"/>
          <w:sz w:val="22"/>
          <w:szCs w:val="22"/>
        </w:rPr>
        <w:t xml:space="preserve">Oliver, C., &amp; Singal, N. (2017). </w:t>
      </w:r>
      <w:hyperlink r:id="rId116" w:history="1">
        <w:r w:rsidR="00EA16E9" w:rsidRPr="003E3820">
          <w:rPr>
            <w:rStyle w:val="Hyperlink"/>
            <w:rFonts w:cs="Arial"/>
            <w:sz w:val="22"/>
            <w:szCs w:val="22"/>
          </w:rPr>
          <w:t>Migration, disability and education: reflections from a special school in the east of England</w:t>
        </w:r>
      </w:hyperlink>
      <w:r w:rsidR="00EA16E9" w:rsidRPr="003E3820">
        <w:rPr>
          <w:rFonts w:cs="Arial"/>
          <w:sz w:val="22"/>
          <w:szCs w:val="22"/>
        </w:rPr>
        <w:t xml:space="preserve">. </w:t>
      </w:r>
      <w:r w:rsidR="00EA16E9" w:rsidRPr="003E3820">
        <w:rPr>
          <w:rFonts w:cs="Arial"/>
          <w:i/>
          <w:iCs/>
          <w:sz w:val="22"/>
          <w:szCs w:val="22"/>
        </w:rPr>
        <w:t>British Journal of Sociology of Education</w:t>
      </w:r>
      <w:r w:rsidR="00EA16E9" w:rsidRPr="003E3820">
        <w:rPr>
          <w:rFonts w:cs="Arial"/>
          <w:sz w:val="22"/>
          <w:szCs w:val="22"/>
        </w:rPr>
        <w:t>, 38(8), 1217–1229.</w:t>
      </w:r>
    </w:p>
  </w:endnote>
  <w:endnote w:id="118">
    <w:p w14:paraId="4AAFCD46" w14:textId="4AAE252D" w:rsidR="00EF4D7E" w:rsidRPr="003E3820" w:rsidRDefault="00EF4D7E" w:rsidP="00587ADD">
      <w:pPr>
        <w:pStyle w:val="EndnoteText"/>
        <w:rPr>
          <w:rFonts w:cs="Arial"/>
          <w:sz w:val="22"/>
          <w:szCs w:val="22"/>
        </w:rPr>
      </w:pPr>
      <w:r w:rsidRPr="003E3820">
        <w:rPr>
          <w:rStyle w:val="EndnoteReference"/>
          <w:rFonts w:cs="Arial"/>
          <w:sz w:val="22"/>
          <w:szCs w:val="22"/>
        </w:rPr>
        <w:endnoteRef/>
      </w:r>
      <w:r w:rsidRPr="003E3820">
        <w:rPr>
          <w:rFonts w:cs="Arial"/>
          <w:sz w:val="22"/>
          <w:szCs w:val="22"/>
        </w:rPr>
        <w:t xml:space="preserve"> </w:t>
      </w:r>
      <w:r w:rsidR="00EA16E9" w:rsidRPr="003E3820">
        <w:rPr>
          <w:rFonts w:cs="Arial"/>
          <w:sz w:val="22"/>
          <w:szCs w:val="22"/>
        </w:rPr>
        <w:t>Kashyap, K. (2018)</w:t>
      </w:r>
      <w:r w:rsidR="0098699A">
        <w:rPr>
          <w:rFonts w:cs="Arial"/>
          <w:sz w:val="22"/>
          <w:szCs w:val="22"/>
        </w:rPr>
        <w:t>.</w:t>
      </w:r>
      <w:r w:rsidR="00EA16E9" w:rsidRPr="003E3820">
        <w:rPr>
          <w:rFonts w:cs="Arial"/>
          <w:sz w:val="22"/>
          <w:szCs w:val="22"/>
        </w:rPr>
        <w:t xml:space="preserve"> </w:t>
      </w:r>
      <w:hyperlink r:id="rId117" w:history="1">
        <w:r w:rsidR="00EA16E9" w:rsidRPr="003E3820">
          <w:rPr>
            <w:rStyle w:val="Hyperlink"/>
            <w:rFonts w:cs="Arial"/>
            <w:sz w:val="22"/>
            <w:szCs w:val="22"/>
          </w:rPr>
          <w:t>Written evidence from Kathryn Kashyap, PhD candidate at the Institute of Education, University College London. SCN0276.</w:t>
        </w:r>
      </w:hyperlink>
      <w:r w:rsidR="00EA16E9" w:rsidRPr="003E3820">
        <w:rPr>
          <w:rFonts w:cs="Arial"/>
          <w:sz w:val="22"/>
          <w:szCs w:val="22"/>
        </w:rPr>
        <w:t xml:space="preserve"> </w:t>
      </w:r>
      <w:r w:rsidR="00EA16E9" w:rsidRPr="003E3820">
        <w:rPr>
          <w:rFonts w:cs="Arial"/>
          <w:i/>
          <w:iCs/>
          <w:sz w:val="22"/>
          <w:szCs w:val="22"/>
        </w:rPr>
        <w:t>UK Parliament</w:t>
      </w:r>
      <w:r w:rsidR="00B068DC" w:rsidRPr="003E3820">
        <w:rPr>
          <w:rFonts w:cs="Arial"/>
          <w:sz w:val="22"/>
          <w:szCs w:val="22"/>
        </w:rPr>
        <w:t>.</w:t>
      </w:r>
    </w:p>
  </w:endnote>
  <w:endnote w:id="119">
    <w:p w14:paraId="4CD1AA0A" w14:textId="6B752EBE" w:rsidR="00EA16E9" w:rsidRPr="003E3820" w:rsidRDefault="00A94AB9" w:rsidP="00587ADD">
      <w:pPr>
        <w:pStyle w:val="EndnoteText"/>
        <w:rPr>
          <w:rFonts w:cs="Arial"/>
          <w:sz w:val="22"/>
          <w:szCs w:val="22"/>
        </w:rPr>
      </w:pPr>
      <w:r w:rsidRPr="003E3820">
        <w:rPr>
          <w:rStyle w:val="EndnoteReference"/>
          <w:rFonts w:cs="Arial"/>
          <w:sz w:val="22"/>
          <w:szCs w:val="22"/>
        </w:rPr>
        <w:endnoteRef/>
      </w:r>
      <w:r w:rsidRPr="003E3820">
        <w:rPr>
          <w:rFonts w:cs="Arial"/>
          <w:sz w:val="22"/>
          <w:szCs w:val="22"/>
        </w:rPr>
        <w:t xml:space="preserve"> </w:t>
      </w:r>
      <w:r w:rsidR="00F571D4" w:rsidRPr="003E3820">
        <w:rPr>
          <w:rFonts w:cs="Arial"/>
          <w:sz w:val="22"/>
          <w:szCs w:val="22"/>
        </w:rPr>
        <w:t xml:space="preserve">Gillborn, D. (2015). </w:t>
      </w:r>
      <w:hyperlink r:id="rId118" w:history="1">
        <w:r w:rsidR="00F571D4" w:rsidRPr="003E3820">
          <w:rPr>
            <w:rStyle w:val="Hyperlink"/>
            <w:rFonts w:cs="Arial"/>
            <w:sz w:val="22"/>
            <w:szCs w:val="22"/>
          </w:rPr>
          <w:t>Intersectionality, Critical Race Theory, and the Primacy of Racism: Race, Class, Gender, and Disability in Education: Race, Class, Gender, and Disability in Education</w:t>
        </w:r>
      </w:hyperlink>
      <w:r w:rsidR="00F571D4" w:rsidRPr="003E3820">
        <w:rPr>
          <w:rFonts w:cs="Arial"/>
          <w:sz w:val="22"/>
          <w:szCs w:val="22"/>
        </w:rPr>
        <w:t xml:space="preserve"> </w:t>
      </w:r>
      <w:r w:rsidR="00F571D4" w:rsidRPr="003E3820">
        <w:rPr>
          <w:rFonts w:cs="Arial"/>
          <w:i/>
          <w:iCs/>
          <w:sz w:val="22"/>
          <w:szCs w:val="22"/>
        </w:rPr>
        <w:t>Qualitative Inquiry</w:t>
      </w:r>
      <w:r w:rsidR="00F571D4" w:rsidRPr="003E3820">
        <w:rPr>
          <w:rFonts w:cs="Arial"/>
          <w:sz w:val="22"/>
          <w:szCs w:val="22"/>
        </w:rPr>
        <w:t>, </w:t>
      </w:r>
      <w:r w:rsidR="00F571D4" w:rsidRPr="003E3820">
        <w:rPr>
          <w:rFonts w:cs="Arial"/>
          <w:i/>
          <w:iCs/>
          <w:sz w:val="22"/>
          <w:szCs w:val="22"/>
        </w:rPr>
        <w:t>21</w:t>
      </w:r>
      <w:r w:rsidR="00F571D4" w:rsidRPr="003E3820">
        <w:rPr>
          <w:rFonts w:cs="Arial"/>
          <w:sz w:val="22"/>
          <w:szCs w:val="22"/>
        </w:rPr>
        <w:t>(3), 277-287.</w:t>
      </w:r>
    </w:p>
  </w:endnote>
  <w:endnote w:id="120">
    <w:p w14:paraId="79E6A223" w14:textId="52FD507C" w:rsidR="00F269F0" w:rsidRPr="003E3820" w:rsidRDefault="00F269F0" w:rsidP="00587ADD">
      <w:pPr>
        <w:pStyle w:val="EndnoteText"/>
        <w:rPr>
          <w:rFonts w:cs="Arial"/>
          <w:sz w:val="22"/>
          <w:szCs w:val="22"/>
        </w:rPr>
      </w:pPr>
      <w:r w:rsidRPr="003E3820">
        <w:rPr>
          <w:rStyle w:val="EndnoteReference"/>
          <w:rFonts w:cs="Arial"/>
          <w:sz w:val="22"/>
          <w:szCs w:val="22"/>
        </w:rPr>
        <w:endnoteRef/>
      </w:r>
      <w:r w:rsidRPr="003E3820">
        <w:rPr>
          <w:rFonts w:cs="Arial"/>
          <w:sz w:val="22"/>
          <w:szCs w:val="22"/>
        </w:rPr>
        <w:t xml:space="preserve"> </w:t>
      </w:r>
      <w:r w:rsidR="00F571D4" w:rsidRPr="003E3820">
        <w:rPr>
          <w:rFonts w:cs="Arial"/>
          <w:sz w:val="22"/>
          <w:szCs w:val="22"/>
        </w:rPr>
        <w:t xml:space="preserve">Marku, B., Niolaki, G., Terzopoulos, A., &amp; Wood, C. (2022). </w:t>
      </w:r>
      <w:hyperlink r:id="rId119" w:history="1">
        <w:r w:rsidR="00F571D4" w:rsidRPr="003E3820">
          <w:rPr>
            <w:rStyle w:val="Hyperlink"/>
            <w:rFonts w:cs="Arial"/>
            <w:sz w:val="22"/>
            <w:szCs w:val="22"/>
          </w:rPr>
          <w:t>Eastern European parents’ experiences of parenting a child with SEN in England</w:t>
        </w:r>
      </w:hyperlink>
      <w:r w:rsidR="00F571D4" w:rsidRPr="003E3820">
        <w:rPr>
          <w:rFonts w:cs="Arial"/>
          <w:sz w:val="22"/>
          <w:szCs w:val="22"/>
        </w:rPr>
        <w:t>. </w:t>
      </w:r>
      <w:r w:rsidR="00F571D4" w:rsidRPr="003E3820">
        <w:rPr>
          <w:rFonts w:cs="Arial"/>
          <w:i/>
          <w:iCs/>
          <w:sz w:val="22"/>
          <w:szCs w:val="22"/>
        </w:rPr>
        <w:t>Educational Psychology in Practice</w:t>
      </w:r>
      <w:r w:rsidR="00F571D4" w:rsidRPr="003E3820">
        <w:rPr>
          <w:rFonts w:cs="Arial"/>
          <w:sz w:val="22"/>
          <w:szCs w:val="22"/>
        </w:rPr>
        <w:t>, </w:t>
      </w:r>
      <w:r w:rsidR="00F571D4" w:rsidRPr="003E3820">
        <w:rPr>
          <w:rFonts w:cs="Arial"/>
          <w:i/>
          <w:iCs/>
          <w:sz w:val="22"/>
          <w:szCs w:val="22"/>
        </w:rPr>
        <w:t>38</w:t>
      </w:r>
      <w:r w:rsidR="00F571D4" w:rsidRPr="003E3820">
        <w:rPr>
          <w:rFonts w:cs="Arial"/>
          <w:sz w:val="22"/>
          <w:szCs w:val="22"/>
        </w:rPr>
        <w:t>(3), 297–316.</w:t>
      </w:r>
    </w:p>
  </w:endnote>
  <w:endnote w:id="121">
    <w:p w14:paraId="03B681A3" w14:textId="4FD83073" w:rsidR="00596D01" w:rsidRPr="003E0727" w:rsidRDefault="00596D01" w:rsidP="00587ADD">
      <w:pPr>
        <w:pStyle w:val="EndnoteText"/>
        <w:rPr>
          <w:rFonts w:cs="Arial"/>
          <w:sz w:val="22"/>
          <w:szCs w:val="22"/>
        </w:rPr>
      </w:pPr>
      <w:r w:rsidRPr="003E3820">
        <w:rPr>
          <w:rStyle w:val="EndnoteReference"/>
          <w:rFonts w:cs="Arial"/>
          <w:sz w:val="22"/>
          <w:szCs w:val="22"/>
        </w:rPr>
        <w:endnoteRef/>
      </w:r>
      <w:r w:rsidRPr="003E3820">
        <w:rPr>
          <w:rFonts w:cs="Arial"/>
          <w:sz w:val="22"/>
          <w:szCs w:val="22"/>
        </w:rPr>
        <w:t xml:space="preserve"> </w:t>
      </w:r>
      <w:r w:rsidR="00F571D4" w:rsidRPr="003E3820">
        <w:rPr>
          <w:rFonts w:cs="Arial"/>
          <w:sz w:val="22"/>
          <w:szCs w:val="22"/>
        </w:rPr>
        <w:t xml:space="preserve">The Alliance for Inclusive Education (ALLFIE), (2024). </w:t>
      </w:r>
      <w:hyperlink r:id="rId120" w:history="1">
        <w:r w:rsidR="00F571D4" w:rsidRPr="003E3820">
          <w:rPr>
            <w:rStyle w:val="Hyperlink"/>
            <w:rFonts w:cs="Arial"/>
            <w:sz w:val="22"/>
            <w:szCs w:val="22"/>
          </w:rPr>
          <w:t>Lived Experience of Black/Global Majority Disabled Pupils and their Families in Mainstream Education</w:t>
        </w:r>
      </w:hyperlink>
    </w:p>
  </w:endnote>
  <w:endnote w:id="122">
    <w:p w14:paraId="0B980EC7" w14:textId="56B7D60E" w:rsidR="00596D01" w:rsidRPr="00047CBD" w:rsidRDefault="00596D01" w:rsidP="00587ADD">
      <w:pPr>
        <w:pStyle w:val="EndnoteText"/>
        <w:rPr>
          <w:rFonts w:cs="Arial"/>
          <w:sz w:val="22"/>
          <w:szCs w:val="22"/>
        </w:rPr>
      </w:pPr>
      <w:r w:rsidRPr="00047CBD">
        <w:rPr>
          <w:rStyle w:val="EndnoteReference"/>
          <w:rFonts w:cs="Arial"/>
          <w:sz w:val="22"/>
          <w:szCs w:val="22"/>
        </w:rPr>
        <w:endnoteRef/>
      </w:r>
      <w:r w:rsidRPr="00047CBD">
        <w:rPr>
          <w:rFonts w:cs="Arial"/>
          <w:sz w:val="22"/>
          <w:szCs w:val="22"/>
        </w:rPr>
        <w:t xml:space="preserve"> </w:t>
      </w:r>
      <w:r w:rsidR="00F571D4" w:rsidRPr="00047CBD">
        <w:rPr>
          <w:rFonts w:cs="Arial"/>
          <w:sz w:val="22"/>
          <w:szCs w:val="22"/>
        </w:rPr>
        <w:t xml:space="preserve">Nnalue, C., &amp; Mahmud, A. (2025). </w:t>
      </w:r>
      <w:hyperlink r:id="rId121" w:history="1">
        <w:r w:rsidR="00F571D4" w:rsidRPr="00047CBD">
          <w:rPr>
            <w:rStyle w:val="Hyperlink"/>
            <w:rFonts w:cs="Arial"/>
            <w:sz w:val="22"/>
            <w:szCs w:val="22"/>
          </w:rPr>
          <w:t>The experiences of Black African parents on partnership: Working with education professionals in the English special education needs and disability system</w:t>
        </w:r>
      </w:hyperlink>
      <w:r w:rsidR="00F571D4" w:rsidRPr="00047CBD">
        <w:rPr>
          <w:rFonts w:cs="Arial"/>
          <w:sz w:val="22"/>
          <w:szCs w:val="22"/>
        </w:rPr>
        <w:t>. </w:t>
      </w:r>
      <w:r w:rsidR="00F571D4" w:rsidRPr="00047CBD">
        <w:rPr>
          <w:rFonts w:cs="Arial"/>
          <w:i/>
          <w:iCs/>
          <w:sz w:val="22"/>
          <w:szCs w:val="22"/>
        </w:rPr>
        <w:t>Equity in Education &amp; Society</w:t>
      </w:r>
      <w:r w:rsidR="00F571D4" w:rsidRPr="00047CBD">
        <w:rPr>
          <w:rFonts w:cs="Arial"/>
          <w:sz w:val="22"/>
          <w:szCs w:val="22"/>
        </w:rPr>
        <w:t>, </w:t>
      </w:r>
      <w:r w:rsidR="00F571D4" w:rsidRPr="00047CBD">
        <w:rPr>
          <w:rFonts w:cs="Arial"/>
          <w:i/>
          <w:iCs/>
          <w:sz w:val="22"/>
          <w:szCs w:val="22"/>
        </w:rPr>
        <w:t>4</w:t>
      </w:r>
      <w:r w:rsidR="00F571D4" w:rsidRPr="00047CBD">
        <w:rPr>
          <w:rFonts w:cs="Arial"/>
          <w:sz w:val="22"/>
          <w:szCs w:val="22"/>
        </w:rPr>
        <w:t>(3), 383-399.</w:t>
      </w:r>
    </w:p>
  </w:endnote>
  <w:endnote w:id="123">
    <w:p w14:paraId="5B801A74" w14:textId="4757805F" w:rsidR="00F571D4" w:rsidRPr="00047CBD" w:rsidRDefault="00596D01" w:rsidP="00587ADD">
      <w:pPr>
        <w:pStyle w:val="EndnoteText"/>
        <w:rPr>
          <w:rFonts w:cs="Arial"/>
          <w:sz w:val="22"/>
          <w:szCs w:val="22"/>
        </w:rPr>
      </w:pPr>
      <w:r w:rsidRPr="00047CBD">
        <w:rPr>
          <w:rStyle w:val="EndnoteReference"/>
          <w:rFonts w:cs="Arial"/>
          <w:sz w:val="22"/>
          <w:szCs w:val="22"/>
        </w:rPr>
        <w:endnoteRef/>
      </w:r>
      <w:r w:rsidRPr="00047CBD">
        <w:rPr>
          <w:rFonts w:cs="Arial"/>
          <w:sz w:val="22"/>
          <w:szCs w:val="22"/>
        </w:rPr>
        <w:t xml:space="preserve"> </w:t>
      </w:r>
      <w:r w:rsidR="00DA1C24" w:rsidRPr="00047CBD">
        <w:rPr>
          <w:rFonts w:cs="Arial"/>
          <w:sz w:val="22"/>
          <w:szCs w:val="22"/>
        </w:rPr>
        <w:t xml:space="preserve">Joseph, A. (2020). </w:t>
      </w:r>
      <w:hyperlink r:id="rId122" w:history="1">
        <w:r w:rsidR="00DA1C24" w:rsidRPr="00047CBD">
          <w:rPr>
            <w:rStyle w:val="Hyperlink"/>
            <w:rFonts w:cs="Arial"/>
            <w:sz w:val="22"/>
            <w:szCs w:val="22"/>
          </w:rPr>
          <w:t>Navigating neoliberal school spaces: Parent and school staff perspectives on racially disproportional school exclusions in England</w:t>
        </w:r>
      </w:hyperlink>
      <w:r w:rsidR="00DA1C24" w:rsidRPr="00047CBD">
        <w:rPr>
          <w:rFonts w:cs="Arial"/>
          <w:sz w:val="22"/>
          <w:szCs w:val="22"/>
        </w:rPr>
        <w:t>. </w:t>
      </w:r>
      <w:r w:rsidR="00DA1C24" w:rsidRPr="00047CBD">
        <w:rPr>
          <w:rFonts w:cs="Arial"/>
          <w:i/>
          <w:iCs/>
          <w:sz w:val="22"/>
          <w:szCs w:val="22"/>
        </w:rPr>
        <w:t>International Social Work</w:t>
      </w:r>
      <w:r w:rsidR="00DA1C24" w:rsidRPr="00047CBD">
        <w:rPr>
          <w:rFonts w:cs="Arial"/>
          <w:sz w:val="22"/>
          <w:szCs w:val="22"/>
        </w:rPr>
        <w:t>, </w:t>
      </w:r>
      <w:r w:rsidR="00DA1C24" w:rsidRPr="00047CBD">
        <w:rPr>
          <w:rFonts w:cs="Arial"/>
          <w:i/>
          <w:iCs/>
          <w:sz w:val="22"/>
          <w:szCs w:val="22"/>
        </w:rPr>
        <w:t>63</w:t>
      </w:r>
      <w:r w:rsidR="00DA1C24" w:rsidRPr="00047CBD">
        <w:rPr>
          <w:rFonts w:cs="Arial"/>
          <w:sz w:val="22"/>
          <w:szCs w:val="22"/>
        </w:rPr>
        <w:t>(4), 445-458.</w:t>
      </w:r>
    </w:p>
  </w:endnote>
  <w:endnote w:id="124">
    <w:p w14:paraId="55337DA9" w14:textId="778FA295" w:rsidR="001E743A" w:rsidRPr="00047CBD" w:rsidRDefault="001E743A" w:rsidP="00587ADD">
      <w:pPr>
        <w:pStyle w:val="EndnoteText"/>
        <w:rPr>
          <w:rFonts w:cs="Arial"/>
          <w:sz w:val="22"/>
          <w:szCs w:val="22"/>
        </w:rPr>
      </w:pPr>
      <w:r w:rsidRPr="00047CBD">
        <w:rPr>
          <w:rStyle w:val="EndnoteReference"/>
          <w:rFonts w:cs="Arial"/>
          <w:sz w:val="22"/>
          <w:szCs w:val="22"/>
        </w:rPr>
        <w:endnoteRef/>
      </w:r>
      <w:r w:rsidRPr="00047CBD">
        <w:rPr>
          <w:rFonts w:cs="Arial"/>
          <w:sz w:val="22"/>
          <w:szCs w:val="22"/>
        </w:rPr>
        <w:t xml:space="preserve"> </w:t>
      </w:r>
      <w:r w:rsidR="009D1580" w:rsidRPr="00047CBD">
        <w:rPr>
          <w:rFonts w:cs="Arial"/>
          <w:sz w:val="22"/>
          <w:szCs w:val="22"/>
        </w:rPr>
        <w:t xml:space="preserve">Jørgensen, C.R., Dobson, G., &amp; Perry, T. (2021). </w:t>
      </w:r>
      <w:hyperlink r:id="rId123" w:history="1">
        <w:r w:rsidR="009D1580" w:rsidRPr="00047CBD">
          <w:rPr>
            <w:rStyle w:val="Hyperlink"/>
            <w:rFonts w:cs="Arial"/>
            <w:sz w:val="22"/>
            <w:szCs w:val="22"/>
          </w:rPr>
          <w:t>Migrant children with special educational needs in European schools – a review of current issues and approaches</w:t>
        </w:r>
      </w:hyperlink>
      <w:r w:rsidR="009D1580" w:rsidRPr="00047CBD">
        <w:rPr>
          <w:rFonts w:cs="Arial"/>
          <w:sz w:val="22"/>
          <w:szCs w:val="22"/>
        </w:rPr>
        <w:t>. </w:t>
      </w:r>
      <w:r w:rsidR="009D1580" w:rsidRPr="00047CBD">
        <w:rPr>
          <w:rFonts w:cs="Arial"/>
          <w:i/>
          <w:iCs/>
          <w:sz w:val="22"/>
          <w:szCs w:val="22"/>
        </w:rPr>
        <w:t>European Journal of Special Needs Education</w:t>
      </w:r>
      <w:r w:rsidR="009D1580" w:rsidRPr="00047CBD">
        <w:rPr>
          <w:rFonts w:cs="Arial"/>
          <w:sz w:val="22"/>
          <w:szCs w:val="22"/>
        </w:rPr>
        <w:t>, </w:t>
      </w:r>
      <w:r w:rsidR="009D1580" w:rsidRPr="00047CBD">
        <w:rPr>
          <w:rFonts w:cs="Arial"/>
          <w:i/>
          <w:iCs/>
          <w:sz w:val="22"/>
          <w:szCs w:val="22"/>
        </w:rPr>
        <w:t>36</w:t>
      </w:r>
      <w:r w:rsidR="009D1580" w:rsidRPr="00047CBD">
        <w:rPr>
          <w:rFonts w:cs="Arial"/>
          <w:sz w:val="22"/>
          <w:szCs w:val="22"/>
        </w:rPr>
        <w:t>(3), 438–453.</w:t>
      </w:r>
    </w:p>
  </w:endnote>
  <w:endnote w:id="125">
    <w:p w14:paraId="2F78A3F8" w14:textId="6DBEE348" w:rsidR="009D1580" w:rsidRPr="00047CBD" w:rsidRDefault="00F5756A" w:rsidP="00587ADD">
      <w:pPr>
        <w:pStyle w:val="EndnoteText"/>
        <w:rPr>
          <w:rFonts w:cs="Arial"/>
          <w:sz w:val="22"/>
          <w:szCs w:val="22"/>
        </w:rPr>
      </w:pPr>
      <w:r w:rsidRPr="00047CBD">
        <w:rPr>
          <w:rStyle w:val="EndnoteReference"/>
          <w:rFonts w:cs="Arial"/>
          <w:sz w:val="22"/>
          <w:szCs w:val="22"/>
        </w:rPr>
        <w:endnoteRef/>
      </w:r>
      <w:r w:rsidRPr="00047CBD">
        <w:rPr>
          <w:rFonts w:cs="Arial"/>
          <w:sz w:val="22"/>
          <w:szCs w:val="22"/>
        </w:rPr>
        <w:t xml:space="preserve"> </w:t>
      </w:r>
      <w:r w:rsidR="009D1580" w:rsidRPr="00047CBD">
        <w:rPr>
          <w:rFonts w:cs="Arial"/>
          <w:sz w:val="22"/>
          <w:szCs w:val="22"/>
        </w:rPr>
        <w:t xml:space="preserve">Gillborn, D. (2015). </w:t>
      </w:r>
      <w:hyperlink r:id="rId124" w:history="1">
        <w:r w:rsidR="009D1580" w:rsidRPr="00047CBD">
          <w:rPr>
            <w:rStyle w:val="Hyperlink"/>
            <w:rFonts w:cs="Arial"/>
            <w:sz w:val="22"/>
            <w:szCs w:val="22"/>
          </w:rPr>
          <w:t>Intersectionality, Critical Race Theory, and the Primacy of Racism: Race, Class, Gender, and Disability in Education: Race, Class, Gender, and Disability in Education</w:t>
        </w:r>
      </w:hyperlink>
      <w:r w:rsidR="009D1580" w:rsidRPr="00047CBD">
        <w:rPr>
          <w:rFonts w:cs="Arial"/>
          <w:sz w:val="22"/>
          <w:szCs w:val="22"/>
        </w:rPr>
        <w:t xml:space="preserve"> </w:t>
      </w:r>
      <w:r w:rsidR="009D1580" w:rsidRPr="00047CBD">
        <w:rPr>
          <w:rFonts w:cs="Arial"/>
          <w:i/>
          <w:iCs/>
          <w:sz w:val="22"/>
          <w:szCs w:val="22"/>
        </w:rPr>
        <w:t>Qualitative Inquiry</w:t>
      </w:r>
      <w:r w:rsidR="009D1580" w:rsidRPr="00047CBD">
        <w:rPr>
          <w:rFonts w:cs="Arial"/>
          <w:sz w:val="22"/>
          <w:szCs w:val="22"/>
        </w:rPr>
        <w:t>, </w:t>
      </w:r>
      <w:r w:rsidR="009D1580" w:rsidRPr="00047CBD">
        <w:rPr>
          <w:rFonts w:cs="Arial"/>
          <w:i/>
          <w:iCs/>
          <w:sz w:val="22"/>
          <w:szCs w:val="22"/>
        </w:rPr>
        <w:t>21</w:t>
      </w:r>
      <w:r w:rsidR="009D1580" w:rsidRPr="00047CBD">
        <w:rPr>
          <w:rFonts w:cs="Arial"/>
          <w:sz w:val="22"/>
          <w:szCs w:val="22"/>
        </w:rPr>
        <w:t>(3), 277-287.</w:t>
      </w:r>
    </w:p>
  </w:endnote>
  <w:endnote w:id="126">
    <w:p w14:paraId="6AD103F4" w14:textId="7D8CA994" w:rsidR="00607620" w:rsidRPr="00047CBD" w:rsidRDefault="00607620" w:rsidP="00587ADD">
      <w:pPr>
        <w:pStyle w:val="EndnoteText"/>
        <w:rPr>
          <w:sz w:val="22"/>
          <w:szCs w:val="22"/>
        </w:rPr>
      </w:pPr>
      <w:r w:rsidRPr="00047CBD">
        <w:rPr>
          <w:rStyle w:val="EndnoteReference"/>
          <w:sz w:val="22"/>
          <w:szCs w:val="22"/>
        </w:rPr>
        <w:endnoteRef/>
      </w:r>
      <w:r w:rsidRPr="00047CBD">
        <w:rPr>
          <w:sz w:val="22"/>
          <w:szCs w:val="22"/>
        </w:rPr>
        <w:t xml:space="preserve"> </w:t>
      </w:r>
      <w:r w:rsidR="000C56EE" w:rsidRPr="00047CBD">
        <w:rPr>
          <w:sz w:val="22"/>
          <w:szCs w:val="22"/>
        </w:rPr>
        <w:t xml:space="preserve">Joseph, A. (2020). </w:t>
      </w:r>
      <w:hyperlink r:id="rId125" w:history="1">
        <w:r w:rsidR="000C56EE" w:rsidRPr="00047CBD">
          <w:rPr>
            <w:rStyle w:val="Hyperlink"/>
            <w:sz w:val="22"/>
            <w:szCs w:val="22"/>
          </w:rPr>
          <w:t>Navigating neoliberal school spaces: Parent and school staff perspectives on racially disproportional school exclusions in England</w:t>
        </w:r>
      </w:hyperlink>
      <w:r w:rsidR="000C56EE" w:rsidRPr="00047CBD">
        <w:rPr>
          <w:sz w:val="22"/>
          <w:szCs w:val="22"/>
        </w:rPr>
        <w:t>. </w:t>
      </w:r>
      <w:r w:rsidR="000C56EE" w:rsidRPr="00047CBD">
        <w:rPr>
          <w:i/>
          <w:iCs/>
          <w:sz w:val="22"/>
          <w:szCs w:val="22"/>
        </w:rPr>
        <w:t>International Social Work</w:t>
      </w:r>
      <w:r w:rsidR="000C56EE" w:rsidRPr="00047CBD">
        <w:rPr>
          <w:sz w:val="22"/>
          <w:szCs w:val="22"/>
        </w:rPr>
        <w:t>, </w:t>
      </w:r>
      <w:r w:rsidR="000C56EE" w:rsidRPr="00047CBD">
        <w:rPr>
          <w:i/>
          <w:iCs/>
          <w:sz w:val="22"/>
          <w:szCs w:val="22"/>
        </w:rPr>
        <w:t>63</w:t>
      </w:r>
      <w:r w:rsidR="000C56EE" w:rsidRPr="00047CBD">
        <w:rPr>
          <w:sz w:val="22"/>
          <w:szCs w:val="22"/>
        </w:rPr>
        <w:t>(4), 445-458.</w:t>
      </w:r>
    </w:p>
  </w:endnote>
  <w:endnote w:id="127">
    <w:p w14:paraId="3B2DC166" w14:textId="4F2221BD" w:rsidR="00A15773" w:rsidRPr="00047CBD" w:rsidRDefault="00A15773" w:rsidP="00587ADD">
      <w:pPr>
        <w:pStyle w:val="EndnoteText"/>
        <w:rPr>
          <w:sz w:val="22"/>
          <w:szCs w:val="22"/>
        </w:rPr>
      </w:pPr>
      <w:r w:rsidRPr="00047CBD">
        <w:rPr>
          <w:rStyle w:val="EndnoteReference"/>
          <w:sz w:val="22"/>
          <w:szCs w:val="22"/>
        </w:rPr>
        <w:endnoteRef/>
      </w:r>
      <w:r w:rsidRPr="00047CBD">
        <w:rPr>
          <w:sz w:val="22"/>
          <w:szCs w:val="22"/>
        </w:rPr>
        <w:t xml:space="preserve"> </w:t>
      </w:r>
      <w:r w:rsidR="000C56EE" w:rsidRPr="00047CBD">
        <w:rPr>
          <w:sz w:val="22"/>
          <w:szCs w:val="22"/>
        </w:rPr>
        <w:t xml:space="preserve">Gillborn, D. (2015). </w:t>
      </w:r>
      <w:hyperlink r:id="rId126" w:history="1">
        <w:r w:rsidR="000C56EE" w:rsidRPr="00047CBD">
          <w:rPr>
            <w:rStyle w:val="Hyperlink"/>
            <w:sz w:val="22"/>
            <w:szCs w:val="22"/>
          </w:rPr>
          <w:t>Intersectionality, Critical Race Theory, and the Primacy of Racism: Race, Class, Gender, and Disability in Education: Race, Class, Gender, and Disability in Education</w:t>
        </w:r>
      </w:hyperlink>
      <w:r w:rsidR="000C56EE" w:rsidRPr="00047CBD">
        <w:rPr>
          <w:sz w:val="22"/>
          <w:szCs w:val="22"/>
        </w:rPr>
        <w:t xml:space="preserve"> </w:t>
      </w:r>
      <w:r w:rsidR="000C56EE" w:rsidRPr="00047CBD">
        <w:rPr>
          <w:i/>
          <w:iCs/>
          <w:sz w:val="22"/>
          <w:szCs w:val="22"/>
        </w:rPr>
        <w:t>Qualitative Inquiry</w:t>
      </w:r>
      <w:r w:rsidR="000C56EE" w:rsidRPr="00047CBD">
        <w:rPr>
          <w:sz w:val="22"/>
          <w:szCs w:val="22"/>
        </w:rPr>
        <w:t>, </w:t>
      </w:r>
      <w:r w:rsidR="000C56EE" w:rsidRPr="00047CBD">
        <w:rPr>
          <w:i/>
          <w:iCs/>
          <w:sz w:val="22"/>
          <w:szCs w:val="22"/>
        </w:rPr>
        <w:t>21</w:t>
      </w:r>
      <w:r w:rsidR="000C56EE" w:rsidRPr="00047CBD">
        <w:rPr>
          <w:sz w:val="22"/>
          <w:szCs w:val="22"/>
        </w:rPr>
        <w:t>(3), 277-287.</w:t>
      </w:r>
    </w:p>
  </w:endnote>
  <w:endnote w:id="128">
    <w:p w14:paraId="3AEFEEA6" w14:textId="7299B00E" w:rsidR="00A05078" w:rsidRPr="00047CBD" w:rsidRDefault="00A05078" w:rsidP="00587ADD">
      <w:pPr>
        <w:pStyle w:val="EndnoteText"/>
        <w:rPr>
          <w:rFonts w:cs="Arial"/>
          <w:sz w:val="22"/>
          <w:szCs w:val="22"/>
        </w:rPr>
      </w:pPr>
      <w:r w:rsidRPr="00047CBD">
        <w:rPr>
          <w:rStyle w:val="EndnoteReference"/>
          <w:rFonts w:cs="Arial"/>
          <w:sz w:val="22"/>
          <w:szCs w:val="22"/>
        </w:rPr>
        <w:endnoteRef/>
      </w:r>
      <w:r w:rsidRPr="00047CBD">
        <w:rPr>
          <w:rFonts w:cs="Arial"/>
          <w:sz w:val="22"/>
          <w:szCs w:val="22"/>
        </w:rPr>
        <w:t xml:space="preserve"> </w:t>
      </w:r>
      <w:r w:rsidR="0049064C" w:rsidRPr="00047CBD">
        <w:rPr>
          <w:rFonts w:cs="Arial"/>
          <w:sz w:val="22"/>
          <w:szCs w:val="22"/>
        </w:rPr>
        <w:t xml:space="preserve">Nevers-Ashton, N. (2023). </w:t>
      </w:r>
      <w:hyperlink r:id="rId127" w:history="1">
        <w:r w:rsidR="0049064C" w:rsidRPr="00047CBD">
          <w:rPr>
            <w:rStyle w:val="Hyperlink"/>
            <w:rFonts w:cs="Arial"/>
            <w:sz w:val="22"/>
            <w:szCs w:val="22"/>
          </w:rPr>
          <w:t>“You’re black, I’m black”: art therapy, race, autism, and domestic abuse</w:t>
        </w:r>
      </w:hyperlink>
      <w:r w:rsidR="0049064C" w:rsidRPr="00047CBD">
        <w:rPr>
          <w:rFonts w:cs="Arial"/>
          <w:sz w:val="22"/>
          <w:szCs w:val="22"/>
        </w:rPr>
        <w:t xml:space="preserve">. </w:t>
      </w:r>
      <w:r w:rsidR="0049064C" w:rsidRPr="00047CBD">
        <w:rPr>
          <w:rFonts w:cs="Arial"/>
          <w:i/>
          <w:iCs/>
          <w:sz w:val="22"/>
          <w:szCs w:val="22"/>
        </w:rPr>
        <w:t>International Journal of Art Therapy</w:t>
      </w:r>
      <w:r w:rsidR="0049064C" w:rsidRPr="00047CBD">
        <w:rPr>
          <w:rFonts w:cs="Arial"/>
          <w:sz w:val="22"/>
          <w:szCs w:val="22"/>
        </w:rPr>
        <w:t>, 28(1/2), 20–27.</w:t>
      </w:r>
    </w:p>
  </w:endnote>
  <w:endnote w:id="129">
    <w:p w14:paraId="64200576" w14:textId="2C4ED43A" w:rsidR="006C43AB" w:rsidRPr="00047CBD" w:rsidRDefault="006C43AB" w:rsidP="00587ADD">
      <w:pPr>
        <w:pStyle w:val="EndnoteText"/>
        <w:rPr>
          <w:rFonts w:cs="Arial"/>
          <w:sz w:val="22"/>
          <w:szCs w:val="22"/>
        </w:rPr>
      </w:pPr>
      <w:r w:rsidRPr="00047CBD">
        <w:rPr>
          <w:rStyle w:val="EndnoteReference"/>
          <w:rFonts w:cs="Arial"/>
          <w:sz w:val="22"/>
          <w:szCs w:val="22"/>
        </w:rPr>
        <w:endnoteRef/>
      </w:r>
      <w:r w:rsidRPr="00047CBD">
        <w:rPr>
          <w:rFonts w:cs="Arial"/>
          <w:sz w:val="22"/>
          <w:szCs w:val="22"/>
        </w:rPr>
        <w:t xml:space="preserve"> </w:t>
      </w:r>
      <w:r w:rsidR="00935EAC" w:rsidRPr="00047CBD">
        <w:rPr>
          <w:rFonts w:cs="Arial"/>
          <w:sz w:val="22"/>
          <w:szCs w:val="22"/>
        </w:rPr>
        <w:t xml:space="preserve">The Alliance for Inclusive Education (ALLFIE), (2024). </w:t>
      </w:r>
      <w:hyperlink r:id="rId128" w:history="1">
        <w:r w:rsidR="00935EAC" w:rsidRPr="00047CBD">
          <w:rPr>
            <w:rStyle w:val="Hyperlink"/>
            <w:rFonts w:cs="Arial"/>
            <w:sz w:val="22"/>
            <w:szCs w:val="22"/>
          </w:rPr>
          <w:t>Lived Experience of Black/Global Majority Disabled Pupils and their Families in Mainstream Education</w:t>
        </w:r>
      </w:hyperlink>
    </w:p>
  </w:endnote>
  <w:endnote w:id="130">
    <w:p w14:paraId="3B7E66D2" w14:textId="6BA00EE1" w:rsidR="006C43AB" w:rsidRPr="00047CBD" w:rsidRDefault="006C43AB" w:rsidP="00587ADD">
      <w:pPr>
        <w:pStyle w:val="EndnoteText"/>
        <w:rPr>
          <w:rFonts w:cs="Arial"/>
          <w:sz w:val="22"/>
          <w:szCs w:val="22"/>
        </w:rPr>
      </w:pPr>
      <w:r w:rsidRPr="00047CBD">
        <w:rPr>
          <w:rStyle w:val="EndnoteReference"/>
          <w:rFonts w:cs="Arial"/>
          <w:sz w:val="22"/>
          <w:szCs w:val="22"/>
        </w:rPr>
        <w:endnoteRef/>
      </w:r>
      <w:r w:rsidRPr="00047CBD">
        <w:rPr>
          <w:rFonts w:cs="Arial"/>
          <w:sz w:val="22"/>
          <w:szCs w:val="22"/>
        </w:rPr>
        <w:t xml:space="preserve"> </w:t>
      </w:r>
      <w:r w:rsidR="00935EAC" w:rsidRPr="00047CBD">
        <w:rPr>
          <w:rFonts w:cs="Arial"/>
          <w:sz w:val="22"/>
          <w:szCs w:val="22"/>
        </w:rPr>
        <w:t xml:space="preserve">Nnalue, C., &amp; Mahmud, A. (2025). </w:t>
      </w:r>
      <w:hyperlink r:id="rId129" w:history="1">
        <w:r w:rsidR="00935EAC" w:rsidRPr="00047CBD">
          <w:rPr>
            <w:rStyle w:val="Hyperlink"/>
            <w:rFonts w:cs="Arial"/>
            <w:sz w:val="22"/>
            <w:szCs w:val="22"/>
          </w:rPr>
          <w:t>The experiences of Black African parents on partnership: Working with education professionals in the English special education needs and disability system</w:t>
        </w:r>
      </w:hyperlink>
      <w:r w:rsidR="00935EAC" w:rsidRPr="00047CBD">
        <w:rPr>
          <w:rFonts w:cs="Arial"/>
          <w:sz w:val="22"/>
          <w:szCs w:val="22"/>
        </w:rPr>
        <w:t>. </w:t>
      </w:r>
      <w:r w:rsidR="00935EAC" w:rsidRPr="00047CBD">
        <w:rPr>
          <w:rFonts w:cs="Arial"/>
          <w:i/>
          <w:iCs/>
          <w:sz w:val="22"/>
          <w:szCs w:val="22"/>
        </w:rPr>
        <w:t>Equity in Education &amp; Society</w:t>
      </w:r>
      <w:r w:rsidR="00935EAC" w:rsidRPr="00047CBD">
        <w:rPr>
          <w:rFonts w:cs="Arial"/>
          <w:sz w:val="22"/>
          <w:szCs w:val="22"/>
        </w:rPr>
        <w:t>, </w:t>
      </w:r>
      <w:r w:rsidR="00935EAC" w:rsidRPr="00047CBD">
        <w:rPr>
          <w:rFonts w:cs="Arial"/>
          <w:i/>
          <w:iCs/>
          <w:sz w:val="22"/>
          <w:szCs w:val="22"/>
        </w:rPr>
        <w:t>4</w:t>
      </w:r>
      <w:r w:rsidR="00935EAC" w:rsidRPr="00047CBD">
        <w:rPr>
          <w:rFonts w:cs="Arial"/>
          <w:sz w:val="22"/>
          <w:szCs w:val="22"/>
        </w:rPr>
        <w:t>(3), 383-399.</w:t>
      </w:r>
    </w:p>
  </w:endnote>
  <w:endnote w:id="131">
    <w:p w14:paraId="7B3B4FCA" w14:textId="5E94BD5C" w:rsidR="006C43AB" w:rsidRPr="00047CBD" w:rsidRDefault="006C43AB" w:rsidP="00587ADD">
      <w:pPr>
        <w:pStyle w:val="EndnoteText"/>
        <w:rPr>
          <w:rFonts w:cs="Arial"/>
          <w:sz w:val="22"/>
          <w:szCs w:val="22"/>
        </w:rPr>
      </w:pPr>
      <w:r w:rsidRPr="00047CBD">
        <w:rPr>
          <w:rStyle w:val="EndnoteReference"/>
          <w:rFonts w:cs="Arial"/>
          <w:sz w:val="22"/>
          <w:szCs w:val="22"/>
        </w:rPr>
        <w:endnoteRef/>
      </w:r>
      <w:r w:rsidRPr="00047CBD">
        <w:rPr>
          <w:rFonts w:cs="Arial"/>
          <w:sz w:val="22"/>
          <w:szCs w:val="22"/>
        </w:rPr>
        <w:t xml:space="preserve"> </w:t>
      </w:r>
      <w:r w:rsidR="00935EAC" w:rsidRPr="00047CBD">
        <w:rPr>
          <w:rFonts w:cs="Arial"/>
          <w:sz w:val="22"/>
          <w:szCs w:val="22"/>
        </w:rPr>
        <w:t xml:space="preserve">Nevers-Ashton, N. (2023). </w:t>
      </w:r>
      <w:hyperlink r:id="rId130" w:history="1">
        <w:r w:rsidR="00935EAC" w:rsidRPr="00047CBD">
          <w:rPr>
            <w:rStyle w:val="Hyperlink"/>
            <w:rFonts w:cs="Arial"/>
            <w:sz w:val="22"/>
            <w:szCs w:val="22"/>
          </w:rPr>
          <w:t>“You’re black, I’m black”: art therapy, race, autism, and domestic abuse</w:t>
        </w:r>
      </w:hyperlink>
      <w:r w:rsidR="00935EAC" w:rsidRPr="00047CBD">
        <w:rPr>
          <w:rFonts w:cs="Arial"/>
          <w:sz w:val="22"/>
          <w:szCs w:val="22"/>
        </w:rPr>
        <w:t xml:space="preserve">. </w:t>
      </w:r>
      <w:r w:rsidR="00935EAC" w:rsidRPr="00047CBD">
        <w:rPr>
          <w:rFonts w:cs="Arial"/>
          <w:i/>
          <w:iCs/>
          <w:sz w:val="22"/>
          <w:szCs w:val="22"/>
        </w:rPr>
        <w:t>International Journal of Art Therapy</w:t>
      </w:r>
      <w:r w:rsidR="00935EAC" w:rsidRPr="00047CBD">
        <w:rPr>
          <w:rFonts w:cs="Arial"/>
          <w:sz w:val="22"/>
          <w:szCs w:val="22"/>
        </w:rPr>
        <w:t>, 28(1/2), 20–27.</w:t>
      </w:r>
    </w:p>
  </w:endnote>
  <w:endnote w:id="132">
    <w:p w14:paraId="5390D477" w14:textId="15D515DA" w:rsidR="00C476B3" w:rsidRPr="00047CBD" w:rsidRDefault="00C476B3" w:rsidP="00587ADD">
      <w:pPr>
        <w:pStyle w:val="EndnoteText"/>
        <w:rPr>
          <w:rFonts w:cs="Arial"/>
          <w:sz w:val="22"/>
          <w:szCs w:val="22"/>
        </w:rPr>
      </w:pPr>
      <w:r w:rsidRPr="00047CBD">
        <w:rPr>
          <w:rStyle w:val="EndnoteReference"/>
          <w:rFonts w:cs="Arial"/>
          <w:sz w:val="22"/>
          <w:szCs w:val="22"/>
        </w:rPr>
        <w:endnoteRef/>
      </w:r>
      <w:r w:rsidRPr="00047CBD">
        <w:rPr>
          <w:rFonts w:cs="Arial"/>
          <w:sz w:val="22"/>
          <w:szCs w:val="22"/>
        </w:rPr>
        <w:t xml:space="preserve"> </w:t>
      </w:r>
      <w:r w:rsidR="00E62C92" w:rsidRPr="00047CBD">
        <w:rPr>
          <w:rFonts w:cs="Arial"/>
          <w:sz w:val="22"/>
          <w:szCs w:val="22"/>
        </w:rPr>
        <w:t>Kashyap, K. (2018)</w:t>
      </w:r>
      <w:r w:rsidR="0098699A">
        <w:rPr>
          <w:rFonts w:cs="Arial"/>
          <w:sz w:val="22"/>
          <w:szCs w:val="22"/>
        </w:rPr>
        <w:t>.</w:t>
      </w:r>
      <w:r w:rsidR="00E62C92" w:rsidRPr="00047CBD">
        <w:rPr>
          <w:rFonts w:cs="Arial"/>
          <w:sz w:val="22"/>
          <w:szCs w:val="22"/>
        </w:rPr>
        <w:t xml:space="preserve"> </w:t>
      </w:r>
      <w:hyperlink r:id="rId131" w:history="1">
        <w:r w:rsidR="00E62C92" w:rsidRPr="00047CBD">
          <w:rPr>
            <w:rStyle w:val="Hyperlink"/>
            <w:rFonts w:cs="Arial"/>
            <w:sz w:val="22"/>
            <w:szCs w:val="22"/>
          </w:rPr>
          <w:t>Written evidence from Kathryn Kashyap, PhD candidate at the Institute of Education, University College London. SCN0276.</w:t>
        </w:r>
      </w:hyperlink>
      <w:r w:rsidR="00E62C92" w:rsidRPr="00047CBD">
        <w:rPr>
          <w:rFonts w:cs="Arial"/>
          <w:sz w:val="22"/>
          <w:szCs w:val="22"/>
        </w:rPr>
        <w:t xml:space="preserve"> </w:t>
      </w:r>
      <w:r w:rsidR="00E62C92" w:rsidRPr="00047CBD">
        <w:rPr>
          <w:rFonts w:cs="Arial"/>
          <w:i/>
          <w:iCs/>
          <w:sz w:val="22"/>
          <w:szCs w:val="22"/>
        </w:rPr>
        <w:t>UK Parliament</w:t>
      </w:r>
      <w:r w:rsidR="001C1F7C" w:rsidRPr="00047CBD">
        <w:rPr>
          <w:rFonts w:cs="Arial"/>
          <w:sz w:val="22"/>
          <w:szCs w:val="22"/>
        </w:rPr>
        <w:t>.</w:t>
      </w:r>
    </w:p>
  </w:endnote>
  <w:endnote w:id="133">
    <w:p w14:paraId="29DD7E6C" w14:textId="2DA99932" w:rsidR="00E62C92" w:rsidRPr="00047CBD" w:rsidRDefault="009F53EA" w:rsidP="00587ADD">
      <w:pPr>
        <w:pStyle w:val="EndnoteText"/>
        <w:rPr>
          <w:rFonts w:cs="Arial"/>
          <w:sz w:val="22"/>
          <w:szCs w:val="22"/>
        </w:rPr>
      </w:pPr>
      <w:r w:rsidRPr="00047CBD">
        <w:rPr>
          <w:rStyle w:val="EndnoteReference"/>
          <w:rFonts w:cs="Arial"/>
          <w:sz w:val="22"/>
          <w:szCs w:val="22"/>
        </w:rPr>
        <w:endnoteRef/>
      </w:r>
      <w:r w:rsidRPr="00047CBD">
        <w:rPr>
          <w:rFonts w:cs="Arial"/>
          <w:sz w:val="22"/>
          <w:szCs w:val="22"/>
        </w:rPr>
        <w:t xml:space="preserve"> </w:t>
      </w:r>
      <w:r w:rsidR="00C33E22" w:rsidRPr="00047CBD">
        <w:rPr>
          <w:rFonts w:cs="Arial"/>
          <w:sz w:val="22"/>
          <w:szCs w:val="22"/>
        </w:rPr>
        <w:t xml:space="preserve">Special Needs Jungle, (2022). </w:t>
      </w:r>
      <w:hyperlink r:id="rId132" w:history="1">
        <w:r w:rsidR="00C33E22" w:rsidRPr="00047CBD">
          <w:rPr>
            <w:rStyle w:val="Hyperlink"/>
            <w:rFonts w:cs="Arial"/>
            <w:sz w:val="22"/>
            <w:szCs w:val="22"/>
          </w:rPr>
          <w:t>Intersectionality in SEND: Families experiences in schools</w:t>
        </w:r>
      </w:hyperlink>
    </w:p>
  </w:endnote>
  <w:endnote w:id="134">
    <w:p w14:paraId="73DD2776" w14:textId="04481ED0" w:rsidR="006C43AB" w:rsidRPr="00047CBD" w:rsidRDefault="006C43AB" w:rsidP="00587ADD">
      <w:pPr>
        <w:pStyle w:val="EndnoteText"/>
        <w:rPr>
          <w:rFonts w:cs="Arial"/>
          <w:sz w:val="22"/>
          <w:szCs w:val="22"/>
        </w:rPr>
      </w:pPr>
      <w:r w:rsidRPr="00047CBD">
        <w:rPr>
          <w:rStyle w:val="EndnoteReference"/>
          <w:rFonts w:cs="Arial"/>
          <w:sz w:val="22"/>
          <w:szCs w:val="22"/>
        </w:rPr>
        <w:endnoteRef/>
      </w:r>
      <w:r w:rsidRPr="00047CBD">
        <w:rPr>
          <w:rFonts w:cs="Arial"/>
          <w:sz w:val="22"/>
          <w:szCs w:val="22"/>
        </w:rPr>
        <w:t xml:space="preserve"> </w:t>
      </w:r>
      <w:r w:rsidR="00B75D5E" w:rsidRPr="00047CBD">
        <w:rPr>
          <w:rFonts w:cs="Arial"/>
          <w:sz w:val="22"/>
          <w:szCs w:val="22"/>
        </w:rPr>
        <w:t xml:space="preserve">Gillborn, D. (2015). </w:t>
      </w:r>
      <w:hyperlink r:id="rId133" w:history="1">
        <w:r w:rsidR="00B75D5E" w:rsidRPr="00047CBD">
          <w:rPr>
            <w:rStyle w:val="Hyperlink"/>
            <w:rFonts w:cs="Arial"/>
            <w:sz w:val="22"/>
            <w:szCs w:val="22"/>
          </w:rPr>
          <w:t>Intersectionality, Critical Race Theory, and the Primacy of Racism: Race, Class, Gender, and Disability in Education: Race, Class, Gender, and Disability in Education</w:t>
        </w:r>
      </w:hyperlink>
      <w:r w:rsidR="00B75D5E" w:rsidRPr="00047CBD">
        <w:rPr>
          <w:rFonts w:cs="Arial"/>
          <w:sz w:val="22"/>
          <w:szCs w:val="22"/>
        </w:rPr>
        <w:t xml:space="preserve"> </w:t>
      </w:r>
      <w:r w:rsidR="00B75D5E" w:rsidRPr="00047CBD">
        <w:rPr>
          <w:rFonts w:cs="Arial"/>
          <w:i/>
          <w:iCs/>
          <w:sz w:val="22"/>
          <w:szCs w:val="22"/>
        </w:rPr>
        <w:t>Qualitative Inquiry</w:t>
      </w:r>
      <w:r w:rsidR="00B75D5E" w:rsidRPr="00047CBD">
        <w:rPr>
          <w:rFonts w:cs="Arial"/>
          <w:sz w:val="22"/>
          <w:szCs w:val="22"/>
        </w:rPr>
        <w:t>, </w:t>
      </w:r>
      <w:r w:rsidR="00B75D5E" w:rsidRPr="00047CBD">
        <w:rPr>
          <w:rFonts w:cs="Arial"/>
          <w:i/>
          <w:iCs/>
          <w:sz w:val="22"/>
          <w:szCs w:val="22"/>
        </w:rPr>
        <w:t>21</w:t>
      </w:r>
      <w:r w:rsidR="00B75D5E" w:rsidRPr="00047CBD">
        <w:rPr>
          <w:rFonts w:cs="Arial"/>
          <w:sz w:val="22"/>
          <w:szCs w:val="22"/>
        </w:rPr>
        <w:t>(3), 277-287.</w:t>
      </w:r>
    </w:p>
  </w:endnote>
  <w:endnote w:id="135">
    <w:p w14:paraId="5F4605B8" w14:textId="5DD2C3C3" w:rsidR="002D334B" w:rsidRPr="00047CBD" w:rsidRDefault="002D334B" w:rsidP="00587ADD">
      <w:pPr>
        <w:pStyle w:val="EndnoteText"/>
        <w:rPr>
          <w:b/>
          <w:bCs/>
          <w:sz w:val="22"/>
          <w:szCs w:val="22"/>
        </w:rPr>
      </w:pPr>
      <w:r w:rsidRPr="00047CBD">
        <w:rPr>
          <w:rStyle w:val="EndnoteReference"/>
          <w:sz w:val="22"/>
          <w:szCs w:val="22"/>
        </w:rPr>
        <w:endnoteRef/>
      </w:r>
      <w:r w:rsidRPr="00047CBD">
        <w:rPr>
          <w:sz w:val="22"/>
          <w:szCs w:val="22"/>
        </w:rPr>
        <w:t xml:space="preserve"> </w:t>
      </w:r>
      <w:r w:rsidR="00B75D5E" w:rsidRPr="00047CBD">
        <w:rPr>
          <w:sz w:val="22"/>
          <w:szCs w:val="22"/>
        </w:rPr>
        <w:t xml:space="preserve">Gillborn, D. (2015). </w:t>
      </w:r>
      <w:hyperlink r:id="rId134" w:history="1">
        <w:r w:rsidR="00B75D5E" w:rsidRPr="00047CBD">
          <w:rPr>
            <w:rStyle w:val="Hyperlink"/>
            <w:sz w:val="22"/>
            <w:szCs w:val="22"/>
          </w:rPr>
          <w:t>Intersectionality, Critical Race Theory, and the Primacy of Racism: Race, Class, Gender, and Disability in Education: Race, Class, Gender, and Disability in Education</w:t>
        </w:r>
      </w:hyperlink>
      <w:r w:rsidR="00B75D5E" w:rsidRPr="00047CBD">
        <w:rPr>
          <w:sz w:val="22"/>
          <w:szCs w:val="22"/>
        </w:rPr>
        <w:t xml:space="preserve"> </w:t>
      </w:r>
      <w:r w:rsidR="00B75D5E" w:rsidRPr="00047CBD">
        <w:rPr>
          <w:i/>
          <w:iCs/>
          <w:sz w:val="22"/>
          <w:szCs w:val="22"/>
        </w:rPr>
        <w:t>Qualitative Inquiry</w:t>
      </w:r>
      <w:r w:rsidR="00B75D5E" w:rsidRPr="00047CBD">
        <w:rPr>
          <w:sz w:val="22"/>
          <w:szCs w:val="22"/>
        </w:rPr>
        <w:t>, </w:t>
      </w:r>
      <w:r w:rsidR="00B75D5E" w:rsidRPr="00047CBD">
        <w:rPr>
          <w:i/>
          <w:iCs/>
          <w:sz w:val="22"/>
          <w:szCs w:val="22"/>
        </w:rPr>
        <w:t>21</w:t>
      </w:r>
      <w:r w:rsidR="00B75D5E" w:rsidRPr="00047CBD">
        <w:rPr>
          <w:sz w:val="22"/>
          <w:szCs w:val="22"/>
        </w:rPr>
        <w:t>(3), 277-287.</w:t>
      </w:r>
    </w:p>
  </w:endnote>
  <w:endnote w:id="136">
    <w:p w14:paraId="6520BE68" w14:textId="089D30B7" w:rsidR="00716745" w:rsidRPr="00047CBD" w:rsidRDefault="00716745" w:rsidP="00587ADD">
      <w:pPr>
        <w:pStyle w:val="EndnoteText"/>
        <w:rPr>
          <w:sz w:val="22"/>
          <w:szCs w:val="22"/>
        </w:rPr>
      </w:pPr>
      <w:r w:rsidRPr="00047CBD">
        <w:rPr>
          <w:rStyle w:val="EndnoteReference"/>
          <w:sz w:val="22"/>
          <w:szCs w:val="22"/>
        </w:rPr>
        <w:endnoteRef/>
      </w:r>
      <w:r w:rsidR="00D8139A" w:rsidRPr="00047CBD">
        <w:rPr>
          <w:sz w:val="22"/>
          <w:szCs w:val="22"/>
        </w:rPr>
        <w:t xml:space="preserve"> </w:t>
      </w:r>
      <w:r w:rsidR="00C125D0" w:rsidRPr="00047CBD">
        <w:rPr>
          <w:sz w:val="22"/>
          <w:szCs w:val="22"/>
        </w:rPr>
        <w:t xml:space="preserve">Special Needs Jungle, (2022). </w:t>
      </w:r>
      <w:hyperlink r:id="rId135" w:history="1">
        <w:r w:rsidR="00C125D0" w:rsidRPr="00047CBD">
          <w:rPr>
            <w:rStyle w:val="Hyperlink"/>
            <w:sz w:val="22"/>
            <w:szCs w:val="22"/>
          </w:rPr>
          <w:t>Intersectionality in SEND: Families experiences in schools</w:t>
        </w:r>
      </w:hyperlink>
    </w:p>
  </w:endnote>
  <w:endnote w:id="137">
    <w:p w14:paraId="71FB00BF" w14:textId="59A1F01B" w:rsidR="00700A41" w:rsidRPr="00047CBD" w:rsidRDefault="00700A41" w:rsidP="00587ADD">
      <w:pPr>
        <w:pStyle w:val="EndnoteText"/>
        <w:rPr>
          <w:rFonts w:cs="Arial"/>
          <w:sz w:val="22"/>
          <w:szCs w:val="22"/>
        </w:rPr>
      </w:pPr>
      <w:r w:rsidRPr="00047CBD">
        <w:rPr>
          <w:rStyle w:val="EndnoteReference"/>
          <w:rFonts w:cs="Arial"/>
          <w:sz w:val="22"/>
          <w:szCs w:val="22"/>
        </w:rPr>
        <w:endnoteRef/>
      </w:r>
      <w:r w:rsidRPr="00047CBD">
        <w:rPr>
          <w:rFonts w:cs="Arial"/>
          <w:sz w:val="22"/>
          <w:szCs w:val="22"/>
        </w:rPr>
        <w:t xml:space="preserve"> </w:t>
      </w:r>
      <w:r w:rsidR="0088745C" w:rsidRPr="00047CBD">
        <w:rPr>
          <w:rFonts w:cs="Arial"/>
          <w:sz w:val="22"/>
          <w:szCs w:val="22"/>
        </w:rPr>
        <w:t xml:space="preserve">Joseph, A. (2020). </w:t>
      </w:r>
      <w:hyperlink r:id="rId136" w:history="1">
        <w:r w:rsidR="0088745C" w:rsidRPr="00047CBD">
          <w:rPr>
            <w:rStyle w:val="Hyperlink"/>
            <w:rFonts w:cs="Arial"/>
            <w:sz w:val="22"/>
            <w:szCs w:val="22"/>
          </w:rPr>
          <w:t>Navigating neoliberal school spaces: Parent and school staff perspectives on racially disproportional school exclusions in England</w:t>
        </w:r>
      </w:hyperlink>
      <w:r w:rsidR="0088745C" w:rsidRPr="00047CBD">
        <w:rPr>
          <w:rFonts w:cs="Arial"/>
          <w:sz w:val="22"/>
          <w:szCs w:val="22"/>
        </w:rPr>
        <w:t>. </w:t>
      </w:r>
      <w:r w:rsidR="0088745C" w:rsidRPr="00047CBD">
        <w:rPr>
          <w:rFonts w:cs="Arial"/>
          <w:i/>
          <w:iCs/>
          <w:sz w:val="22"/>
          <w:szCs w:val="22"/>
        </w:rPr>
        <w:t>International Social Work</w:t>
      </w:r>
      <w:r w:rsidR="0088745C" w:rsidRPr="00047CBD">
        <w:rPr>
          <w:rFonts w:cs="Arial"/>
          <w:sz w:val="22"/>
          <w:szCs w:val="22"/>
        </w:rPr>
        <w:t>, </w:t>
      </w:r>
      <w:r w:rsidR="0088745C" w:rsidRPr="00047CBD">
        <w:rPr>
          <w:rFonts w:cs="Arial"/>
          <w:i/>
          <w:iCs/>
          <w:sz w:val="22"/>
          <w:szCs w:val="22"/>
        </w:rPr>
        <w:t>63</w:t>
      </w:r>
      <w:r w:rsidR="0088745C" w:rsidRPr="00047CBD">
        <w:rPr>
          <w:rFonts w:cs="Arial"/>
          <w:sz w:val="22"/>
          <w:szCs w:val="22"/>
        </w:rPr>
        <w:t>(4), 445-458.</w:t>
      </w:r>
    </w:p>
  </w:endnote>
  <w:endnote w:id="138">
    <w:p w14:paraId="751025A7" w14:textId="0443F785" w:rsidR="00E50601" w:rsidRPr="00047CBD" w:rsidRDefault="00E50601" w:rsidP="00587ADD">
      <w:pPr>
        <w:pStyle w:val="EndnoteText"/>
        <w:rPr>
          <w:sz w:val="22"/>
          <w:szCs w:val="22"/>
        </w:rPr>
      </w:pPr>
      <w:r w:rsidRPr="00047CBD">
        <w:rPr>
          <w:rStyle w:val="EndnoteReference"/>
          <w:sz w:val="22"/>
          <w:szCs w:val="22"/>
        </w:rPr>
        <w:endnoteRef/>
      </w:r>
      <w:r w:rsidRPr="00047CBD">
        <w:rPr>
          <w:sz w:val="22"/>
          <w:szCs w:val="22"/>
        </w:rPr>
        <w:t xml:space="preserve"> </w:t>
      </w:r>
      <w:r w:rsidR="003020AE" w:rsidRPr="00047CBD">
        <w:rPr>
          <w:sz w:val="22"/>
          <w:szCs w:val="22"/>
        </w:rPr>
        <w:t xml:space="preserve">The Alliance for Inclusive Education (ALLFIE), (2024). </w:t>
      </w:r>
      <w:hyperlink r:id="rId137" w:history="1">
        <w:r w:rsidR="003020AE" w:rsidRPr="00047CBD">
          <w:rPr>
            <w:rStyle w:val="Hyperlink"/>
            <w:sz w:val="22"/>
            <w:szCs w:val="22"/>
          </w:rPr>
          <w:t>Lived Experience of Black/Global Majority Disabled Pupils and their Families in Mainstream Education</w:t>
        </w:r>
      </w:hyperlink>
    </w:p>
  </w:endnote>
  <w:endnote w:id="139">
    <w:p w14:paraId="4216D6C6" w14:textId="708B4C98" w:rsidR="00E50601" w:rsidRPr="00047CBD" w:rsidRDefault="00E50601" w:rsidP="00587ADD">
      <w:pPr>
        <w:pStyle w:val="EndnoteText"/>
        <w:rPr>
          <w:sz w:val="22"/>
          <w:szCs w:val="22"/>
        </w:rPr>
      </w:pPr>
      <w:r w:rsidRPr="00047CBD">
        <w:rPr>
          <w:rStyle w:val="EndnoteReference"/>
          <w:sz w:val="22"/>
          <w:szCs w:val="22"/>
        </w:rPr>
        <w:endnoteRef/>
      </w:r>
      <w:r w:rsidRPr="00047CBD">
        <w:rPr>
          <w:sz w:val="22"/>
          <w:szCs w:val="22"/>
        </w:rPr>
        <w:t xml:space="preserve"> </w:t>
      </w:r>
      <w:r w:rsidR="00871388" w:rsidRPr="00047CBD">
        <w:rPr>
          <w:sz w:val="22"/>
          <w:szCs w:val="22"/>
        </w:rPr>
        <w:t xml:space="preserve">Nnalue, C., &amp; Mahmud, A. (2025). </w:t>
      </w:r>
      <w:hyperlink r:id="rId138" w:history="1">
        <w:r w:rsidR="00871388" w:rsidRPr="00047CBD">
          <w:rPr>
            <w:rStyle w:val="Hyperlink"/>
            <w:sz w:val="22"/>
            <w:szCs w:val="22"/>
          </w:rPr>
          <w:t>The experiences of Black African parents on partnership: Working with education professionals in the English special education needs and disability system</w:t>
        </w:r>
      </w:hyperlink>
      <w:r w:rsidR="00871388" w:rsidRPr="00047CBD">
        <w:rPr>
          <w:sz w:val="22"/>
          <w:szCs w:val="22"/>
        </w:rPr>
        <w:t>. </w:t>
      </w:r>
      <w:r w:rsidR="00871388" w:rsidRPr="00047CBD">
        <w:rPr>
          <w:i/>
          <w:iCs/>
          <w:sz w:val="22"/>
          <w:szCs w:val="22"/>
        </w:rPr>
        <w:t>Equity in Education &amp; Society</w:t>
      </w:r>
      <w:r w:rsidR="00871388" w:rsidRPr="00047CBD">
        <w:rPr>
          <w:sz w:val="22"/>
          <w:szCs w:val="22"/>
        </w:rPr>
        <w:t>, </w:t>
      </w:r>
      <w:r w:rsidR="00871388" w:rsidRPr="00047CBD">
        <w:rPr>
          <w:i/>
          <w:iCs/>
          <w:sz w:val="22"/>
          <w:szCs w:val="22"/>
        </w:rPr>
        <w:t>4</w:t>
      </w:r>
      <w:r w:rsidR="00871388" w:rsidRPr="00047CBD">
        <w:rPr>
          <w:sz w:val="22"/>
          <w:szCs w:val="22"/>
        </w:rPr>
        <w:t>(3), 383-399.</w:t>
      </w:r>
    </w:p>
  </w:endnote>
  <w:endnote w:id="140">
    <w:p w14:paraId="01E9E141" w14:textId="70022638" w:rsidR="00347BED" w:rsidRPr="00816687" w:rsidRDefault="00347BED" w:rsidP="00587ADD">
      <w:pPr>
        <w:pStyle w:val="EndnoteText"/>
        <w:rPr>
          <w:sz w:val="22"/>
          <w:szCs w:val="22"/>
        </w:rPr>
      </w:pPr>
      <w:r w:rsidRPr="00816687">
        <w:rPr>
          <w:rStyle w:val="EndnoteReference"/>
          <w:sz w:val="22"/>
          <w:szCs w:val="22"/>
        </w:rPr>
        <w:endnoteRef/>
      </w:r>
      <w:r w:rsidRPr="00816687">
        <w:rPr>
          <w:sz w:val="22"/>
          <w:szCs w:val="22"/>
        </w:rPr>
        <w:t xml:space="preserve"> </w:t>
      </w:r>
      <w:r w:rsidR="00855AAD" w:rsidRPr="00816687">
        <w:rPr>
          <w:sz w:val="22"/>
          <w:szCs w:val="22"/>
        </w:rPr>
        <w:t xml:space="preserve">Joseph, A. (2020). </w:t>
      </w:r>
      <w:hyperlink r:id="rId139" w:history="1">
        <w:r w:rsidR="00855AAD" w:rsidRPr="00816687">
          <w:rPr>
            <w:rStyle w:val="Hyperlink"/>
            <w:sz w:val="22"/>
            <w:szCs w:val="22"/>
          </w:rPr>
          <w:t>Navigating neoliberal school spaces: Parent and school staff perspectives on racially disproportional school exclusions in England</w:t>
        </w:r>
      </w:hyperlink>
      <w:r w:rsidR="00855AAD" w:rsidRPr="00816687">
        <w:rPr>
          <w:sz w:val="22"/>
          <w:szCs w:val="22"/>
        </w:rPr>
        <w:t>. </w:t>
      </w:r>
      <w:r w:rsidR="00855AAD" w:rsidRPr="00816687">
        <w:rPr>
          <w:i/>
          <w:iCs/>
          <w:sz w:val="22"/>
          <w:szCs w:val="22"/>
        </w:rPr>
        <w:t>International Social Work</w:t>
      </w:r>
      <w:r w:rsidR="00855AAD" w:rsidRPr="00816687">
        <w:rPr>
          <w:sz w:val="22"/>
          <w:szCs w:val="22"/>
        </w:rPr>
        <w:t>, </w:t>
      </w:r>
      <w:r w:rsidR="00855AAD" w:rsidRPr="00816687">
        <w:rPr>
          <w:i/>
          <w:iCs/>
          <w:sz w:val="22"/>
          <w:szCs w:val="22"/>
        </w:rPr>
        <w:t>63</w:t>
      </w:r>
      <w:r w:rsidR="00855AAD" w:rsidRPr="00816687">
        <w:rPr>
          <w:sz w:val="22"/>
          <w:szCs w:val="22"/>
        </w:rPr>
        <w:t>(4), 445-458.</w:t>
      </w:r>
    </w:p>
  </w:endnote>
  <w:endnote w:id="141">
    <w:p w14:paraId="1AAEB6D4" w14:textId="1345DB32" w:rsidR="00EC76A1" w:rsidRPr="00816687" w:rsidRDefault="00EC76A1" w:rsidP="00587ADD">
      <w:pPr>
        <w:pStyle w:val="EndnoteText"/>
        <w:rPr>
          <w:sz w:val="22"/>
          <w:szCs w:val="22"/>
        </w:rPr>
      </w:pPr>
      <w:r w:rsidRPr="00816687">
        <w:rPr>
          <w:rStyle w:val="EndnoteReference"/>
          <w:sz w:val="22"/>
          <w:szCs w:val="22"/>
        </w:rPr>
        <w:endnoteRef/>
      </w:r>
      <w:r w:rsidRPr="00816687">
        <w:rPr>
          <w:sz w:val="22"/>
          <w:szCs w:val="22"/>
        </w:rPr>
        <w:t xml:space="preserve"> </w:t>
      </w:r>
      <w:r w:rsidR="001B5DF5" w:rsidRPr="00816687">
        <w:rPr>
          <w:sz w:val="22"/>
          <w:szCs w:val="22"/>
        </w:rPr>
        <w:t xml:space="preserve">Marku, B., Niolaki, G., Terzopoulos, A., &amp; Wood, C. (2022). </w:t>
      </w:r>
      <w:hyperlink r:id="rId140" w:history="1">
        <w:r w:rsidR="001B5DF5" w:rsidRPr="00816687">
          <w:rPr>
            <w:rStyle w:val="Hyperlink"/>
            <w:sz w:val="22"/>
            <w:szCs w:val="22"/>
          </w:rPr>
          <w:t>Eastern European parents’ experiences of parenting a child with SEN in England</w:t>
        </w:r>
      </w:hyperlink>
      <w:r w:rsidR="001B5DF5" w:rsidRPr="00816687">
        <w:rPr>
          <w:sz w:val="22"/>
          <w:szCs w:val="22"/>
        </w:rPr>
        <w:t>. </w:t>
      </w:r>
      <w:r w:rsidR="001B5DF5" w:rsidRPr="00816687">
        <w:rPr>
          <w:i/>
          <w:iCs/>
          <w:sz w:val="22"/>
          <w:szCs w:val="22"/>
        </w:rPr>
        <w:t>Educational Psychology in Practice</w:t>
      </w:r>
      <w:r w:rsidR="001B5DF5" w:rsidRPr="00816687">
        <w:rPr>
          <w:sz w:val="22"/>
          <w:szCs w:val="22"/>
        </w:rPr>
        <w:t>, </w:t>
      </w:r>
      <w:r w:rsidR="001B5DF5" w:rsidRPr="00816687">
        <w:rPr>
          <w:i/>
          <w:iCs/>
          <w:sz w:val="22"/>
          <w:szCs w:val="22"/>
        </w:rPr>
        <w:t>38</w:t>
      </w:r>
      <w:r w:rsidR="001B5DF5" w:rsidRPr="00816687">
        <w:rPr>
          <w:sz w:val="22"/>
          <w:szCs w:val="22"/>
        </w:rPr>
        <w:t>(3), 297–316.</w:t>
      </w:r>
    </w:p>
  </w:endnote>
  <w:endnote w:id="142">
    <w:p w14:paraId="5800006D" w14:textId="2AB41241" w:rsidR="007D0FDE" w:rsidRPr="00816687" w:rsidRDefault="007D0FDE" w:rsidP="00587ADD">
      <w:pPr>
        <w:pStyle w:val="EndnoteText"/>
        <w:rPr>
          <w:sz w:val="22"/>
          <w:szCs w:val="22"/>
        </w:rPr>
      </w:pPr>
      <w:r w:rsidRPr="00816687">
        <w:rPr>
          <w:rStyle w:val="EndnoteReference"/>
          <w:sz w:val="22"/>
          <w:szCs w:val="22"/>
        </w:rPr>
        <w:endnoteRef/>
      </w:r>
      <w:r w:rsidRPr="00816687">
        <w:rPr>
          <w:sz w:val="22"/>
          <w:szCs w:val="22"/>
        </w:rPr>
        <w:t xml:space="preserve"> </w:t>
      </w:r>
      <w:r w:rsidR="00A412BC" w:rsidRPr="00816687">
        <w:rPr>
          <w:sz w:val="22"/>
          <w:szCs w:val="22"/>
        </w:rPr>
        <w:t>Kashyap, K. (2018)</w:t>
      </w:r>
      <w:r w:rsidR="0098699A">
        <w:rPr>
          <w:sz w:val="22"/>
          <w:szCs w:val="22"/>
        </w:rPr>
        <w:t>.</w:t>
      </w:r>
      <w:r w:rsidR="00A412BC" w:rsidRPr="00816687">
        <w:rPr>
          <w:sz w:val="22"/>
          <w:szCs w:val="22"/>
        </w:rPr>
        <w:t xml:space="preserve"> </w:t>
      </w:r>
      <w:hyperlink r:id="rId141" w:history="1">
        <w:r w:rsidR="00A412BC" w:rsidRPr="00816687">
          <w:rPr>
            <w:rStyle w:val="Hyperlink"/>
            <w:sz w:val="22"/>
            <w:szCs w:val="22"/>
          </w:rPr>
          <w:t>Written evidence from Kathryn Kashyap, PhD candidate at the Institute of Education, University College London. SCN0276.</w:t>
        </w:r>
      </w:hyperlink>
      <w:r w:rsidR="00A412BC" w:rsidRPr="00816687">
        <w:rPr>
          <w:sz w:val="22"/>
          <w:szCs w:val="22"/>
        </w:rPr>
        <w:t xml:space="preserve"> </w:t>
      </w:r>
      <w:r w:rsidR="00A412BC" w:rsidRPr="00816687">
        <w:rPr>
          <w:i/>
          <w:iCs/>
          <w:sz w:val="22"/>
          <w:szCs w:val="22"/>
        </w:rPr>
        <w:t>UK Parliament</w:t>
      </w:r>
      <w:r w:rsidR="001C1F7C" w:rsidRPr="00816687">
        <w:rPr>
          <w:sz w:val="22"/>
          <w:szCs w:val="22"/>
        </w:rPr>
        <w:t>.</w:t>
      </w:r>
    </w:p>
  </w:endnote>
  <w:endnote w:id="143">
    <w:p w14:paraId="4ECA1FA2" w14:textId="78E8F0E9" w:rsidR="000F7736" w:rsidRPr="00816687" w:rsidRDefault="000F7736" w:rsidP="00587ADD">
      <w:pPr>
        <w:pStyle w:val="EndnoteText"/>
        <w:rPr>
          <w:sz w:val="22"/>
          <w:szCs w:val="22"/>
        </w:rPr>
      </w:pPr>
      <w:r w:rsidRPr="00816687">
        <w:rPr>
          <w:rStyle w:val="EndnoteReference"/>
          <w:sz w:val="22"/>
          <w:szCs w:val="22"/>
        </w:rPr>
        <w:endnoteRef/>
      </w:r>
      <w:r w:rsidRPr="00816687">
        <w:rPr>
          <w:sz w:val="22"/>
          <w:szCs w:val="22"/>
        </w:rPr>
        <w:t xml:space="preserve"> </w:t>
      </w:r>
      <w:r w:rsidR="00C125D0" w:rsidRPr="00816687">
        <w:rPr>
          <w:sz w:val="22"/>
          <w:szCs w:val="22"/>
        </w:rPr>
        <w:t xml:space="preserve">Special Needs Jungle, (2022). </w:t>
      </w:r>
      <w:hyperlink r:id="rId142" w:history="1">
        <w:r w:rsidR="00C125D0" w:rsidRPr="00816687">
          <w:rPr>
            <w:rStyle w:val="Hyperlink"/>
            <w:sz w:val="22"/>
            <w:szCs w:val="22"/>
          </w:rPr>
          <w:t>Intersectionality in SEND: Families experiences in schools</w:t>
        </w:r>
      </w:hyperlink>
    </w:p>
  </w:endnote>
  <w:endnote w:id="144">
    <w:p w14:paraId="53D3B76F" w14:textId="133DF43B" w:rsidR="00A052B7" w:rsidRPr="00816687" w:rsidRDefault="00A052B7" w:rsidP="00587ADD">
      <w:pPr>
        <w:pStyle w:val="EndnoteText"/>
        <w:rPr>
          <w:sz w:val="22"/>
          <w:szCs w:val="22"/>
        </w:rPr>
      </w:pPr>
      <w:r w:rsidRPr="00816687">
        <w:rPr>
          <w:rStyle w:val="EndnoteReference"/>
          <w:sz w:val="22"/>
          <w:szCs w:val="22"/>
        </w:rPr>
        <w:endnoteRef/>
      </w:r>
      <w:r w:rsidRPr="00816687">
        <w:rPr>
          <w:sz w:val="22"/>
          <w:szCs w:val="22"/>
        </w:rPr>
        <w:t xml:space="preserve"> </w:t>
      </w:r>
      <w:r w:rsidR="00B75D5E" w:rsidRPr="00816687">
        <w:rPr>
          <w:sz w:val="22"/>
          <w:szCs w:val="22"/>
        </w:rPr>
        <w:t>Gillborn, D.</w:t>
      </w:r>
      <w:r w:rsidR="0019478E" w:rsidRPr="00816687">
        <w:rPr>
          <w:sz w:val="22"/>
          <w:szCs w:val="22"/>
        </w:rPr>
        <w:t xml:space="preserve"> </w:t>
      </w:r>
      <w:r w:rsidR="00B75D5E" w:rsidRPr="00816687">
        <w:rPr>
          <w:sz w:val="22"/>
          <w:szCs w:val="22"/>
        </w:rPr>
        <w:t xml:space="preserve">(2015). </w:t>
      </w:r>
      <w:hyperlink r:id="rId143" w:history="1">
        <w:r w:rsidR="00B75D5E" w:rsidRPr="00816687">
          <w:rPr>
            <w:rStyle w:val="Hyperlink"/>
            <w:sz w:val="22"/>
            <w:szCs w:val="22"/>
          </w:rPr>
          <w:t>Intersectionality, Critical Race Theory, and the Primacy of Racism: Race, Class, Gender, and Disability in Education: Race, Class, Gender, and Disability in Education</w:t>
        </w:r>
      </w:hyperlink>
      <w:r w:rsidR="00B75D5E" w:rsidRPr="00816687">
        <w:rPr>
          <w:sz w:val="22"/>
          <w:szCs w:val="22"/>
        </w:rPr>
        <w:t xml:space="preserve"> </w:t>
      </w:r>
      <w:r w:rsidR="00B75D5E" w:rsidRPr="00816687">
        <w:rPr>
          <w:i/>
          <w:iCs/>
          <w:sz w:val="22"/>
          <w:szCs w:val="22"/>
        </w:rPr>
        <w:t>Qualitative Inquiry</w:t>
      </w:r>
      <w:r w:rsidR="00B75D5E" w:rsidRPr="00816687">
        <w:rPr>
          <w:sz w:val="22"/>
          <w:szCs w:val="22"/>
        </w:rPr>
        <w:t>, </w:t>
      </w:r>
      <w:r w:rsidR="00B75D5E" w:rsidRPr="00816687">
        <w:rPr>
          <w:i/>
          <w:iCs/>
          <w:sz w:val="22"/>
          <w:szCs w:val="22"/>
        </w:rPr>
        <w:t>21</w:t>
      </w:r>
      <w:r w:rsidR="00B75D5E" w:rsidRPr="00816687">
        <w:rPr>
          <w:sz w:val="22"/>
          <w:szCs w:val="22"/>
        </w:rPr>
        <w:t>(3), 277-287.</w:t>
      </w:r>
    </w:p>
  </w:endnote>
  <w:endnote w:id="145">
    <w:p w14:paraId="29A1A945" w14:textId="1183E04E" w:rsidR="0008197E" w:rsidRPr="00816687" w:rsidRDefault="0008197E" w:rsidP="00587ADD">
      <w:pPr>
        <w:pStyle w:val="EndnoteText"/>
        <w:rPr>
          <w:sz w:val="22"/>
          <w:szCs w:val="22"/>
        </w:rPr>
      </w:pPr>
      <w:r w:rsidRPr="00816687">
        <w:rPr>
          <w:rStyle w:val="EndnoteReference"/>
          <w:sz w:val="22"/>
          <w:szCs w:val="22"/>
        </w:rPr>
        <w:endnoteRef/>
      </w:r>
      <w:r w:rsidRPr="00816687">
        <w:rPr>
          <w:sz w:val="22"/>
          <w:szCs w:val="22"/>
        </w:rPr>
        <w:t xml:space="preserve"> </w:t>
      </w:r>
      <w:r w:rsidR="00871388" w:rsidRPr="00816687">
        <w:rPr>
          <w:sz w:val="22"/>
          <w:szCs w:val="22"/>
        </w:rPr>
        <w:t xml:space="preserve">Nnalue, C., &amp; Mahmud, A. (2025). </w:t>
      </w:r>
      <w:hyperlink r:id="rId144" w:history="1">
        <w:r w:rsidR="00871388" w:rsidRPr="00816687">
          <w:rPr>
            <w:rStyle w:val="Hyperlink"/>
            <w:sz w:val="22"/>
            <w:szCs w:val="22"/>
          </w:rPr>
          <w:t>The experiences of Black African parents on partnership: Working with education professionals in the English special education needs and disability system</w:t>
        </w:r>
      </w:hyperlink>
      <w:r w:rsidR="00871388" w:rsidRPr="00816687">
        <w:rPr>
          <w:sz w:val="22"/>
          <w:szCs w:val="22"/>
        </w:rPr>
        <w:t>. </w:t>
      </w:r>
      <w:r w:rsidR="00871388" w:rsidRPr="00816687">
        <w:rPr>
          <w:i/>
          <w:iCs/>
          <w:sz w:val="22"/>
          <w:szCs w:val="22"/>
        </w:rPr>
        <w:t>Equity in Education &amp; Society</w:t>
      </w:r>
      <w:r w:rsidR="00871388" w:rsidRPr="00816687">
        <w:rPr>
          <w:sz w:val="22"/>
          <w:szCs w:val="22"/>
        </w:rPr>
        <w:t>, </w:t>
      </w:r>
      <w:r w:rsidR="00871388" w:rsidRPr="00816687">
        <w:rPr>
          <w:i/>
          <w:iCs/>
          <w:sz w:val="22"/>
          <w:szCs w:val="22"/>
        </w:rPr>
        <w:t>4</w:t>
      </w:r>
      <w:r w:rsidR="00871388" w:rsidRPr="00816687">
        <w:rPr>
          <w:sz w:val="22"/>
          <w:szCs w:val="22"/>
        </w:rPr>
        <w:t>(3), 383-399.</w:t>
      </w:r>
    </w:p>
  </w:endnote>
  <w:endnote w:id="146">
    <w:p w14:paraId="6E5DBB93" w14:textId="209FD6B4" w:rsidR="00150377" w:rsidRPr="00816687" w:rsidRDefault="00150377" w:rsidP="00587ADD">
      <w:pPr>
        <w:pStyle w:val="EndnoteText"/>
        <w:rPr>
          <w:sz w:val="22"/>
          <w:szCs w:val="22"/>
        </w:rPr>
      </w:pPr>
      <w:r w:rsidRPr="00816687">
        <w:rPr>
          <w:rStyle w:val="EndnoteReference"/>
          <w:sz w:val="22"/>
          <w:szCs w:val="22"/>
        </w:rPr>
        <w:endnoteRef/>
      </w:r>
      <w:r w:rsidRPr="00816687">
        <w:rPr>
          <w:sz w:val="22"/>
          <w:szCs w:val="22"/>
        </w:rPr>
        <w:t xml:space="preserve"> </w:t>
      </w:r>
      <w:r w:rsidR="00871388" w:rsidRPr="00816687">
        <w:rPr>
          <w:sz w:val="22"/>
          <w:szCs w:val="22"/>
        </w:rPr>
        <w:t xml:space="preserve">Nnalue, C., &amp; Mahmud, A. (2025). </w:t>
      </w:r>
      <w:hyperlink r:id="rId145" w:history="1">
        <w:r w:rsidR="00871388" w:rsidRPr="00816687">
          <w:rPr>
            <w:rStyle w:val="Hyperlink"/>
            <w:sz w:val="22"/>
            <w:szCs w:val="22"/>
          </w:rPr>
          <w:t>The experiences of Black African parents on partnership: Working with education professionals in the English special education needs and disability system</w:t>
        </w:r>
      </w:hyperlink>
      <w:r w:rsidR="00871388" w:rsidRPr="00816687">
        <w:rPr>
          <w:sz w:val="22"/>
          <w:szCs w:val="22"/>
        </w:rPr>
        <w:t>. </w:t>
      </w:r>
      <w:r w:rsidR="00871388" w:rsidRPr="00816687">
        <w:rPr>
          <w:i/>
          <w:iCs/>
          <w:sz w:val="22"/>
          <w:szCs w:val="22"/>
        </w:rPr>
        <w:t>Equity in Education &amp; Society</w:t>
      </w:r>
      <w:r w:rsidR="00871388" w:rsidRPr="00816687">
        <w:rPr>
          <w:sz w:val="22"/>
          <w:szCs w:val="22"/>
        </w:rPr>
        <w:t>, </w:t>
      </w:r>
      <w:r w:rsidR="00871388" w:rsidRPr="00816687">
        <w:rPr>
          <w:i/>
          <w:iCs/>
          <w:sz w:val="22"/>
          <w:szCs w:val="22"/>
        </w:rPr>
        <w:t>4</w:t>
      </w:r>
      <w:r w:rsidR="00871388" w:rsidRPr="00816687">
        <w:rPr>
          <w:sz w:val="22"/>
          <w:szCs w:val="22"/>
        </w:rPr>
        <w:t>(3), 383-399.</w:t>
      </w:r>
      <w:r w:rsidRPr="00816687">
        <w:rPr>
          <w:sz w:val="22"/>
          <w:szCs w:val="22"/>
        </w:rPr>
        <w:t xml:space="preserve"> </w:t>
      </w:r>
    </w:p>
  </w:endnote>
  <w:endnote w:id="147">
    <w:p w14:paraId="04FCBDBA" w14:textId="08C421FE" w:rsidR="007F4B49" w:rsidRPr="00816687" w:rsidRDefault="007F4B49" w:rsidP="00587ADD">
      <w:pPr>
        <w:pStyle w:val="EndnoteText"/>
        <w:rPr>
          <w:sz w:val="22"/>
          <w:szCs w:val="22"/>
        </w:rPr>
      </w:pPr>
      <w:r w:rsidRPr="00816687">
        <w:rPr>
          <w:rStyle w:val="EndnoteReference"/>
          <w:sz w:val="22"/>
          <w:szCs w:val="22"/>
        </w:rPr>
        <w:endnoteRef/>
      </w:r>
      <w:r w:rsidRPr="00816687">
        <w:rPr>
          <w:sz w:val="22"/>
          <w:szCs w:val="22"/>
        </w:rPr>
        <w:t xml:space="preserve"> </w:t>
      </w:r>
      <w:r w:rsidR="001B5DF5" w:rsidRPr="00816687">
        <w:rPr>
          <w:sz w:val="22"/>
          <w:szCs w:val="22"/>
        </w:rPr>
        <w:t xml:space="preserve">Marku, B., Niolaki, G., Terzopoulos, A., &amp; Wood, C. (2022). </w:t>
      </w:r>
      <w:hyperlink r:id="rId146" w:history="1">
        <w:r w:rsidR="001B5DF5" w:rsidRPr="00816687">
          <w:rPr>
            <w:rStyle w:val="Hyperlink"/>
            <w:sz w:val="22"/>
            <w:szCs w:val="22"/>
          </w:rPr>
          <w:t>Eastern European parents’ experiences of parenting a child with SEN in England</w:t>
        </w:r>
      </w:hyperlink>
      <w:r w:rsidR="001B5DF5" w:rsidRPr="00816687">
        <w:rPr>
          <w:sz w:val="22"/>
          <w:szCs w:val="22"/>
        </w:rPr>
        <w:t>. </w:t>
      </w:r>
      <w:r w:rsidR="001B5DF5" w:rsidRPr="00816687">
        <w:rPr>
          <w:i/>
          <w:iCs/>
          <w:sz w:val="22"/>
          <w:szCs w:val="22"/>
        </w:rPr>
        <w:t>Educational Psychology in Practice</w:t>
      </w:r>
      <w:r w:rsidR="001B5DF5" w:rsidRPr="00816687">
        <w:rPr>
          <w:sz w:val="22"/>
          <w:szCs w:val="22"/>
        </w:rPr>
        <w:t>, </w:t>
      </w:r>
      <w:r w:rsidR="001B5DF5" w:rsidRPr="00816687">
        <w:rPr>
          <w:i/>
          <w:iCs/>
          <w:sz w:val="22"/>
          <w:szCs w:val="22"/>
        </w:rPr>
        <w:t>38</w:t>
      </w:r>
      <w:r w:rsidR="001B5DF5" w:rsidRPr="00816687">
        <w:rPr>
          <w:sz w:val="22"/>
          <w:szCs w:val="22"/>
        </w:rPr>
        <w:t>(3), 297–316.</w:t>
      </w:r>
    </w:p>
  </w:endnote>
  <w:endnote w:id="148">
    <w:p w14:paraId="508C85BC" w14:textId="49F4148B" w:rsidR="00D30D33" w:rsidRPr="00816687" w:rsidRDefault="00D30D33" w:rsidP="00587ADD">
      <w:pPr>
        <w:pStyle w:val="EndnoteText"/>
        <w:rPr>
          <w:sz w:val="22"/>
          <w:szCs w:val="22"/>
        </w:rPr>
      </w:pPr>
      <w:r w:rsidRPr="00816687">
        <w:rPr>
          <w:rStyle w:val="EndnoteReference"/>
          <w:sz w:val="22"/>
          <w:szCs w:val="22"/>
        </w:rPr>
        <w:endnoteRef/>
      </w:r>
      <w:r w:rsidRPr="00816687">
        <w:rPr>
          <w:sz w:val="22"/>
          <w:szCs w:val="22"/>
        </w:rPr>
        <w:t xml:space="preserve"> </w:t>
      </w:r>
      <w:r w:rsidR="000947AF" w:rsidRPr="00816687">
        <w:rPr>
          <w:sz w:val="22"/>
          <w:szCs w:val="22"/>
        </w:rPr>
        <w:t>Kashyap, K. (2018)</w:t>
      </w:r>
      <w:r w:rsidR="002A17F8">
        <w:rPr>
          <w:sz w:val="22"/>
          <w:szCs w:val="22"/>
        </w:rPr>
        <w:t>.</w:t>
      </w:r>
      <w:r w:rsidR="000947AF" w:rsidRPr="00816687">
        <w:rPr>
          <w:sz w:val="22"/>
          <w:szCs w:val="22"/>
        </w:rPr>
        <w:t xml:space="preserve"> </w:t>
      </w:r>
      <w:hyperlink r:id="rId147" w:history="1">
        <w:r w:rsidR="000947AF" w:rsidRPr="00816687">
          <w:rPr>
            <w:rStyle w:val="Hyperlink"/>
            <w:sz w:val="22"/>
            <w:szCs w:val="22"/>
          </w:rPr>
          <w:t>Written evidence from Kathryn Kashyap, PhD candidate at the Institute of Education, University College London. SCN0276.</w:t>
        </w:r>
      </w:hyperlink>
      <w:r w:rsidR="000947AF" w:rsidRPr="00816687">
        <w:rPr>
          <w:sz w:val="22"/>
          <w:szCs w:val="22"/>
        </w:rPr>
        <w:t xml:space="preserve"> </w:t>
      </w:r>
      <w:r w:rsidR="000947AF" w:rsidRPr="00816687">
        <w:rPr>
          <w:i/>
          <w:iCs/>
          <w:sz w:val="22"/>
          <w:szCs w:val="22"/>
        </w:rPr>
        <w:t>UK Parliament</w:t>
      </w:r>
      <w:r w:rsidR="001C1F7C" w:rsidRPr="00816687">
        <w:rPr>
          <w:sz w:val="22"/>
          <w:szCs w:val="22"/>
        </w:rPr>
        <w:t>.</w:t>
      </w:r>
    </w:p>
  </w:endnote>
  <w:endnote w:id="149">
    <w:p w14:paraId="279EAB4A" w14:textId="28A50BAB" w:rsidR="001A160C" w:rsidRPr="00816687" w:rsidRDefault="001A160C" w:rsidP="00587ADD">
      <w:pPr>
        <w:pStyle w:val="EndnoteText"/>
        <w:rPr>
          <w:sz w:val="22"/>
          <w:szCs w:val="22"/>
        </w:rPr>
      </w:pPr>
      <w:r w:rsidRPr="00816687">
        <w:rPr>
          <w:rStyle w:val="EndnoteReference"/>
          <w:sz w:val="22"/>
          <w:szCs w:val="22"/>
        </w:rPr>
        <w:endnoteRef/>
      </w:r>
      <w:r w:rsidRPr="00816687">
        <w:rPr>
          <w:sz w:val="22"/>
          <w:szCs w:val="22"/>
        </w:rPr>
        <w:t xml:space="preserve"> </w:t>
      </w:r>
      <w:r w:rsidR="00B75D5E" w:rsidRPr="00816687">
        <w:rPr>
          <w:sz w:val="22"/>
          <w:szCs w:val="22"/>
        </w:rPr>
        <w:t xml:space="preserve">Gillborn, D. (2015). </w:t>
      </w:r>
      <w:hyperlink r:id="rId148" w:history="1">
        <w:r w:rsidR="00B75D5E" w:rsidRPr="00816687">
          <w:rPr>
            <w:rStyle w:val="Hyperlink"/>
            <w:sz w:val="22"/>
            <w:szCs w:val="22"/>
          </w:rPr>
          <w:t>Intersectionality, Critical Race Theory, and the Primacy of Racism: Race, Class, Gender, and Disability in Education: Race, Class, Gender, and Disability in Education</w:t>
        </w:r>
      </w:hyperlink>
      <w:r w:rsidR="00B75D5E" w:rsidRPr="00816687">
        <w:rPr>
          <w:sz w:val="22"/>
          <w:szCs w:val="22"/>
        </w:rPr>
        <w:t xml:space="preserve"> </w:t>
      </w:r>
      <w:r w:rsidR="00B75D5E" w:rsidRPr="00816687">
        <w:rPr>
          <w:i/>
          <w:iCs/>
          <w:sz w:val="22"/>
          <w:szCs w:val="22"/>
        </w:rPr>
        <w:t>Qualitative Inquiry</w:t>
      </w:r>
      <w:r w:rsidR="00B75D5E" w:rsidRPr="00816687">
        <w:rPr>
          <w:sz w:val="22"/>
          <w:szCs w:val="22"/>
        </w:rPr>
        <w:t>, </w:t>
      </w:r>
      <w:r w:rsidR="00B75D5E" w:rsidRPr="00816687">
        <w:rPr>
          <w:i/>
          <w:iCs/>
          <w:sz w:val="22"/>
          <w:szCs w:val="22"/>
        </w:rPr>
        <w:t>21</w:t>
      </w:r>
      <w:r w:rsidR="00B75D5E" w:rsidRPr="00816687">
        <w:rPr>
          <w:sz w:val="22"/>
          <w:szCs w:val="22"/>
        </w:rPr>
        <w:t>(3), 277-287.</w:t>
      </w:r>
    </w:p>
  </w:endnote>
  <w:endnote w:id="150">
    <w:p w14:paraId="78D9DDDC" w14:textId="53E6B843" w:rsidR="00C50E13" w:rsidRPr="00816687" w:rsidRDefault="00C50E13" w:rsidP="00587ADD">
      <w:pPr>
        <w:pStyle w:val="EndnoteText"/>
        <w:rPr>
          <w:sz w:val="22"/>
          <w:szCs w:val="22"/>
        </w:rPr>
      </w:pPr>
      <w:r w:rsidRPr="00816687">
        <w:rPr>
          <w:rStyle w:val="EndnoteReference"/>
          <w:sz w:val="22"/>
          <w:szCs w:val="22"/>
        </w:rPr>
        <w:endnoteRef/>
      </w:r>
      <w:r w:rsidRPr="00816687">
        <w:rPr>
          <w:sz w:val="22"/>
          <w:szCs w:val="22"/>
        </w:rPr>
        <w:t xml:space="preserve"> </w:t>
      </w:r>
      <w:r w:rsidR="001B5DF5" w:rsidRPr="00816687">
        <w:rPr>
          <w:sz w:val="22"/>
          <w:szCs w:val="22"/>
        </w:rPr>
        <w:t xml:space="preserve">Marku, B., Niolaki, G., Terzopoulos, A., &amp; Wood, C. (2022). </w:t>
      </w:r>
      <w:hyperlink r:id="rId149" w:history="1">
        <w:r w:rsidR="001B5DF5" w:rsidRPr="00816687">
          <w:rPr>
            <w:rStyle w:val="Hyperlink"/>
            <w:sz w:val="22"/>
            <w:szCs w:val="22"/>
          </w:rPr>
          <w:t>Eastern European parents’ experiences of parenting a child with SEN in England</w:t>
        </w:r>
      </w:hyperlink>
      <w:r w:rsidR="001B5DF5" w:rsidRPr="00816687">
        <w:rPr>
          <w:sz w:val="22"/>
          <w:szCs w:val="22"/>
        </w:rPr>
        <w:t>. </w:t>
      </w:r>
      <w:r w:rsidR="001B5DF5" w:rsidRPr="00816687">
        <w:rPr>
          <w:i/>
          <w:iCs/>
          <w:sz w:val="22"/>
          <w:szCs w:val="22"/>
        </w:rPr>
        <w:t>Educational Psychology in Practice</w:t>
      </w:r>
      <w:r w:rsidR="001B5DF5" w:rsidRPr="00816687">
        <w:rPr>
          <w:sz w:val="22"/>
          <w:szCs w:val="22"/>
        </w:rPr>
        <w:t>, </w:t>
      </w:r>
      <w:r w:rsidR="001B5DF5" w:rsidRPr="00816687">
        <w:rPr>
          <w:i/>
          <w:iCs/>
          <w:sz w:val="22"/>
          <w:szCs w:val="22"/>
        </w:rPr>
        <w:t>38</w:t>
      </w:r>
      <w:r w:rsidR="001B5DF5" w:rsidRPr="00816687">
        <w:rPr>
          <w:sz w:val="22"/>
          <w:szCs w:val="22"/>
        </w:rPr>
        <w:t>(3), 297–316.</w:t>
      </w:r>
    </w:p>
  </w:endnote>
  <w:endnote w:id="151">
    <w:p w14:paraId="4C17102E" w14:textId="5F4C35B9" w:rsidR="004B7B27" w:rsidRPr="00816687" w:rsidRDefault="004B7B27" w:rsidP="00587ADD">
      <w:pPr>
        <w:pStyle w:val="EndnoteText"/>
        <w:rPr>
          <w:sz w:val="22"/>
          <w:szCs w:val="22"/>
        </w:rPr>
      </w:pPr>
      <w:r w:rsidRPr="00816687">
        <w:rPr>
          <w:rStyle w:val="EndnoteReference"/>
          <w:sz w:val="22"/>
          <w:szCs w:val="22"/>
        </w:rPr>
        <w:endnoteRef/>
      </w:r>
      <w:r w:rsidRPr="00816687">
        <w:rPr>
          <w:sz w:val="22"/>
          <w:szCs w:val="22"/>
        </w:rPr>
        <w:t xml:space="preserve"> </w:t>
      </w:r>
      <w:r w:rsidR="00871388" w:rsidRPr="00816687">
        <w:rPr>
          <w:sz w:val="22"/>
          <w:szCs w:val="22"/>
        </w:rPr>
        <w:t xml:space="preserve">The Alliance for Inclusive Education (ALLFIE), (2024). </w:t>
      </w:r>
      <w:hyperlink r:id="rId150" w:history="1">
        <w:r w:rsidR="00871388" w:rsidRPr="00816687">
          <w:rPr>
            <w:rStyle w:val="Hyperlink"/>
            <w:sz w:val="22"/>
            <w:szCs w:val="22"/>
          </w:rPr>
          <w:t>Lived Experience of Black/Global Majority Disabled Pupils and their Families in Mainstream Education</w:t>
        </w:r>
      </w:hyperlink>
    </w:p>
  </w:endnote>
  <w:endnote w:id="152">
    <w:p w14:paraId="2BD49CA4" w14:textId="24BFA229" w:rsidR="004B7B27" w:rsidRPr="00816687" w:rsidRDefault="004B7B27" w:rsidP="00587ADD">
      <w:pPr>
        <w:pStyle w:val="EndnoteText"/>
        <w:rPr>
          <w:sz w:val="22"/>
          <w:szCs w:val="22"/>
        </w:rPr>
      </w:pPr>
      <w:r w:rsidRPr="00816687">
        <w:rPr>
          <w:rStyle w:val="EndnoteReference"/>
          <w:sz w:val="22"/>
          <w:szCs w:val="22"/>
        </w:rPr>
        <w:endnoteRef/>
      </w:r>
      <w:r w:rsidRPr="00816687">
        <w:rPr>
          <w:sz w:val="22"/>
          <w:szCs w:val="22"/>
        </w:rPr>
        <w:t xml:space="preserve"> </w:t>
      </w:r>
      <w:r w:rsidR="00871388" w:rsidRPr="00816687">
        <w:rPr>
          <w:sz w:val="22"/>
          <w:szCs w:val="22"/>
        </w:rPr>
        <w:t xml:space="preserve">Nnalue, C., &amp; Mahmud, A. (2025). </w:t>
      </w:r>
      <w:hyperlink r:id="rId151" w:history="1">
        <w:r w:rsidR="00871388" w:rsidRPr="00816687">
          <w:rPr>
            <w:rStyle w:val="Hyperlink"/>
            <w:sz w:val="22"/>
            <w:szCs w:val="22"/>
          </w:rPr>
          <w:t>The experiences of Black African parents on partnership: Working with education professionals in the English special education needs and disability system</w:t>
        </w:r>
      </w:hyperlink>
      <w:r w:rsidR="00871388" w:rsidRPr="00816687">
        <w:rPr>
          <w:sz w:val="22"/>
          <w:szCs w:val="22"/>
        </w:rPr>
        <w:t>. </w:t>
      </w:r>
      <w:r w:rsidR="00871388" w:rsidRPr="00816687">
        <w:rPr>
          <w:i/>
          <w:iCs/>
          <w:sz w:val="22"/>
          <w:szCs w:val="22"/>
        </w:rPr>
        <w:t>Equity in Education &amp; Society</w:t>
      </w:r>
      <w:r w:rsidR="00871388" w:rsidRPr="00816687">
        <w:rPr>
          <w:sz w:val="22"/>
          <w:szCs w:val="22"/>
        </w:rPr>
        <w:t>, </w:t>
      </w:r>
      <w:r w:rsidR="00871388" w:rsidRPr="00816687">
        <w:rPr>
          <w:i/>
          <w:iCs/>
          <w:sz w:val="22"/>
          <w:szCs w:val="22"/>
        </w:rPr>
        <w:t>4</w:t>
      </w:r>
      <w:r w:rsidR="00871388" w:rsidRPr="00816687">
        <w:rPr>
          <w:sz w:val="22"/>
          <w:szCs w:val="22"/>
        </w:rPr>
        <w:t>(3), 383-399.</w:t>
      </w:r>
    </w:p>
  </w:endnote>
  <w:endnote w:id="153">
    <w:p w14:paraId="168A0796" w14:textId="7847ED51" w:rsidR="004B7B27" w:rsidRPr="00816687" w:rsidRDefault="004B7B27" w:rsidP="00587ADD">
      <w:pPr>
        <w:pStyle w:val="EndnoteText"/>
        <w:rPr>
          <w:sz w:val="22"/>
          <w:szCs w:val="22"/>
        </w:rPr>
      </w:pPr>
      <w:r w:rsidRPr="00816687">
        <w:rPr>
          <w:rStyle w:val="EndnoteReference"/>
          <w:sz w:val="22"/>
          <w:szCs w:val="22"/>
        </w:rPr>
        <w:endnoteRef/>
      </w:r>
      <w:r w:rsidRPr="00816687">
        <w:rPr>
          <w:sz w:val="22"/>
          <w:szCs w:val="22"/>
        </w:rPr>
        <w:t xml:space="preserve"> </w:t>
      </w:r>
      <w:r w:rsidR="002848F6" w:rsidRPr="00816687">
        <w:rPr>
          <w:sz w:val="22"/>
          <w:szCs w:val="22"/>
        </w:rPr>
        <w:t xml:space="preserve">Nevers-Ashton, N. (2023). </w:t>
      </w:r>
      <w:hyperlink r:id="rId152" w:history="1">
        <w:r w:rsidR="002848F6" w:rsidRPr="00816687">
          <w:rPr>
            <w:rStyle w:val="Hyperlink"/>
            <w:sz w:val="22"/>
            <w:szCs w:val="22"/>
          </w:rPr>
          <w:t>“You’re black, I’m black”: art therapy, race, autism, and domestic abuse</w:t>
        </w:r>
      </w:hyperlink>
      <w:r w:rsidR="002848F6" w:rsidRPr="00816687">
        <w:rPr>
          <w:sz w:val="22"/>
          <w:szCs w:val="22"/>
        </w:rPr>
        <w:t xml:space="preserve">. </w:t>
      </w:r>
      <w:r w:rsidR="002848F6" w:rsidRPr="00816687">
        <w:rPr>
          <w:i/>
          <w:iCs/>
          <w:sz w:val="22"/>
          <w:szCs w:val="22"/>
        </w:rPr>
        <w:t>International Journal of Art Therapy</w:t>
      </w:r>
      <w:r w:rsidR="002848F6" w:rsidRPr="00816687">
        <w:rPr>
          <w:sz w:val="22"/>
          <w:szCs w:val="22"/>
        </w:rPr>
        <w:t>, 28(1/2), 20–27.</w:t>
      </w:r>
    </w:p>
  </w:endnote>
  <w:endnote w:id="154">
    <w:p w14:paraId="59FFE930" w14:textId="68AD8B15" w:rsidR="00F87D2E" w:rsidRPr="00816687" w:rsidRDefault="00F87D2E" w:rsidP="00587ADD">
      <w:pPr>
        <w:pStyle w:val="EndnoteText"/>
        <w:rPr>
          <w:sz w:val="22"/>
          <w:szCs w:val="22"/>
        </w:rPr>
      </w:pPr>
      <w:r w:rsidRPr="00816687">
        <w:rPr>
          <w:rStyle w:val="EndnoteReference"/>
          <w:sz w:val="22"/>
          <w:szCs w:val="22"/>
        </w:rPr>
        <w:endnoteRef/>
      </w:r>
      <w:r w:rsidRPr="00816687">
        <w:rPr>
          <w:sz w:val="22"/>
          <w:szCs w:val="22"/>
        </w:rPr>
        <w:t xml:space="preserve"> </w:t>
      </w:r>
      <w:r w:rsidR="00306542" w:rsidRPr="00816687">
        <w:rPr>
          <w:sz w:val="22"/>
          <w:szCs w:val="22"/>
        </w:rPr>
        <w:t xml:space="preserve">Swanwick, R., Elmore, J., &amp; Salter, J. (2021). </w:t>
      </w:r>
      <w:hyperlink r:id="rId153" w:history="1">
        <w:r w:rsidR="00306542" w:rsidRPr="00816687">
          <w:rPr>
            <w:rStyle w:val="Hyperlink"/>
            <w:sz w:val="22"/>
            <w:szCs w:val="22"/>
          </w:rPr>
          <w:t>Educational inclusion of children who are deaf or hard of hearing and from migrant Roma families: Implications for multi-professional working</w:t>
        </w:r>
      </w:hyperlink>
      <w:r w:rsidR="00306542" w:rsidRPr="00816687">
        <w:rPr>
          <w:sz w:val="22"/>
          <w:szCs w:val="22"/>
        </w:rPr>
        <w:t>. </w:t>
      </w:r>
      <w:r w:rsidR="00306542" w:rsidRPr="00816687">
        <w:rPr>
          <w:i/>
          <w:iCs/>
          <w:sz w:val="22"/>
          <w:szCs w:val="22"/>
        </w:rPr>
        <w:t>Deafness &amp; Education International</w:t>
      </w:r>
      <w:r w:rsidR="00306542" w:rsidRPr="00816687">
        <w:rPr>
          <w:sz w:val="22"/>
          <w:szCs w:val="22"/>
        </w:rPr>
        <w:t>, </w:t>
      </w:r>
      <w:r w:rsidR="00306542" w:rsidRPr="00816687">
        <w:rPr>
          <w:i/>
          <w:iCs/>
          <w:sz w:val="22"/>
          <w:szCs w:val="22"/>
        </w:rPr>
        <w:t>23</w:t>
      </w:r>
      <w:r w:rsidR="00306542" w:rsidRPr="00816687">
        <w:rPr>
          <w:sz w:val="22"/>
          <w:szCs w:val="22"/>
        </w:rPr>
        <w:t>(1), 25–42.</w:t>
      </w:r>
    </w:p>
  </w:endnote>
  <w:endnote w:id="155">
    <w:p w14:paraId="63255C21" w14:textId="5EBD6A33" w:rsidR="00891454" w:rsidRPr="00816687" w:rsidRDefault="00891454" w:rsidP="00587ADD">
      <w:pPr>
        <w:pStyle w:val="EndnoteText"/>
        <w:rPr>
          <w:sz w:val="22"/>
          <w:szCs w:val="22"/>
        </w:rPr>
      </w:pPr>
      <w:r w:rsidRPr="00816687">
        <w:rPr>
          <w:rStyle w:val="EndnoteReference"/>
          <w:sz w:val="22"/>
          <w:szCs w:val="22"/>
        </w:rPr>
        <w:endnoteRef/>
      </w:r>
      <w:r w:rsidRPr="00816687">
        <w:rPr>
          <w:sz w:val="22"/>
          <w:szCs w:val="22"/>
        </w:rPr>
        <w:t xml:space="preserve"> </w:t>
      </w:r>
      <w:r w:rsidR="00900DA1" w:rsidRPr="00816687">
        <w:rPr>
          <w:sz w:val="22"/>
          <w:szCs w:val="22"/>
        </w:rPr>
        <w:t>Ilochi, J</w:t>
      </w:r>
      <w:r w:rsidR="00B75694" w:rsidRPr="00816687">
        <w:rPr>
          <w:sz w:val="22"/>
          <w:szCs w:val="22"/>
        </w:rPr>
        <w:t>.</w:t>
      </w:r>
      <w:r w:rsidR="00900DA1" w:rsidRPr="00816687">
        <w:rPr>
          <w:sz w:val="22"/>
          <w:szCs w:val="22"/>
        </w:rPr>
        <w:t xml:space="preserve">C. (2014) </w:t>
      </w:r>
      <w:hyperlink r:id="rId154" w:history="1">
        <w:r w:rsidR="00900DA1" w:rsidRPr="00816687">
          <w:rPr>
            <w:rStyle w:val="Hyperlink"/>
            <w:sz w:val="22"/>
            <w:szCs w:val="22"/>
          </w:rPr>
          <w:t>Reconceptualising inclusion: an intersectional approach to understanding the needs of black and minority ethnic children with special education needs</w:t>
        </w:r>
      </w:hyperlink>
      <w:r w:rsidR="00900DA1" w:rsidRPr="00816687">
        <w:rPr>
          <w:sz w:val="22"/>
          <w:szCs w:val="22"/>
        </w:rPr>
        <w:t xml:space="preserve"> [Master of philosophy thesis]. </w:t>
      </w:r>
      <w:r w:rsidR="00900DA1" w:rsidRPr="00816687">
        <w:rPr>
          <w:i/>
          <w:iCs/>
          <w:sz w:val="22"/>
          <w:szCs w:val="22"/>
        </w:rPr>
        <w:t>University of Birmingham Research Archive, E-theses Repository</w:t>
      </w:r>
      <w:r w:rsidR="00900DA1" w:rsidRPr="00816687">
        <w:rPr>
          <w:sz w:val="22"/>
          <w:szCs w:val="22"/>
        </w:rPr>
        <w:t>.</w:t>
      </w:r>
    </w:p>
  </w:endnote>
  <w:endnote w:id="156">
    <w:p w14:paraId="4169712D" w14:textId="5332F239" w:rsidR="00CF019B" w:rsidRPr="00816687" w:rsidRDefault="00CF019B" w:rsidP="00587ADD">
      <w:pPr>
        <w:pStyle w:val="EndnoteText"/>
        <w:rPr>
          <w:sz w:val="22"/>
          <w:szCs w:val="22"/>
        </w:rPr>
      </w:pPr>
      <w:r w:rsidRPr="00816687">
        <w:rPr>
          <w:rStyle w:val="EndnoteReference"/>
          <w:sz w:val="22"/>
          <w:szCs w:val="22"/>
        </w:rPr>
        <w:endnoteRef/>
      </w:r>
      <w:r w:rsidRPr="00816687">
        <w:rPr>
          <w:sz w:val="22"/>
          <w:szCs w:val="22"/>
        </w:rPr>
        <w:t xml:space="preserve"> </w:t>
      </w:r>
      <w:r w:rsidR="001B5DF5" w:rsidRPr="00816687">
        <w:rPr>
          <w:sz w:val="22"/>
          <w:szCs w:val="22"/>
        </w:rPr>
        <w:t xml:space="preserve">Marku, B., Niolaki, G., Terzopoulos, A., &amp; Wood, C. (2022). </w:t>
      </w:r>
      <w:hyperlink r:id="rId155" w:history="1">
        <w:r w:rsidR="001B5DF5" w:rsidRPr="00816687">
          <w:rPr>
            <w:rStyle w:val="Hyperlink"/>
            <w:sz w:val="22"/>
            <w:szCs w:val="22"/>
          </w:rPr>
          <w:t>Eastern European parents’ experiences of parenting a child with SEN in England</w:t>
        </w:r>
      </w:hyperlink>
      <w:r w:rsidR="001B5DF5" w:rsidRPr="00816687">
        <w:rPr>
          <w:sz w:val="22"/>
          <w:szCs w:val="22"/>
        </w:rPr>
        <w:t>. </w:t>
      </w:r>
      <w:r w:rsidR="001B5DF5" w:rsidRPr="00816687">
        <w:rPr>
          <w:i/>
          <w:iCs/>
          <w:sz w:val="22"/>
          <w:szCs w:val="22"/>
        </w:rPr>
        <w:t>Educational Psychology in Practice</w:t>
      </w:r>
      <w:r w:rsidR="001B5DF5" w:rsidRPr="00816687">
        <w:rPr>
          <w:sz w:val="22"/>
          <w:szCs w:val="22"/>
        </w:rPr>
        <w:t>, </w:t>
      </w:r>
      <w:r w:rsidR="001B5DF5" w:rsidRPr="00816687">
        <w:rPr>
          <w:i/>
          <w:iCs/>
          <w:sz w:val="22"/>
          <w:szCs w:val="22"/>
        </w:rPr>
        <w:t>38</w:t>
      </w:r>
      <w:r w:rsidR="001B5DF5" w:rsidRPr="00816687">
        <w:rPr>
          <w:sz w:val="22"/>
          <w:szCs w:val="22"/>
        </w:rPr>
        <w:t>(3), 297–316.</w:t>
      </w:r>
    </w:p>
  </w:endnote>
  <w:endnote w:id="157">
    <w:p w14:paraId="3AA39610" w14:textId="5D4ABF2C" w:rsidR="00784954" w:rsidRPr="008608A9" w:rsidRDefault="00784954" w:rsidP="00587ADD">
      <w:pPr>
        <w:pStyle w:val="EndnoteText"/>
        <w:rPr>
          <w:sz w:val="22"/>
          <w:szCs w:val="22"/>
        </w:rPr>
      </w:pPr>
      <w:r w:rsidRPr="008608A9">
        <w:rPr>
          <w:rStyle w:val="EndnoteReference"/>
          <w:sz w:val="22"/>
          <w:szCs w:val="22"/>
        </w:rPr>
        <w:endnoteRef/>
      </w:r>
      <w:r w:rsidRPr="008608A9">
        <w:rPr>
          <w:sz w:val="22"/>
          <w:szCs w:val="22"/>
        </w:rPr>
        <w:t xml:space="preserve"> </w:t>
      </w:r>
      <w:r w:rsidR="000947AF" w:rsidRPr="008608A9">
        <w:rPr>
          <w:sz w:val="22"/>
          <w:szCs w:val="22"/>
        </w:rPr>
        <w:t>Kashyap, K. (2018)</w:t>
      </w:r>
      <w:r w:rsidR="00816687">
        <w:rPr>
          <w:sz w:val="22"/>
          <w:szCs w:val="22"/>
        </w:rPr>
        <w:t>.</w:t>
      </w:r>
      <w:r w:rsidR="000947AF" w:rsidRPr="008608A9">
        <w:rPr>
          <w:sz w:val="22"/>
          <w:szCs w:val="22"/>
        </w:rPr>
        <w:t xml:space="preserve"> </w:t>
      </w:r>
      <w:hyperlink r:id="rId156" w:history="1">
        <w:r w:rsidR="000947AF" w:rsidRPr="008608A9">
          <w:rPr>
            <w:rStyle w:val="Hyperlink"/>
            <w:sz w:val="22"/>
            <w:szCs w:val="22"/>
          </w:rPr>
          <w:t>Written evidence from Kathryn Kashyap, PhD candidate at the Institute of Education, University College London. SCN0276.</w:t>
        </w:r>
      </w:hyperlink>
      <w:r w:rsidR="000947AF" w:rsidRPr="008608A9">
        <w:rPr>
          <w:sz w:val="22"/>
          <w:szCs w:val="22"/>
        </w:rPr>
        <w:t xml:space="preserve"> </w:t>
      </w:r>
      <w:r w:rsidR="000947AF" w:rsidRPr="008608A9">
        <w:rPr>
          <w:i/>
          <w:iCs/>
          <w:sz w:val="22"/>
          <w:szCs w:val="22"/>
        </w:rPr>
        <w:t>UK Parliament</w:t>
      </w:r>
      <w:r w:rsidR="001C1F7C" w:rsidRPr="008608A9">
        <w:rPr>
          <w:sz w:val="22"/>
          <w:szCs w:val="22"/>
        </w:rPr>
        <w:t>.</w:t>
      </w:r>
    </w:p>
  </w:endnote>
  <w:endnote w:id="158">
    <w:p w14:paraId="57458BAC" w14:textId="23B0917E" w:rsidR="00094861" w:rsidRPr="008608A9" w:rsidRDefault="00094861" w:rsidP="00587ADD">
      <w:pPr>
        <w:pStyle w:val="EndnoteText"/>
        <w:rPr>
          <w:sz w:val="22"/>
          <w:szCs w:val="22"/>
        </w:rPr>
      </w:pPr>
      <w:r w:rsidRPr="008608A9">
        <w:rPr>
          <w:rStyle w:val="EndnoteReference"/>
          <w:sz w:val="22"/>
          <w:szCs w:val="22"/>
        </w:rPr>
        <w:endnoteRef/>
      </w:r>
      <w:r w:rsidRPr="008608A9">
        <w:rPr>
          <w:sz w:val="22"/>
          <w:szCs w:val="22"/>
        </w:rPr>
        <w:t xml:space="preserve"> </w:t>
      </w:r>
      <w:r w:rsidR="00855AAD" w:rsidRPr="008608A9">
        <w:rPr>
          <w:sz w:val="22"/>
          <w:szCs w:val="22"/>
        </w:rPr>
        <w:t xml:space="preserve">Joseph, A. (2020). </w:t>
      </w:r>
      <w:hyperlink r:id="rId157" w:history="1">
        <w:r w:rsidR="00855AAD" w:rsidRPr="008608A9">
          <w:rPr>
            <w:rStyle w:val="Hyperlink"/>
            <w:sz w:val="22"/>
            <w:szCs w:val="22"/>
          </w:rPr>
          <w:t>Navigating neoliberal school spaces: Parent and school staff perspectives on racially disproportional school exclusions in England</w:t>
        </w:r>
      </w:hyperlink>
      <w:r w:rsidR="00855AAD" w:rsidRPr="008608A9">
        <w:rPr>
          <w:sz w:val="22"/>
          <w:szCs w:val="22"/>
        </w:rPr>
        <w:t>. </w:t>
      </w:r>
      <w:r w:rsidR="00855AAD" w:rsidRPr="008608A9">
        <w:rPr>
          <w:i/>
          <w:iCs/>
          <w:sz w:val="22"/>
          <w:szCs w:val="22"/>
        </w:rPr>
        <w:t>International Social Work</w:t>
      </w:r>
      <w:r w:rsidR="00855AAD" w:rsidRPr="008608A9">
        <w:rPr>
          <w:sz w:val="22"/>
          <w:szCs w:val="22"/>
        </w:rPr>
        <w:t>, </w:t>
      </w:r>
      <w:r w:rsidR="00855AAD" w:rsidRPr="008608A9">
        <w:rPr>
          <w:i/>
          <w:iCs/>
          <w:sz w:val="22"/>
          <w:szCs w:val="22"/>
        </w:rPr>
        <w:t>63</w:t>
      </w:r>
      <w:r w:rsidR="00855AAD" w:rsidRPr="008608A9">
        <w:rPr>
          <w:sz w:val="22"/>
          <w:szCs w:val="22"/>
        </w:rPr>
        <w:t>(4), 445-458.</w:t>
      </w:r>
    </w:p>
  </w:endnote>
  <w:endnote w:id="159">
    <w:p w14:paraId="5516248A" w14:textId="10E27D80" w:rsidR="0000002A" w:rsidRPr="008608A9" w:rsidRDefault="0000002A" w:rsidP="00587ADD">
      <w:pPr>
        <w:pStyle w:val="EndnoteText"/>
        <w:rPr>
          <w:sz w:val="22"/>
          <w:szCs w:val="22"/>
        </w:rPr>
      </w:pPr>
      <w:r w:rsidRPr="008608A9">
        <w:rPr>
          <w:rStyle w:val="EndnoteReference"/>
          <w:sz w:val="22"/>
          <w:szCs w:val="22"/>
        </w:rPr>
        <w:endnoteRef/>
      </w:r>
      <w:r w:rsidRPr="008608A9">
        <w:rPr>
          <w:sz w:val="22"/>
          <w:szCs w:val="22"/>
        </w:rPr>
        <w:t xml:space="preserve"> </w:t>
      </w:r>
      <w:r w:rsidR="00C125D0" w:rsidRPr="008608A9">
        <w:rPr>
          <w:sz w:val="22"/>
          <w:szCs w:val="22"/>
        </w:rPr>
        <w:t xml:space="preserve">Special Needs Jungle, (2022). </w:t>
      </w:r>
      <w:hyperlink r:id="rId158" w:history="1">
        <w:r w:rsidR="00C125D0" w:rsidRPr="008608A9">
          <w:rPr>
            <w:rStyle w:val="Hyperlink"/>
            <w:sz w:val="22"/>
            <w:szCs w:val="22"/>
          </w:rPr>
          <w:t>Intersectionality in SEND: Families experiences in schools</w:t>
        </w:r>
      </w:hyperlink>
    </w:p>
  </w:endnote>
  <w:endnote w:id="160">
    <w:p w14:paraId="63C4FD24" w14:textId="1A5ABD67" w:rsidR="00F40895" w:rsidRPr="008608A9" w:rsidRDefault="00F40895" w:rsidP="00587ADD">
      <w:pPr>
        <w:pStyle w:val="EndnoteText"/>
        <w:rPr>
          <w:sz w:val="22"/>
          <w:szCs w:val="22"/>
        </w:rPr>
      </w:pPr>
      <w:r w:rsidRPr="008608A9">
        <w:rPr>
          <w:rStyle w:val="EndnoteReference"/>
          <w:sz w:val="22"/>
          <w:szCs w:val="22"/>
        </w:rPr>
        <w:endnoteRef/>
      </w:r>
      <w:r w:rsidRPr="008608A9">
        <w:rPr>
          <w:sz w:val="22"/>
          <w:szCs w:val="22"/>
        </w:rPr>
        <w:t xml:space="preserve"> </w:t>
      </w:r>
      <w:r w:rsidR="00871388" w:rsidRPr="008608A9">
        <w:rPr>
          <w:sz w:val="22"/>
          <w:szCs w:val="22"/>
        </w:rPr>
        <w:t xml:space="preserve">Nnalue, C., &amp; Mahmud, A. (2025). </w:t>
      </w:r>
      <w:hyperlink r:id="rId159" w:history="1">
        <w:r w:rsidR="00871388" w:rsidRPr="008608A9">
          <w:rPr>
            <w:rStyle w:val="Hyperlink"/>
            <w:sz w:val="22"/>
            <w:szCs w:val="22"/>
          </w:rPr>
          <w:t>The experiences of Black African parents on partnership: Working with education professionals in the English special education needs and disability system</w:t>
        </w:r>
      </w:hyperlink>
      <w:r w:rsidR="00871388" w:rsidRPr="008608A9">
        <w:rPr>
          <w:sz w:val="22"/>
          <w:szCs w:val="22"/>
        </w:rPr>
        <w:t>. </w:t>
      </w:r>
      <w:r w:rsidR="00871388" w:rsidRPr="008608A9">
        <w:rPr>
          <w:i/>
          <w:iCs/>
          <w:sz w:val="22"/>
          <w:szCs w:val="22"/>
        </w:rPr>
        <w:t>Equity in Education &amp; Society</w:t>
      </w:r>
      <w:r w:rsidR="00871388" w:rsidRPr="008608A9">
        <w:rPr>
          <w:sz w:val="22"/>
          <w:szCs w:val="22"/>
        </w:rPr>
        <w:t>, </w:t>
      </w:r>
      <w:r w:rsidR="00871388" w:rsidRPr="008608A9">
        <w:rPr>
          <w:i/>
          <w:iCs/>
          <w:sz w:val="22"/>
          <w:szCs w:val="22"/>
        </w:rPr>
        <w:t>4</w:t>
      </w:r>
      <w:r w:rsidR="00871388" w:rsidRPr="008608A9">
        <w:rPr>
          <w:sz w:val="22"/>
          <w:szCs w:val="22"/>
        </w:rPr>
        <w:t>(3), 383-399.</w:t>
      </w:r>
    </w:p>
  </w:endnote>
  <w:endnote w:id="161">
    <w:p w14:paraId="17304943" w14:textId="2AB76DDB" w:rsidR="00F40895" w:rsidRPr="008608A9" w:rsidRDefault="00F40895" w:rsidP="00587ADD">
      <w:pPr>
        <w:pStyle w:val="EndnoteText"/>
        <w:rPr>
          <w:sz w:val="22"/>
          <w:szCs w:val="22"/>
        </w:rPr>
      </w:pPr>
      <w:r w:rsidRPr="008608A9">
        <w:rPr>
          <w:rStyle w:val="EndnoteReference"/>
          <w:sz w:val="22"/>
          <w:szCs w:val="22"/>
        </w:rPr>
        <w:endnoteRef/>
      </w:r>
      <w:r w:rsidRPr="008608A9">
        <w:rPr>
          <w:sz w:val="22"/>
          <w:szCs w:val="22"/>
        </w:rPr>
        <w:t xml:space="preserve"> </w:t>
      </w:r>
      <w:r w:rsidR="002848F6" w:rsidRPr="008608A9">
        <w:rPr>
          <w:sz w:val="22"/>
          <w:szCs w:val="22"/>
        </w:rPr>
        <w:t xml:space="preserve">Nevers-Ashton, N. (2023). </w:t>
      </w:r>
      <w:hyperlink r:id="rId160" w:history="1">
        <w:r w:rsidR="002848F6" w:rsidRPr="008608A9">
          <w:rPr>
            <w:rStyle w:val="Hyperlink"/>
            <w:sz w:val="22"/>
            <w:szCs w:val="22"/>
          </w:rPr>
          <w:t>“You’re black, I’m black”: art therapy, race, autism, and domestic abuse</w:t>
        </w:r>
      </w:hyperlink>
      <w:r w:rsidR="002848F6" w:rsidRPr="008608A9">
        <w:rPr>
          <w:sz w:val="22"/>
          <w:szCs w:val="22"/>
        </w:rPr>
        <w:t xml:space="preserve">. </w:t>
      </w:r>
      <w:r w:rsidR="002848F6" w:rsidRPr="008608A9">
        <w:rPr>
          <w:i/>
          <w:iCs/>
          <w:sz w:val="22"/>
          <w:szCs w:val="22"/>
        </w:rPr>
        <w:t>International Journal of Art Therapy</w:t>
      </w:r>
      <w:r w:rsidR="002848F6" w:rsidRPr="008608A9">
        <w:rPr>
          <w:sz w:val="22"/>
          <w:szCs w:val="22"/>
        </w:rPr>
        <w:t>, 28(1/2), 20–27.</w:t>
      </w:r>
    </w:p>
  </w:endnote>
  <w:endnote w:id="162">
    <w:p w14:paraId="32775A7E" w14:textId="13C19A2B" w:rsidR="00F40895" w:rsidRPr="008608A9" w:rsidRDefault="00F40895" w:rsidP="00587ADD">
      <w:pPr>
        <w:pStyle w:val="EndnoteText"/>
        <w:rPr>
          <w:sz w:val="22"/>
          <w:szCs w:val="22"/>
        </w:rPr>
      </w:pPr>
      <w:r w:rsidRPr="008608A9">
        <w:rPr>
          <w:rStyle w:val="EndnoteReference"/>
          <w:sz w:val="22"/>
          <w:szCs w:val="22"/>
        </w:rPr>
        <w:endnoteRef/>
      </w:r>
      <w:r w:rsidRPr="008608A9">
        <w:rPr>
          <w:sz w:val="22"/>
          <w:szCs w:val="22"/>
        </w:rPr>
        <w:t xml:space="preserve"> </w:t>
      </w:r>
      <w:r w:rsidR="00855AAD" w:rsidRPr="008608A9">
        <w:rPr>
          <w:sz w:val="22"/>
          <w:szCs w:val="22"/>
        </w:rPr>
        <w:t xml:space="preserve">Joseph, A. (2020). </w:t>
      </w:r>
      <w:hyperlink r:id="rId161" w:history="1">
        <w:r w:rsidR="00855AAD" w:rsidRPr="008608A9">
          <w:rPr>
            <w:rStyle w:val="Hyperlink"/>
            <w:sz w:val="22"/>
            <w:szCs w:val="22"/>
          </w:rPr>
          <w:t>Navigating neoliberal school spaces: Parent and school staff perspectives on racially disproportional school exclusions in England</w:t>
        </w:r>
      </w:hyperlink>
      <w:r w:rsidR="00855AAD" w:rsidRPr="008608A9">
        <w:rPr>
          <w:sz w:val="22"/>
          <w:szCs w:val="22"/>
        </w:rPr>
        <w:t>. </w:t>
      </w:r>
      <w:r w:rsidR="00855AAD" w:rsidRPr="008608A9">
        <w:rPr>
          <w:i/>
          <w:iCs/>
          <w:sz w:val="22"/>
          <w:szCs w:val="22"/>
        </w:rPr>
        <w:t>International Social Work</w:t>
      </w:r>
      <w:r w:rsidR="00855AAD" w:rsidRPr="008608A9">
        <w:rPr>
          <w:sz w:val="22"/>
          <w:szCs w:val="22"/>
        </w:rPr>
        <w:t>, </w:t>
      </w:r>
      <w:r w:rsidR="00855AAD" w:rsidRPr="008608A9">
        <w:rPr>
          <w:i/>
          <w:iCs/>
          <w:sz w:val="22"/>
          <w:szCs w:val="22"/>
        </w:rPr>
        <w:t>63</w:t>
      </w:r>
      <w:r w:rsidR="00855AAD" w:rsidRPr="008608A9">
        <w:rPr>
          <w:sz w:val="22"/>
          <w:szCs w:val="22"/>
        </w:rPr>
        <w:t>(4), 445-458.</w:t>
      </w:r>
    </w:p>
  </w:endnote>
  <w:endnote w:id="163">
    <w:p w14:paraId="4927514D" w14:textId="23A00085" w:rsidR="001B02B5" w:rsidRPr="008608A9" w:rsidRDefault="001B02B5" w:rsidP="00587ADD">
      <w:pPr>
        <w:pStyle w:val="EndnoteText"/>
        <w:rPr>
          <w:sz w:val="22"/>
          <w:szCs w:val="22"/>
        </w:rPr>
      </w:pPr>
      <w:r w:rsidRPr="008608A9">
        <w:rPr>
          <w:rStyle w:val="EndnoteReference"/>
          <w:sz w:val="22"/>
          <w:szCs w:val="22"/>
        </w:rPr>
        <w:endnoteRef/>
      </w:r>
      <w:r w:rsidRPr="008608A9">
        <w:rPr>
          <w:sz w:val="22"/>
          <w:szCs w:val="22"/>
        </w:rPr>
        <w:t xml:space="preserve"> </w:t>
      </w:r>
      <w:r w:rsidR="008D3B5C" w:rsidRPr="008608A9">
        <w:rPr>
          <w:sz w:val="22"/>
          <w:szCs w:val="22"/>
        </w:rPr>
        <w:t>Ilochi, J</w:t>
      </w:r>
      <w:r w:rsidR="00B75694" w:rsidRPr="008608A9">
        <w:rPr>
          <w:sz w:val="22"/>
          <w:szCs w:val="22"/>
        </w:rPr>
        <w:t>.</w:t>
      </w:r>
      <w:r w:rsidR="008D3B5C" w:rsidRPr="008608A9">
        <w:rPr>
          <w:sz w:val="22"/>
          <w:szCs w:val="22"/>
        </w:rPr>
        <w:t xml:space="preserve">C. (2014) </w:t>
      </w:r>
      <w:hyperlink r:id="rId162" w:history="1">
        <w:r w:rsidR="008D3B5C" w:rsidRPr="008608A9">
          <w:rPr>
            <w:rStyle w:val="Hyperlink"/>
            <w:sz w:val="22"/>
            <w:szCs w:val="22"/>
          </w:rPr>
          <w:t>Reconceptualising inclusion: an intersectional approach to understanding the needs of black and minority ethnic children with special education needs</w:t>
        </w:r>
      </w:hyperlink>
      <w:r w:rsidR="008D3B5C" w:rsidRPr="008608A9">
        <w:rPr>
          <w:sz w:val="22"/>
          <w:szCs w:val="22"/>
        </w:rPr>
        <w:t xml:space="preserve"> [Master of philosophy thesis]. </w:t>
      </w:r>
      <w:r w:rsidR="008D3B5C" w:rsidRPr="008608A9">
        <w:rPr>
          <w:i/>
          <w:iCs/>
          <w:sz w:val="22"/>
          <w:szCs w:val="22"/>
        </w:rPr>
        <w:t>University of Birmingham Research Archive, E-theses Repository</w:t>
      </w:r>
      <w:r w:rsidR="008D3B5C" w:rsidRPr="008608A9">
        <w:rPr>
          <w:sz w:val="22"/>
          <w:szCs w:val="22"/>
        </w:rPr>
        <w:t>.</w:t>
      </w:r>
    </w:p>
  </w:endnote>
  <w:endnote w:id="164">
    <w:p w14:paraId="33D6F743" w14:textId="33C50585" w:rsidR="00FC26A6" w:rsidRPr="008608A9" w:rsidRDefault="00FC26A6" w:rsidP="00587ADD">
      <w:pPr>
        <w:pStyle w:val="EndnoteText"/>
        <w:rPr>
          <w:sz w:val="22"/>
          <w:szCs w:val="22"/>
        </w:rPr>
      </w:pPr>
      <w:r w:rsidRPr="008608A9">
        <w:rPr>
          <w:rStyle w:val="EndnoteReference"/>
          <w:sz w:val="22"/>
          <w:szCs w:val="22"/>
        </w:rPr>
        <w:endnoteRef/>
      </w:r>
      <w:r w:rsidRPr="008608A9">
        <w:rPr>
          <w:sz w:val="22"/>
          <w:szCs w:val="22"/>
        </w:rPr>
        <w:t xml:space="preserve"> </w:t>
      </w:r>
      <w:r w:rsidR="000947AF" w:rsidRPr="008608A9">
        <w:rPr>
          <w:sz w:val="22"/>
          <w:szCs w:val="22"/>
        </w:rPr>
        <w:t>Kashyap, K. (2018)</w:t>
      </w:r>
      <w:r w:rsidR="002A17F8">
        <w:rPr>
          <w:sz w:val="22"/>
          <w:szCs w:val="22"/>
        </w:rPr>
        <w:t>.</w:t>
      </w:r>
      <w:r w:rsidR="000947AF" w:rsidRPr="008608A9">
        <w:rPr>
          <w:sz w:val="22"/>
          <w:szCs w:val="22"/>
        </w:rPr>
        <w:t xml:space="preserve"> </w:t>
      </w:r>
      <w:hyperlink r:id="rId163" w:history="1">
        <w:r w:rsidR="000947AF" w:rsidRPr="008608A9">
          <w:rPr>
            <w:rStyle w:val="Hyperlink"/>
            <w:sz w:val="22"/>
            <w:szCs w:val="22"/>
          </w:rPr>
          <w:t>Written evidence from Kathryn Kashyap, PhD candidate at the Institute of Education, University College London. SCN0276.</w:t>
        </w:r>
      </w:hyperlink>
      <w:r w:rsidR="000947AF" w:rsidRPr="008608A9">
        <w:rPr>
          <w:sz w:val="22"/>
          <w:szCs w:val="22"/>
        </w:rPr>
        <w:t xml:space="preserve"> </w:t>
      </w:r>
      <w:r w:rsidR="000947AF" w:rsidRPr="008608A9">
        <w:rPr>
          <w:i/>
          <w:iCs/>
          <w:sz w:val="22"/>
          <w:szCs w:val="22"/>
        </w:rPr>
        <w:t>UK Parliament</w:t>
      </w:r>
      <w:r w:rsidR="001C1F7C" w:rsidRPr="008608A9">
        <w:rPr>
          <w:sz w:val="22"/>
          <w:szCs w:val="22"/>
        </w:rPr>
        <w:t>.</w:t>
      </w:r>
    </w:p>
  </w:endnote>
  <w:endnote w:id="165">
    <w:p w14:paraId="393641DE" w14:textId="4C40A790" w:rsidR="00EC460A" w:rsidRPr="008608A9" w:rsidRDefault="00EC460A" w:rsidP="00587ADD">
      <w:pPr>
        <w:pStyle w:val="EndnoteText"/>
        <w:rPr>
          <w:sz w:val="22"/>
          <w:szCs w:val="22"/>
        </w:rPr>
      </w:pPr>
      <w:r w:rsidRPr="008608A9">
        <w:rPr>
          <w:rStyle w:val="EndnoteReference"/>
          <w:sz w:val="22"/>
          <w:szCs w:val="22"/>
        </w:rPr>
        <w:endnoteRef/>
      </w:r>
      <w:r w:rsidRPr="008608A9">
        <w:rPr>
          <w:sz w:val="22"/>
          <w:szCs w:val="22"/>
        </w:rPr>
        <w:t xml:space="preserve"> </w:t>
      </w:r>
      <w:r w:rsidR="00703F00" w:rsidRPr="008608A9">
        <w:rPr>
          <w:sz w:val="22"/>
          <w:szCs w:val="22"/>
        </w:rPr>
        <w:t xml:space="preserve">Gillborn, D. (2015). </w:t>
      </w:r>
      <w:hyperlink r:id="rId164" w:history="1">
        <w:r w:rsidR="00703F00" w:rsidRPr="008608A9">
          <w:rPr>
            <w:rStyle w:val="Hyperlink"/>
            <w:sz w:val="22"/>
            <w:szCs w:val="22"/>
          </w:rPr>
          <w:t>Intersectionality, Critical Race Theory, and the Primacy of Racism: Race, Class, Gender, and Disability in Education: Race, Class, Gender, and Disability in Education</w:t>
        </w:r>
      </w:hyperlink>
      <w:r w:rsidR="00703F00" w:rsidRPr="008608A9">
        <w:rPr>
          <w:sz w:val="22"/>
          <w:szCs w:val="22"/>
        </w:rPr>
        <w:t xml:space="preserve"> </w:t>
      </w:r>
      <w:r w:rsidR="00703F00" w:rsidRPr="008608A9">
        <w:rPr>
          <w:i/>
          <w:iCs/>
          <w:sz w:val="22"/>
          <w:szCs w:val="22"/>
        </w:rPr>
        <w:t>Qualitative Inquiry</w:t>
      </w:r>
      <w:r w:rsidR="00703F00" w:rsidRPr="008608A9">
        <w:rPr>
          <w:sz w:val="22"/>
          <w:szCs w:val="22"/>
        </w:rPr>
        <w:t>, </w:t>
      </w:r>
      <w:r w:rsidR="00703F00" w:rsidRPr="008608A9">
        <w:rPr>
          <w:i/>
          <w:iCs/>
          <w:sz w:val="22"/>
          <w:szCs w:val="22"/>
        </w:rPr>
        <w:t>21</w:t>
      </w:r>
      <w:r w:rsidR="00703F00" w:rsidRPr="008608A9">
        <w:rPr>
          <w:sz w:val="22"/>
          <w:szCs w:val="22"/>
        </w:rPr>
        <w:t>(3), 277-287.</w:t>
      </w:r>
    </w:p>
  </w:endnote>
  <w:endnote w:id="166">
    <w:p w14:paraId="343B7BD1" w14:textId="28717DCF" w:rsidR="00AE4901" w:rsidRPr="008608A9" w:rsidRDefault="00AE4901" w:rsidP="00587ADD">
      <w:pPr>
        <w:pStyle w:val="EndnoteText"/>
        <w:rPr>
          <w:sz w:val="22"/>
          <w:szCs w:val="22"/>
        </w:rPr>
      </w:pPr>
      <w:r w:rsidRPr="008608A9">
        <w:rPr>
          <w:rStyle w:val="EndnoteReference"/>
          <w:sz w:val="22"/>
          <w:szCs w:val="22"/>
        </w:rPr>
        <w:endnoteRef/>
      </w:r>
      <w:r w:rsidR="00546949" w:rsidRPr="008608A9">
        <w:rPr>
          <w:sz w:val="22"/>
          <w:szCs w:val="22"/>
        </w:rPr>
        <w:t xml:space="preserve"> </w:t>
      </w:r>
      <w:r w:rsidR="000947AF" w:rsidRPr="008608A9">
        <w:rPr>
          <w:sz w:val="22"/>
          <w:szCs w:val="22"/>
        </w:rPr>
        <w:t>Kashyap, K. (2018)</w:t>
      </w:r>
      <w:r w:rsidR="002A17F8">
        <w:rPr>
          <w:sz w:val="22"/>
          <w:szCs w:val="22"/>
        </w:rPr>
        <w:t>.</w:t>
      </w:r>
      <w:r w:rsidR="000947AF" w:rsidRPr="008608A9">
        <w:rPr>
          <w:sz w:val="22"/>
          <w:szCs w:val="22"/>
        </w:rPr>
        <w:t xml:space="preserve"> </w:t>
      </w:r>
      <w:hyperlink r:id="rId165" w:history="1">
        <w:r w:rsidR="000947AF" w:rsidRPr="008608A9">
          <w:rPr>
            <w:rStyle w:val="Hyperlink"/>
            <w:sz w:val="22"/>
            <w:szCs w:val="22"/>
          </w:rPr>
          <w:t>Written evidence from Kathryn Kashyap, PhD candidate at the Institute of Education, University College London. SCN0276.</w:t>
        </w:r>
      </w:hyperlink>
      <w:r w:rsidR="000947AF" w:rsidRPr="008608A9">
        <w:rPr>
          <w:sz w:val="22"/>
          <w:szCs w:val="22"/>
        </w:rPr>
        <w:t xml:space="preserve"> </w:t>
      </w:r>
      <w:r w:rsidR="000947AF" w:rsidRPr="008608A9">
        <w:rPr>
          <w:i/>
          <w:iCs/>
          <w:sz w:val="22"/>
          <w:szCs w:val="22"/>
        </w:rPr>
        <w:t>UK Parliament</w:t>
      </w:r>
      <w:r w:rsidR="001C1F7C" w:rsidRPr="008608A9">
        <w:rPr>
          <w:sz w:val="22"/>
          <w:szCs w:val="22"/>
        </w:rPr>
        <w:t>.</w:t>
      </w:r>
    </w:p>
  </w:endnote>
  <w:endnote w:id="167">
    <w:p w14:paraId="570085B1" w14:textId="5B74DE0B" w:rsidR="00CA5685" w:rsidRPr="008608A9" w:rsidRDefault="00CA5685" w:rsidP="00587ADD">
      <w:pPr>
        <w:pStyle w:val="EndnoteText"/>
        <w:rPr>
          <w:sz w:val="22"/>
          <w:szCs w:val="22"/>
        </w:rPr>
      </w:pPr>
      <w:r w:rsidRPr="008608A9">
        <w:rPr>
          <w:rStyle w:val="EndnoteReference"/>
          <w:sz w:val="22"/>
          <w:szCs w:val="22"/>
        </w:rPr>
        <w:endnoteRef/>
      </w:r>
      <w:r w:rsidRPr="008608A9">
        <w:rPr>
          <w:sz w:val="22"/>
          <w:szCs w:val="22"/>
        </w:rPr>
        <w:t xml:space="preserve"> </w:t>
      </w:r>
      <w:r w:rsidR="001B5DF5" w:rsidRPr="008608A9">
        <w:rPr>
          <w:sz w:val="22"/>
          <w:szCs w:val="22"/>
        </w:rPr>
        <w:t xml:space="preserve">Marku, B., Niolaki, G., Terzopoulos, A., &amp; Wood, C. (2022). </w:t>
      </w:r>
      <w:hyperlink r:id="rId166" w:history="1">
        <w:r w:rsidR="001B5DF5" w:rsidRPr="008608A9">
          <w:rPr>
            <w:rStyle w:val="Hyperlink"/>
            <w:sz w:val="22"/>
            <w:szCs w:val="22"/>
          </w:rPr>
          <w:t>Eastern European parents’ experiences of parenting a child with SEN in England</w:t>
        </w:r>
      </w:hyperlink>
      <w:r w:rsidR="001B5DF5" w:rsidRPr="008608A9">
        <w:rPr>
          <w:sz w:val="22"/>
          <w:szCs w:val="22"/>
        </w:rPr>
        <w:t>. </w:t>
      </w:r>
      <w:r w:rsidR="001B5DF5" w:rsidRPr="008608A9">
        <w:rPr>
          <w:i/>
          <w:iCs/>
          <w:sz w:val="22"/>
          <w:szCs w:val="22"/>
        </w:rPr>
        <w:t>Educational Psychology in Practice</w:t>
      </w:r>
      <w:r w:rsidR="001B5DF5" w:rsidRPr="008608A9">
        <w:rPr>
          <w:sz w:val="22"/>
          <w:szCs w:val="22"/>
        </w:rPr>
        <w:t>, </w:t>
      </w:r>
      <w:r w:rsidR="001B5DF5" w:rsidRPr="008608A9">
        <w:rPr>
          <w:i/>
          <w:iCs/>
          <w:sz w:val="22"/>
          <w:szCs w:val="22"/>
        </w:rPr>
        <w:t>38</w:t>
      </w:r>
      <w:r w:rsidR="001B5DF5" w:rsidRPr="008608A9">
        <w:rPr>
          <w:sz w:val="22"/>
          <w:szCs w:val="22"/>
        </w:rPr>
        <w:t>(3), 297–316.</w:t>
      </w:r>
    </w:p>
  </w:endnote>
  <w:endnote w:id="168">
    <w:p w14:paraId="1943A395" w14:textId="07675972" w:rsidR="0044462B" w:rsidRPr="008608A9" w:rsidRDefault="0044462B" w:rsidP="00587ADD">
      <w:pPr>
        <w:pStyle w:val="EndnoteText"/>
        <w:rPr>
          <w:sz w:val="22"/>
          <w:szCs w:val="22"/>
        </w:rPr>
      </w:pPr>
      <w:r w:rsidRPr="008608A9">
        <w:rPr>
          <w:rStyle w:val="EndnoteReference"/>
          <w:sz w:val="22"/>
          <w:szCs w:val="22"/>
        </w:rPr>
        <w:endnoteRef/>
      </w:r>
      <w:r w:rsidRPr="008608A9">
        <w:rPr>
          <w:sz w:val="22"/>
          <w:szCs w:val="22"/>
        </w:rPr>
        <w:t xml:space="preserve"> </w:t>
      </w:r>
      <w:r w:rsidR="0097196C" w:rsidRPr="008608A9">
        <w:rPr>
          <w:sz w:val="22"/>
          <w:szCs w:val="22"/>
        </w:rPr>
        <w:t xml:space="preserve">Oliver, C., &amp; Singal, N. (2017). </w:t>
      </w:r>
      <w:hyperlink r:id="rId167" w:history="1">
        <w:r w:rsidR="0097196C" w:rsidRPr="008608A9">
          <w:rPr>
            <w:rStyle w:val="Hyperlink"/>
            <w:sz w:val="22"/>
            <w:szCs w:val="22"/>
          </w:rPr>
          <w:t>Migration, disability and education: reflections from a special school in the east of England</w:t>
        </w:r>
      </w:hyperlink>
      <w:r w:rsidR="0097196C" w:rsidRPr="008608A9">
        <w:rPr>
          <w:sz w:val="22"/>
          <w:szCs w:val="22"/>
        </w:rPr>
        <w:t xml:space="preserve">. </w:t>
      </w:r>
      <w:r w:rsidR="0097196C" w:rsidRPr="008608A9">
        <w:rPr>
          <w:i/>
          <w:iCs/>
          <w:sz w:val="22"/>
          <w:szCs w:val="22"/>
        </w:rPr>
        <w:t>British Journal of Sociology of Education</w:t>
      </w:r>
      <w:r w:rsidR="0097196C" w:rsidRPr="008608A9">
        <w:rPr>
          <w:sz w:val="22"/>
          <w:szCs w:val="22"/>
        </w:rPr>
        <w:t>, 38(8), 1217–1229.</w:t>
      </w:r>
    </w:p>
  </w:endnote>
  <w:endnote w:id="169">
    <w:p w14:paraId="1D58BACB" w14:textId="5B387E87" w:rsidR="00924CC0" w:rsidRPr="008608A9" w:rsidRDefault="00941398" w:rsidP="00587ADD">
      <w:pPr>
        <w:pStyle w:val="EndnoteText"/>
        <w:rPr>
          <w:rFonts w:cs="Arial"/>
          <w:sz w:val="22"/>
          <w:szCs w:val="22"/>
        </w:rPr>
      </w:pPr>
      <w:r w:rsidRPr="008608A9">
        <w:rPr>
          <w:rStyle w:val="EndnoteReference"/>
          <w:rFonts w:cs="Arial"/>
          <w:sz w:val="22"/>
          <w:szCs w:val="22"/>
        </w:rPr>
        <w:endnoteRef/>
      </w:r>
      <w:r w:rsidRPr="008608A9">
        <w:rPr>
          <w:rFonts w:cs="Arial"/>
          <w:sz w:val="22"/>
          <w:szCs w:val="22"/>
        </w:rPr>
        <w:t xml:space="preserve"> </w:t>
      </w:r>
      <w:r w:rsidR="00924CC0" w:rsidRPr="008608A9">
        <w:rPr>
          <w:rFonts w:cs="Arial"/>
          <w:sz w:val="22"/>
          <w:szCs w:val="22"/>
        </w:rPr>
        <w:t>Finning, K., Haeffner, A., Patel, S.</w:t>
      </w:r>
      <w:r w:rsidR="008E5ECA" w:rsidRPr="008608A9">
        <w:rPr>
          <w:rFonts w:cs="Arial"/>
          <w:sz w:val="22"/>
          <w:szCs w:val="22"/>
        </w:rPr>
        <w:t>,</w:t>
      </w:r>
      <w:r w:rsidR="00924CC0" w:rsidRPr="008608A9">
        <w:rPr>
          <w:rFonts w:cs="Arial"/>
          <w:sz w:val="22"/>
          <w:szCs w:val="22"/>
        </w:rPr>
        <w:t> </w:t>
      </w:r>
      <w:r w:rsidR="00A073D7" w:rsidRPr="008608A9">
        <w:rPr>
          <w:rFonts w:cs="Arial"/>
          <w:sz w:val="22"/>
          <w:szCs w:val="22"/>
        </w:rPr>
        <w:t>Longdon, B., Hayes, R, Ukoumunne, O.C., Ford, T.</w:t>
      </w:r>
      <w:r w:rsidR="00924CC0" w:rsidRPr="008608A9">
        <w:rPr>
          <w:rFonts w:cs="Arial"/>
          <w:sz w:val="22"/>
          <w:szCs w:val="22"/>
        </w:rPr>
        <w:t> </w:t>
      </w:r>
      <w:r w:rsidR="00EB4392" w:rsidRPr="008608A9">
        <w:rPr>
          <w:rFonts w:cs="Arial"/>
          <w:sz w:val="22"/>
          <w:szCs w:val="22"/>
        </w:rPr>
        <w:t xml:space="preserve">(2024). </w:t>
      </w:r>
      <w:hyperlink r:id="rId168" w:history="1">
        <w:r w:rsidR="005269FA" w:rsidRPr="008608A9">
          <w:rPr>
            <w:rStyle w:val="Hyperlink"/>
            <w:rFonts w:cs="Arial"/>
            <w:sz w:val="22"/>
            <w:szCs w:val="22"/>
          </w:rPr>
          <w:t>Is neighbourhood deprivation in primary school-aged children associated with their mental health and does this association change over 30 months?</w:t>
        </w:r>
      </w:hyperlink>
      <w:r w:rsidR="00924CC0" w:rsidRPr="008608A9">
        <w:rPr>
          <w:rFonts w:cs="Arial"/>
          <w:sz w:val="22"/>
          <w:szCs w:val="22"/>
        </w:rPr>
        <w:t>. </w:t>
      </w:r>
      <w:r w:rsidR="005269FA" w:rsidRPr="008608A9">
        <w:rPr>
          <w:rFonts w:cs="Arial"/>
          <w:i/>
          <w:iCs/>
          <w:sz w:val="22"/>
          <w:szCs w:val="22"/>
        </w:rPr>
        <w:t xml:space="preserve">European Child &amp; Adolescent Psychiatry </w:t>
      </w:r>
      <w:r w:rsidR="00924CC0" w:rsidRPr="008608A9">
        <w:rPr>
          <w:rFonts w:cs="Arial"/>
          <w:b/>
          <w:bCs/>
          <w:sz w:val="22"/>
          <w:szCs w:val="22"/>
        </w:rPr>
        <w:t>33</w:t>
      </w:r>
      <w:r w:rsidR="00924CC0" w:rsidRPr="008608A9">
        <w:rPr>
          <w:rFonts w:cs="Arial"/>
          <w:sz w:val="22"/>
          <w:szCs w:val="22"/>
        </w:rPr>
        <w:t>, 3111–3121</w:t>
      </w:r>
      <w:r w:rsidR="00EB4392" w:rsidRPr="008608A9">
        <w:rPr>
          <w:rFonts w:cs="Arial"/>
          <w:sz w:val="22"/>
          <w:szCs w:val="22"/>
        </w:rPr>
        <w:t>.</w:t>
      </w:r>
    </w:p>
  </w:endnote>
  <w:endnote w:id="170">
    <w:p w14:paraId="792983B8" w14:textId="24F43469" w:rsidR="00AC6307" w:rsidRPr="008608A9" w:rsidRDefault="00A20AE7" w:rsidP="00587ADD">
      <w:pPr>
        <w:pStyle w:val="EndnoteText"/>
        <w:rPr>
          <w:rFonts w:cs="Arial"/>
          <w:sz w:val="22"/>
          <w:szCs w:val="22"/>
        </w:rPr>
      </w:pPr>
      <w:r w:rsidRPr="008608A9">
        <w:rPr>
          <w:rStyle w:val="EndnoteReference"/>
          <w:rFonts w:cs="Arial"/>
          <w:sz w:val="22"/>
          <w:szCs w:val="22"/>
        </w:rPr>
        <w:endnoteRef/>
      </w:r>
      <w:r w:rsidRPr="008608A9">
        <w:rPr>
          <w:rFonts w:cs="Arial"/>
          <w:sz w:val="22"/>
          <w:szCs w:val="22"/>
        </w:rPr>
        <w:t xml:space="preserve"> </w:t>
      </w:r>
      <w:r w:rsidR="00FE71AE" w:rsidRPr="008608A9">
        <w:rPr>
          <w:rFonts w:cs="Arial"/>
          <w:sz w:val="22"/>
          <w:szCs w:val="22"/>
        </w:rPr>
        <w:t>Roman-Urrestarazu, A., van Kessel, R., Allison, C., Matthews, F.E., Brayne, C., Baron-Cohen, S., (2021)</w:t>
      </w:r>
      <w:r w:rsidR="002A17F8">
        <w:rPr>
          <w:rFonts w:cs="Arial"/>
          <w:sz w:val="22"/>
          <w:szCs w:val="22"/>
        </w:rPr>
        <w:t>.</w:t>
      </w:r>
      <w:r w:rsidR="00FE71AE" w:rsidRPr="008608A9">
        <w:rPr>
          <w:rFonts w:cs="Arial"/>
          <w:sz w:val="22"/>
          <w:szCs w:val="22"/>
        </w:rPr>
        <w:t xml:space="preserve"> </w:t>
      </w:r>
      <w:hyperlink r:id="rId169" w:history="1">
        <w:r w:rsidR="00FE71AE" w:rsidRPr="008608A9">
          <w:rPr>
            <w:rStyle w:val="Hyperlink"/>
            <w:rFonts w:cs="Arial"/>
            <w:sz w:val="22"/>
            <w:szCs w:val="22"/>
          </w:rPr>
          <w:t>Association of Race/Ethnicity and Social Disadvantage With Autism Prevalence in 7 Million School Children in England</w:t>
        </w:r>
      </w:hyperlink>
      <w:r w:rsidR="00FE71AE" w:rsidRPr="008608A9">
        <w:rPr>
          <w:rFonts w:cs="Arial"/>
          <w:sz w:val="22"/>
          <w:szCs w:val="22"/>
        </w:rPr>
        <w:t xml:space="preserve">. </w:t>
      </w:r>
      <w:r w:rsidR="00FE71AE" w:rsidRPr="008608A9">
        <w:rPr>
          <w:rFonts w:cs="Arial"/>
          <w:i/>
          <w:iCs/>
          <w:sz w:val="22"/>
          <w:szCs w:val="22"/>
        </w:rPr>
        <w:t>JAMA Pediatrics</w:t>
      </w:r>
      <w:r w:rsidR="00FE71AE" w:rsidRPr="008608A9">
        <w:rPr>
          <w:rFonts w:cs="Arial"/>
          <w:sz w:val="22"/>
          <w:szCs w:val="22"/>
        </w:rPr>
        <w:t>.175(6):e210054.</w:t>
      </w:r>
    </w:p>
  </w:endnote>
  <w:endnote w:id="171">
    <w:p w14:paraId="18527909" w14:textId="02A3F57A" w:rsidR="00B90E12" w:rsidRPr="008608A9" w:rsidRDefault="005C2C83" w:rsidP="00587ADD">
      <w:pPr>
        <w:pStyle w:val="EndnoteText"/>
        <w:rPr>
          <w:rFonts w:cs="Arial"/>
          <w:sz w:val="22"/>
          <w:szCs w:val="22"/>
        </w:rPr>
      </w:pPr>
      <w:r w:rsidRPr="008608A9">
        <w:rPr>
          <w:rStyle w:val="EndnoteReference"/>
          <w:rFonts w:cs="Arial"/>
          <w:sz w:val="22"/>
          <w:szCs w:val="22"/>
        </w:rPr>
        <w:endnoteRef/>
      </w:r>
      <w:r w:rsidRPr="008608A9">
        <w:rPr>
          <w:rFonts w:cs="Arial"/>
          <w:sz w:val="22"/>
          <w:szCs w:val="22"/>
        </w:rPr>
        <w:t xml:space="preserve"> </w:t>
      </w:r>
      <w:r w:rsidR="00B90E12" w:rsidRPr="008608A9">
        <w:rPr>
          <w:rFonts w:cs="Arial"/>
          <w:sz w:val="22"/>
          <w:szCs w:val="22"/>
        </w:rPr>
        <w:t>Sapiets, S.J., Hastings, R.P. &amp; Totsika, V.</w:t>
      </w:r>
      <w:r w:rsidR="00BD40BC" w:rsidRPr="008608A9">
        <w:rPr>
          <w:rFonts w:cs="Arial"/>
          <w:sz w:val="22"/>
          <w:szCs w:val="22"/>
        </w:rPr>
        <w:t xml:space="preserve"> </w:t>
      </w:r>
      <w:r w:rsidR="007F4E6D" w:rsidRPr="008608A9">
        <w:rPr>
          <w:rFonts w:cs="Arial"/>
          <w:sz w:val="22"/>
          <w:szCs w:val="22"/>
        </w:rPr>
        <w:t xml:space="preserve">(2024). </w:t>
      </w:r>
      <w:hyperlink r:id="rId170" w:history="1">
        <w:r w:rsidR="00BD40BC" w:rsidRPr="008608A9">
          <w:rPr>
            <w:rStyle w:val="Hyperlink"/>
            <w:rFonts w:cs="Arial"/>
            <w:sz w:val="22"/>
            <w:szCs w:val="22"/>
          </w:rPr>
          <w:t>Predictors of Access to Early Support in Families of Children with Suspected or Diagnosed Developmental Disabilities in the United Kingdom</w:t>
        </w:r>
      </w:hyperlink>
      <w:r w:rsidR="00B90E12" w:rsidRPr="008608A9">
        <w:rPr>
          <w:rFonts w:cs="Arial"/>
          <w:sz w:val="22"/>
          <w:szCs w:val="22"/>
        </w:rPr>
        <w:t>. </w:t>
      </w:r>
      <w:r w:rsidR="00BD40BC" w:rsidRPr="008608A9">
        <w:rPr>
          <w:rFonts w:cs="Arial"/>
          <w:i/>
          <w:iCs/>
          <w:sz w:val="22"/>
          <w:szCs w:val="22"/>
        </w:rPr>
        <w:t>Journal of Autism and Developmental Disorders</w:t>
      </w:r>
      <w:r w:rsidR="00B90E12" w:rsidRPr="008608A9">
        <w:rPr>
          <w:rFonts w:cs="Arial"/>
          <w:sz w:val="22"/>
          <w:szCs w:val="22"/>
        </w:rPr>
        <w:t> 54, 1628–1641</w:t>
      </w:r>
      <w:r w:rsidR="007F4E6D" w:rsidRPr="008608A9">
        <w:rPr>
          <w:rFonts w:cs="Arial"/>
          <w:sz w:val="22"/>
          <w:szCs w:val="22"/>
        </w:rPr>
        <w:t>.</w:t>
      </w:r>
    </w:p>
  </w:endnote>
  <w:endnote w:id="172">
    <w:p w14:paraId="75C70CC0" w14:textId="3A4C9D32" w:rsidR="007F4E6D" w:rsidRPr="008608A9" w:rsidRDefault="008E4C18" w:rsidP="00587ADD">
      <w:pPr>
        <w:pStyle w:val="EndnoteText"/>
        <w:rPr>
          <w:rFonts w:cs="Arial"/>
          <w:sz w:val="22"/>
          <w:szCs w:val="22"/>
        </w:rPr>
      </w:pPr>
      <w:r w:rsidRPr="008608A9">
        <w:rPr>
          <w:rStyle w:val="EndnoteReference"/>
          <w:rFonts w:cs="Arial"/>
          <w:sz w:val="22"/>
          <w:szCs w:val="22"/>
        </w:rPr>
        <w:endnoteRef/>
      </w:r>
      <w:r w:rsidRPr="008608A9">
        <w:rPr>
          <w:rFonts w:cs="Arial"/>
          <w:sz w:val="22"/>
          <w:szCs w:val="22"/>
        </w:rPr>
        <w:t xml:space="preserve"> </w:t>
      </w:r>
      <w:r w:rsidR="0094082A" w:rsidRPr="008608A9">
        <w:rPr>
          <w:rFonts w:cs="Arial"/>
          <w:sz w:val="22"/>
          <w:szCs w:val="22"/>
        </w:rPr>
        <w:t>Chatzitheochari, S., &amp; Butler-Rees, A. (2023).</w:t>
      </w:r>
      <w:r w:rsidR="0094082A" w:rsidRPr="008608A9">
        <w:rPr>
          <w:sz w:val="22"/>
          <w:szCs w:val="22"/>
        </w:rPr>
        <w:t xml:space="preserve"> </w:t>
      </w:r>
      <w:hyperlink r:id="rId171" w:history="1">
        <w:r w:rsidR="0094082A" w:rsidRPr="008608A9">
          <w:rPr>
            <w:rStyle w:val="Hyperlink"/>
            <w:rFonts w:cs="Arial"/>
            <w:sz w:val="22"/>
            <w:szCs w:val="22"/>
          </w:rPr>
          <w:t>Disability, Social Class and Stigma: An Intersectional Analysis of Disabled Young People’s School Experiences</w:t>
        </w:r>
      </w:hyperlink>
      <w:r w:rsidR="0094082A" w:rsidRPr="008608A9">
        <w:rPr>
          <w:rFonts w:cs="Arial"/>
          <w:sz w:val="22"/>
          <w:szCs w:val="22"/>
        </w:rPr>
        <w:t>. </w:t>
      </w:r>
      <w:r w:rsidR="0094082A" w:rsidRPr="008608A9">
        <w:rPr>
          <w:rFonts w:cs="Arial"/>
          <w:i/>
          <w:iCs/>
          <w:sz w:val="22"/>
          <w:szCs w:val="22"/>
        </w:rPr>
        <w:t>Sociology</w:t>
      </w:r>
      <w:r w:rsidR="0094082A" w:rsidRPr="008608A9">
        <w:rPr>
          <w:rFonts w:cs="Arial"/>
          <w:sz w:val="22"/>
          <w:szCs w:val="22"/>
        </w:rPr>
        <w:t>, </w:t>
      </w:r>
      <w:r w:rsidR="0094082A" w:rsidRPr="008608A9">
        <w:rPr>
          <w:rFonts w:cs="Arial"/>
          <w:i/>
          <w:iCs/>
          <w:sz w:val="22"/>
          <w:szCs w:val="22"/>
        </w:rPr>
        <w:t>57</w:t>
      </w:r>
      <w:r w:rsidR="0094082A" w:rsidRPr="008608A9">
        <w:rPr>
          <w:rFonts w:cs="Arial"/>
          <w:sz w:val="22"/>
          <w:szCs w:val="22"/>
        </w:rPr>
        <w:t xml:space="preserve">(5), 1156-1174. </w:t>
      </w:r>
    </w:p>
  </w:endnote>
  <w:endnote w:id="173">
    <w:p w14:paraId="71CA6DA0" w14:textId="7C674362" w:rsidR="003857BE" w:rsidRPr="008608A9" w:rsidRDefault="003857BE" w:rsidP="00587ADD">
      <w:pPr>
        <w:pStyle w:val="EndnoteText"/>
        <w:rPr>
          <w:rFonts w:cs="Arial"/>
          <w:sz w:val="22"/>
          <w:szCs w:val="22"/>
        </w:rPr>
      </w:pPr>
      <w:r w:rsidRPr="008608A9">
        <w:rPr>
          <w:rStyle w:val="EndnoteReference"/>
          <w:rFonts w:cs="Arial"/>
          <w:sz w:val="22"/>
          <w:szCs w:val="22"/>
        </w:rPr>
        <w:endnoteRef/>
      </w:r>
      <w:r w:rsidRPr="008608A9">
        <w:rPr>
          <w:rFonts w:cs="Arial"/>
          <w:sz w:val="22"/>
          <w:szCs w:val="22"/>
        </w:rPr>
        <w:t xml:space="preserve"> </w:t>
      </w:r>
      <w:r w:rsidR="00E40737" w:rsidRPr="008608A9">
        <w:rPr>
          <w:rFonts w:cs="Arial"/>
          <w:sz w:val="22"/>
          <w:szCs w:val="22"/>
        </w:rPr>
        <w:t xml:space="preserve">Chatzitheochari, S., &amp; Butler-Rees, A. (2023). </w:t>
      </w:r>
      <w:hyperlink r:id="rId172" w:history="1">
        <w:r w:rsidR="00E40737" w:rsidRPr="008608A9">
          <w:rPr>
            <w:rStyle w:val="Hyperlink"/>
            <w:rFonts w:cs="Arial"/>
            <w:sz w:val="22"/>
            <w:szCs w:val="22"/>
          </w:rPr>
          <w:t>Disability, Social Class and Stigma: An Intersectional Analysis of Disabled Young People’s School Experiences</w:t>
        </w:r>
      </w:hyperlink>
      <w:r w:rsidR="00E40737" w:rsidRPr="008608A9">
        <w:rPr>
          <w:rFonts w:cs="Arial"/>
          <w:sz w:val="22"/>
          <w:szCs w:val="22"/>
        </w:rPr>
        <w:t>. </w:t>
      </w:r>
      <w:r w:rsidR="00E40737" w:rsidRPr="008608A9">
        <w:rPr>
          <w:rFonts w:cs="Arial"/>
          <w:i/>
          <w:iCs/>
          <w:sz w:val="22"/>
          <w:szCs w:val="22"/>
        </w:rPr>
        <w:t>Sociology</w:t>
      </w:r>
      <w:r w:rsidR="00E40737" w:rsidRPr="008608A9">
        <w:rPr>
          <w:rFonts w:cs="Arial"/>
          <w:sz w:val="22"/>
          <w:szCs w:val="22"/>
        </w:rPr>
        <w:t>, </w:t>
      </w:r>
      <w:r w:rsidR="00E40737" w:rsidRPr="008608A9">
        <w:rPr>
          <w:rFonts w:cs="Arial"/>
          <w:i/>
          <w:iCs/>
          <w:sz w:val="22"/>
          <w:szCs w:val="22"/>
        </w:rPr>
        <w:t>57</w:t>
      </w:r>
      <w:r w:rsidR="00E40737" w:rsidRPr="008608A9">
        <w:rPr>
          <w:rFonts w:cs="Arial"/>
          <w:sz w:val="22"/>
          <w:szCs w:val="22"/>
        </w:rPr>
        <w:t>(5), 1156-1174.</w:t>
      </w:r>
    </w:p>
  </w:endnote>
  <w:endnote w:id="174">
    <w:p w14:paraId="6D3E2FCE" w14:textId="0B3DF767" w:rsidR="00E40737" w:rsidRPr="008608A9" w:rsidRDefault="00941398" w:rsidP="00587ADD">
      <w:pPr>
        <w:pStyle w:val="EndnoteText"/>
        <w:rPr>
          <w:rFonts w:cs="Arial"/>
          <w:sz w:val="22"/>
          <w:szCs w:val="22"/>
        </w:rPr>
      </w:pPr>
      <w:r w:rsidRPr="008608A9">
        <w:rPr>
          <w:rStyle w:val="EndnoteReference"/>
          <w:rFonts w:cs="Arial"/>
          <w:sz w:val="22"/>
          <w:szCs w:val="22"/>
        </w:rPr>
        <w:endnoteRef/>
      </w:r>
      <w:r w:rsidRPr="008608A9">
        <w:rPr>
          <w:rFonts w:cs="Arial"/>
          <w:sz w:val="22"/>
          <w:szCs w:val="22"/>
        </w:rPr>
        <w:t xml:space="preserve"> </w:t>
      </w:r>
      <w:r w:rsidR="003F126A" w:rsidRPr="008608A9">
        <w:rPr>
          <w:rFonts w:cs="Arial"/>
          <w:sz w:val="22"/>
          <w:szCs w:val="22"/>
        </w:rPr>
        <w:t>Melkman E.</w:t>
      </w:r>
      <w:r w:rsidR="00870305" w:rsidRPr="008608A9">
        <w:rPr>
          <w:rFonts w:cs="Arial"/>
          <w:sz w:val="22"/>
          <w:szCs w:val="22"/>
        </w:rPr>
        <w:t>P</w:t>
      </w:r>
      <w:r w:rsidR="003F126A" w:rsidRPr="008608A9">
        <w:rPr>
          <w:rFonts w:cs="Arial"/>
          <w:sz w:val="22"/>
          <w:szCs w:val="22"/>
        </w:rPr>
        <w:t xml:space="preserve">. (2020). </w:t>
      </w:r>
      <w:hyperlink r:id="rId173" w:history="1">
        <w:r w:rsidR="003F126A" w:rsidRPr="008608A9">
          <w:rPr>
            <w:rStyle w:val="Hyperlink"/>
            <w:rFonts w:cs="Arial"/>
            <w:sz w:val="22"/>
            <w:szCs w:val="22"/>
          </w:rPr>
          <w:t>Educational trajectories of children in care across the early education and primary school years: A national cohort study in England</w:t>
        </w:r>
      </w:hyperlink>
      <w:r w:rsidR="003F126A" w:rsidRPr="008608A9">
        <w:rPr>
          <w:rFonts w:cs="Arial"/>
          <w:sz w:val="22"/>
          <w:szCs w:val="22"/>
        </w:rPr>
        <w:t>. </w:t>
      </w:r>
      <w:r w:rsidR="003F126A" w:rsidRPr="008608A9">
        <w:rPr>
          <w:rFonts w:cs="Arial"/>
          <w:i/>
          <w:iCs/>
          <w:sz w:val="22"/>
          <w:szCs w:val="22"/>
        </w:rPr>
        <w:t>The American journal of orthopsychiatry</w:t>
      </w:r>
      <w:r w:rsidR="003F126A" w:rsidRPr="008608A9">
        <w:rPr>
          <w:rFonts w:cs="Arial"/>
          <w:sz w:val="22"/>
          <w:szCs w:val="22"/>
        </w:rPr>
        <w:t>, </w:t>
      </w:r>
      <w:r w:rsidR="003F126A" w:rsidRPr="008608A9">
        <w:rPr>
          <w:rFonts w:cs="Arial"/>
          <w:i/>
          <w:iCs/>
          <w:sz w:val="22"/>
          <w:szCs w:val="22"/>
        </w:rPr>
        <w:t>90</w:t>
      </w:r>
      <w:r w:rsidR="003F126A" w:rsidRPr="008608A9">
        <w:rPr>
          <w:rFonts w:cs="Arial"/>
          <w:sz w:val="22"/>
          <w:szCs w:val="22"/>
        </w:rPr>
        <w:t>(6), 720–732</w:t>
      </w:r>
      <w:r w:rsidR="001C1F7C" w:rsidRPr="008608A9">
        <w:rPr>
          <w:rFonts w:cs="Arial"/>
          <w:sz w:val="22"/>
          <w:szCs w:val="22"/>
        </w:rPr>
        <w:t>.</w:t>
      </w:r>
    </w:p>
  </w:endnote>
  <w:endnote w:id="175">
    <w:p w14:paraId="739DA05D" w14:textId="03745B0F" w:rsidR="004C3912" w:rsidRPr="008608A9" w:rsidRDefault="00941398" w:rsidP="00587ADD">
      <w:pPr>
        <w:pStyle w:val="EndnoteText"/>
        <w:rPr>
          <w:rFonts w:cs="Arial"/>
          <w:sz w:val="22"/>
          <w:szCs w:val="22"/>
        </w:rPr>
      </w:pPr>
      <w:r w:rsidRPr="008608A9">
        <w:rPr>
          <w:rStyle w:val="EndnoteReference"/>
          <w:rFonts w:cs="Arial"/>
          <w:sz w:val="22"/>
          <w:szCs w:val="22"/>
        </w:rPr>
        <w:endnoteRef/>
      </w:r>
      <w:r w:rsidRPr="008608A9">
        <w:rPr>
          <w:rFonts w:cs="Arial"/>
          <w:sz w:val="22"/>
          <w:szCs w:val="22"/>
        </w:rPr>
        <w:t xml:space="preserve"> </w:t>
      </w:r>
      <w:r w:rsidR="004C3912" w:rsidRPr="008608A9">
        <w:rPr>
          <w:rFonts w:cs="Arial"/>
          <w:sz w:val="22"/>
          <w:szCs w:val="22"/>
        </w:rPr>
        <w:t>Fleming</w:t>
      </w:r>
      <w:r w:rsidR="003A3216" w:rsidRPr="008608A9">
        <w:rPr>
          <w:rFonts w:cs="Arial"/>
          <w:sz w:val="22"/>
          <w:szCs w:val="22"/>
        </w:rPr>
        <w:t>,</w:t>
      </w:r>
      <w:r w:rsidR="004C3912" w:rsidRPr="008608A9">
        <w:rPr>
          <w:rFonts w:cs="Arial"/>
          <w:sz w:val="22"/>
          <w:szCs w:val="22"/>
        </w:rPr>
        <w:t xml:space="preserve"> M</w:t>
      </w:r>
      <w:r w:rsidR="003A3216" w:rsidRPr="008608A9">
        <w:rPr>
          <w:rFonts w:cs="Arial"/>
          <w:sz w:val="22"/>
          <w:szCs w:val="22"/>
        </w:rPr>
        <w:t>.</w:t>
      </w:r>
      <w:r w:rsidR="004C3912" w:rsidRPr="008608A9">
        <w:rPr>
          <w:rFonts w:cs="Arial"/>
          <w:sz w:val="22"/>
          <w:szCs w:val="22"/>
        </w:rPr>
        <w:t>, McLay</w:t>
      </w:r>
      <w:r w:rsidR="003A3216" w:rsidRPr="008608A9">
        <w:rPr>
          <w:rFonts w:cs="Arial"/>
          <w:sz w:val="22"/>
          <w:szCs w:val="22"/>
        </w:rPr>
        <w:t>,</w:t>
      </w:r>
      <w:r w:rsidR="004C3912" w:rsidRPr="008608A9">
        <w:rPr>
          <w:rFonts w:cs="Arial"/>
          <w:sz w:val="22"/>
          <w:szCs w:val="22"/>
        </w:rPr>
        <w:t xml:space="preserve"> J</w:t>
      </w:r>
      <w:r w:rsidR="003A3216" w:rsidRPr="008608A9">
        <w:rPr>
          <w:rFonts w:cs="Arial"/>
          <w:sz w:val="22"/>
          <w:szCs w:val="22"/>
        </w:rPr>
        <w:t>.</w:t>
      </w:r>
      <w:r w:rsidR="004C3912" w:rsidRPr="008608A9">
        <w:rPr>
          <w:rFonts w:cs="Arial"/>
          <w:sz w:val="22"/>
          <w:szCs w:val="22"/>
        </w:rPr>
        <w:t>S</w:t>
      </w:r>
      <w:r w:rsidR="003A3216" w:rsidRPr="008608A9">
        <w:rPr>
          <w:rFonts w:cs="Arial"/>
          <w:sz w:val="22"/>
          <w:szCs w:val="22"/>
        </w:rPr>
        <w:t>.</w:t>
      </w:r>
      <w:r w:rsidR="004C3912" w:rsidRPr="008608A9">
        <w:rPr>
          <w:rFonts w:cs="Arial"/>
          <w:sz w:val="22"/>
          <w:szCs w:val="22"/>
        </w:rPr>
        <w:t>, Clark</w:t>
      </w:r>
      <w:r w:rsidR="003A3216" w:rsidRPr="008608A9">
        <w:rPr>
          <w:rFonts w:cs="Arial"/>
          <w:sz w:val="22"/>
          <w:szCs w:val="22"/>
        </w:rPr>
        <w:t>,</w:t>
      </w:r>
      <w:r w:rsidR="004C3912" w:rsidRPr="008608A9">
        <w:rPr>
          <w:rFonts w:cs="Arial"/>
          <w:sz w:val="22"/>
          <w:szCs w:val="22"/>
        </w:rPr>
        <w:t xml:space="preserve"> D</w:t>
      </w:r>
      <w:r w:rsidR="003A3216" w:rsidRPr="008608A9">
        <w:rPr>
          <w:rFonts w:cs="Arial"/>
          <w:sz w:val="22"/>
          <w:szCs w:val="22"/>
        </w:rPr>
        <w:t>.</w:t>
      </w:r>
      <w:r w:rsidR="004C3912" w:rsidRPr="008608A9">
        <w:rPr>
          <w:rFonts w:cs="Arial"/>
          <w:sz w:val="22"/>
          <w:szCs w:val="22"/>
        </w:rPr>
        <w:t>, King</w:t>
      </w:r>
      <w:r w:rsidR="003A3216" w:rsidRPr="008608A9">
        <w:rPr>
          <w:rFonts w:cs="Arial"/>
          <w:sz w:val="22"/>
          <w:szCs w:val="22"/>
        </w:rPr>
        <w:t>,</w:t>
      </w:r>
      <w:r w:rsidR="004C3912" w:rsidRPr="008608A9">
        <w:rPr>
          <w:rFonts w:cs="Arial"/>
          <w:sz w:val="22"/>
          <w:szCs w:val="22"/>
        </w:rPr>
        <w:t xml:space="preserve"> A</w:t>
      </w:r>
      <w:r w:rsidR="003A3216" w:rsidRPr="008608A9">
        <w:rPr>
          <w:rFonts w:cs="Arial"/>
          <w:sz w:val="22"/>
          <w:szCs w:val="22"/>
        </w:rPr>
        <w:t>.</w:t>
      </w:r>
      <w:r w:rsidR="004C3912" w:rsidRPr="008608A9">
        <w:rPr>
          <w:rFonts w:cs="Arial"/>
          <w:sz w:val="22"/>
          <w:szCs w:val="22"/>
        </w:rPr>
        <w:t>, Mackay</w:t>
      </w:r>
      <w:r w:rsidR="003A3216" w:rsidRPr="008608A9">
        <w:rPr>
          <w:rFonts w:cs="Arial"/>
          <w:sz w:val="22"/>
          <w:szCs w:val="22"/>
        </w:rPr>
        <w:t>,</w:t>
      </w:r>
      <w:r w:rsidR="004C3912" w:rsidRPr="008608A9">
        <w:rPr>
          <w:rFonts w:cs="Arial"/>
          <w:sz w:val="22"/>
          <w:szCs w:val="22"/>
        </w:rPr>
        <w:t xml:space="preserve"> D</w:t>
      </w:r>
      <w:r w:rsidR="003A3216" w:rsidRPr="008608A9">
        <w:rPr>
          <w:rFonts w:cs="Arial"/>
          <w:sz w:val="22"/>
          <w:szCs w:val="22"/>
        </w:rPr>
        <w:t>.</w:t>
      </w:r>
      <w:r w:rsidR="004C3912" w:rsidRPr="008608A9">
        <w:rPr>
          <w:rFonts w:cs="Arial"/>
          <w:sz w:val="22"/>
          <w:szCs w:val="22"/>
        </w:rPr>
        <w:t>F</w:t>
      </w:r>
      <w:r w:rsidR="003A3216" w:rsidRPr="008608A9">
        <w:rPr>
          <w:rFonts w:cs="Arial"/>
          <w:sz w:val="22"/>
          <w:szCs w:val="22"/>
        </w:rPr>
        <w:t>.</w:t>
      </w:r>
      <w:r w:rsidR="004C3912" w:rsidRPr="008608A9">
        <w:rPr>
          <w:rFonts w:cs="Arial"/>
          <w:sz w:val="22"/>
          <w:szCs w:val="22"/>
        </w:rPr>
        <w:t>, Minnis</w:t>
      </w:r>
      <w:r w:rsidR="003A3216" w:rsidRPr="008608A9">
        <w:rPr>
          <w:rFonts w:cs="Arial"/>
          <w:sz w:val="22"/>
          <w:szCs w:val="22"/>
        </w:rPr>
        <w:t>,</w:t>
      </w:r>
      <w:r w:rsidR="004C3912" w:rsidRPr="008608A9">
        <w:rPr>
          <w:rFonts w:cs="Arial"/>
          <w:sz w:val="22"/>
          <w:szCs w:val="22"/>
        </w:rPr>
        <w:t xml:space="preserve"> H</w:t>
      </w:r>
      <w:r w:rsidR="003A3216" w:rsidRPr="008608A9">
        <w:rPr>
          <w:rFonts w:cs="Arial"/>
          <w:sz w:val="22"/>
          <w:szCs w:val="22"/>
        </w:rPr>
        <w:t>.</w:t>
      </w:r>
      <w:r w:rsidR="004C3912" w:rsidRPr="008608A9">
        <w:rPr>
          <w:rFonts w:cs="Arial"/>
          <w:sz w:val="22"/>
          <w:szCs w:val="22"/>
        </w:rPr>
        <w:t>, et al. (2021)</w:t>
      </w:r>
      <w:r w:rsidR="0069332D" w:rsidRPr="008608A9">
        <w:rPr>
          <w:rFonts w:cs="Arial"/>
          <w:sz w:val="22"/>
          <w:szCs w:val="22"/>
        </w:rPr>
        <w:t>.</w:t>
      </w:r>
      <w:r w:rsidR="004C3912" w:rsidRPr="008608A9">
        <w:rPr>
          <w:rFonts w:cs="Arial"/>
          <w:sz w:val="22"/>
          <w:szCs w:val="22"/>
        </w:rPr>
        <w:t xml:space="preserve"> </w:t>
      </w:r>
      <w:hyperlink r:id="rId174" w:history="1">
        <w:r w:rsidR="00B3485C" w:rsidRPr="008608A9">
          <w:rPr>
            <w:rStyle w:val="Hyperlink"/>
            <w:rFonts w:cs="Arial"/>
            <w:sz w:val="22"/>
            <w:szCs w:val="22"/>
          </w:rPr>
          <w:t>Educational and health outcomes of schoolchildren in local authority care in Scotland: A retrospective record linkage study</w:t>
        </w:r>
      </w:hyperlink>
      <w:r w:rsidR="004C3912" w:rsidRPr="008608A9">
        <w:rPr>
          <w:rFonts w:cs="Arial"/>
          <w:sz w:val="22"/>
          <w:szCs w:val="22"/>
        </w:rPr>
        <w:t xml:space="preserve">. </w:t>
      </w:r>
      <w:r w:rsidR="004C3912" w:rsidRPr="008608A9">
        <w:rPr>
          <w:rFonts w:cs="Arial"/>
          <w:i/>
          <w:iCs/>
          <w:sz w:val="22"/>
          <w:szCs w:val="22"/>
        </w:rPr>
        <w:t>PLoS Med</w:t>
      </w:r>
      <w:r w:rsidR="004C3912" w:rsidRPr="008608A9">
        <w:rPr>
          <w:rFonts w:cs="Arial"/>
          <w:sz w:val="22"/>
          <w:szCs w:val="22"/>
        </w:rPr>
        <w:t xml:space="preserve"> 18(11): e1003832. </w:t>
      </w:r>
    </w:p>
  </w:endnote>
  <w:endnote w:id="176">
    <w:p w14:paraId="5FE545BB" w14:textId="39B60C0F" w:rsidR="006C05F4" w:rsidRPr="008608A9" w:rsidRDefault="00941398" w:rsidP="00587ADD">
      <w:pPr>
        <w:pStyle w:val="EndnoteText"/>
        <w:rPr>
          <w:sz w:val="22"/>
          <w:szCs w:val="22"/>
        </w:rPr>
      </w:pPr>
      <w:r w:rsidRPr="008608A9">
        <w:rPr>
          <w:rStyle w:val="EndnoteReference"/>
          <w:sz w:val="22"/>
          <w:szCs w:val="22"/>
        </w:rPr>
        <w:endnoteRef/>
      </w:r>
      <w:r w:rsidR="0087111C" w:rsidRPr="008608A9">
        <w:rPr>
          <w:sz w:val="22"/>
          <w:szCs w:val="22"/>
        </w:rPr>
        <w:t xml:space="preserve"> </w:t>
      </w:r>
      <w:r w:rsidR="005B7FCB" w:rsidRPr="008608A9">
        <w:rPr>
          <w:sz w:val="22"/>
          <w:szCs w:val="22"/>
        </w:rPr>
        <w:t>Jay</w:t>
      </w:r>
      <w:r w:rsidR="003A3216" w:rsidRPr="008608A9">
        <w:rPr>
          <w:sz w:val="22"/>
          <w:szCs w:val="22"/>
        </w:rPr>
        <w:t>,</w:t>
      </w:r>
      <w:r w:rsidR="005B7FCB" w:rsidRPr="008608A9">
        <w:rPr>
          <w:sz w:val="22"/>
          <w:szCs w:val="22"/>
        </w:rPr>
        <w:t> M</w:t>
      </w:r>
      <w:r w:rsidR="00654504" w:rsidRPr="008608A9">
        <w:rPr>
          <w:sz w:val="22"/>
          <w:szCs w:val="22"/>
        </w:rPr>
        <w:t>.</w:t>
      </w:r>
      <w:r w:rsidR="005B7FCB" w:rsidRPr="008608A9">
        <w:rPr>
          <w:sz w:val="22"/>
          <w:szCs w:val="22"/>
        </w:rPr>
        <w:t>A</w:t>
      </w:r>
      <w:r w:rsidR="00654504" w:rsidRPr="008608A9">
        <w:rPr>
          <w:sz w:val="22"/>
          <w:szCs w:val="22"/>
        </w:rPr>
        <w:t>.</w:t>
      </w:r>
      <w:r w:rsidR="005B7FCB" w:rsidRPr="008608A9">
        <w:rPr>
          <w:sz w:val="22"/>
          <w:szCs w:val="22"/>
        </w:rPr>
        <w:t>, Gilbert</w:t>
      </w:r>
      <w:r w:rsidR="003A3216" w:rsidRPr="008608A9">
        <w:rPr>
          <w:sz w:val="22"/>
          <w:szCs w:val="22"/>
        </w:rPr>
        <w:t>,</w:t>
      </w:r>
      <w:r w:rsidR="00654504" w:rsidRPr="008608A9">
        <w:rPr>
          <w:sz w:val="22"/>
          <w:szCs w:val="22"/>
        </w:rPr>
        <w:t xml:space="preserve"> </w:t>
      </w:r>
      <w:r w:rsidR="005B7FCB" w:rsidRPr="008608A9">
        <w:rPr>
          <w:sz w:val="22"/>
          <w:szCs w:val="22"/>
        </w:rPr>
        <w:t>R.</w:t>
      </w:r>
      <w:r w:rsidR="007172BD" w:rsidRPr="008608A9">
        <w:rPr>
          <w:sz w:val="22"/>
          <w:szCs w:val="22"/>
        </w:rPr>
        <w:t xml:space="preserve"> (2021). </w:t>
      </w:r>
      <w:hyperlink r:id="rId175" w:history="1">
        <w:r w:rsidR="007172BD" w:rsidRPr="008608A9">
          <w:rPr>
            <w:rStyle w:val="Hyperlink"/>
            <w:sz w:val="22"/>
            <w:szCs w:val="22"/>
          </w:rPr>
          <w:t>Special educational needs, social care and health</w:t>
        </w:r>
      </w:hyperlink>
      <w:r w:rsidR="007172BD" w:rsidRPr="008608A9">
        <w:rPr>
          <w:sz w:val="22"/>
          <w:szCs w:val="22"/>
        </w:rPr>
        <w:t xml:space="preserve">. </w:t>
      </w:r>
      <w:r w:rsidR="005B7FCB" w:rsidRPr="008608A9">
        <w:rPr>
          <w:i/>
          <w:iCs/>
          <w:sz w:val="22"/>
          <w:szCs w:val="22"/>
        </w:rPr>
        <w:t>Archives of Disease in Childhood</w:t>
      </w:r>
      <w:r w:rsidR="00E36644" w:rsidRPr="008608A9">
        <w:rPr>
          <w:sz w:val="22"/>
          <w:szCs w:val="22"/>
        </w:rPr>
        <w:t>,</w:t>
      </w:r>
      <w:r w:rsidR="005B7FCB" w:rsidRPr="008608A9">
        <w:rPr>
          <w:sz w:val="22"/>
          <w:szCs w:val="22"/>
        </w:rPr>
        <w:t> 106:83-85.</w:t>
      </w:r>
    </w:p>
  </w:endnote>
  <w:endnote w:id="177">
    <w:p w14:paraId="64CBC258" w14:textId="5DDE8D31" w:rsidR="001D7B50" w:rsidRPr="008608A9" w:rsidRDefault="00422E41" w:rsidP="00587ADD">
      <w:pPr>
        <w:pStyle w:val="EndnoteText"/>
        <w:rPr>
          <w:rFonts w:cs="Arial"/>
          <w:sz w:val="22"/>
          <w:szCs w:val="22"/>
        </w:rPr>
      </w:pPr>
      <w:r w:rsidRPr="008608A9">
        <w:rPr>
          <w:rStyle w:val="EndnoteReference"/>
          <w:rFonts w:cs="Arial"/>
          <w:sz w:val="22"/>
          <w:szCs w:val="22"/>
        </w:rPr>
        <w:endnoteRef/>
      </w:r>
      <w:r w:rsidRPr="008608A9">
        <w:rPr>
          <w:rFonts w:cs="Arial"/>
          <w:sz w:val="22"/>
          <w:szCs w:val="22"/>
        </w:rPr>
        <w:t xml:space="preserve"> Jay</w:t>
      </w:r>
      <w:r w:rsidR="00290532" w:rsidRPr="008608A9">
        <w:rPr>
          <w:rFonts w:cs="Arial"/>
          <w:sz w:val="22"/>
          <w:szCs w:val="22"/>
        </w:rPr>
        <w:t>,</w:t>
      </w:r>
      <w:r w:rsidRPr="008608A9">
        <w:rPr>
          <w:rFonts w:cs="Arial"/>
          <w:sz w:val="22"/>
          <w:szCs w:val="22"/>
        </w:rPr>
        <w:t xml:space="preserve"> M</w:t>
      </w:r>
      <w:r w:rsidR="00290532" w:rsidRPr="008608A9">
        <w:rPr>
          <w:rFonts w:cs="Arial"/>
          <w:sz w:val="22"/>
          <w:szCs w:val="22"/>
        </w:rPr>
        <w:t>.</w:t>
      </w:r>
      <w:r w:rsidRPr="008608A9">
        <w:rPr>
          <w:rFonts w:cs="Arial"/>
          <w:sz w:val="22"/>
          <w:szCs w:val="22"/>
        </w:rPr>
        <w:t>A</w:t>
      </w:r>
      <w:r w:rsidR="00290532" w:rsidRPr="008608A9">
        <w:rPr>
          <w:rFonts w:cs="Arial"/>
          <w:sz w:val="22"/>
          <w:szCs w:val="22"/>
        </w:rPr>
        <w:t>.</w:t>
      </w:r>
      <w:r w:rsidRPr="008608A9">
        <w:rPr>
          <w:rFonts w:cs="Arial"/>
          <w:sz w:val="22"/>
          <w:szCs w:val="22"/>
        </w:rPr>
        <w:t>, Grath-Lone</w:t>
      </w:r>
      <w:r w:rsidR="00290532" w:rsidRPr="008608A9">
        <w:rPr>
          <w:rFonts w:cs="Arial"/>
          <w:sz w:val="22"/>
          <w:szCs w:val="22"/>
        </w:rPr>
        <w:t>,</w:t>
      </w:r>
      <w:r w:rsidRPr="008608A9">
        <w:rPr>
          <w:rFonts w:cs="Arial"/>
          <w:sz w:val="22"/>
          <w:szCs w:val="22"/>
        </w:rPr>
        <w:t xml:space="preserve"> L</w:t>
      </w:r>
      <w:r w:rsidR="00290532" w:rsidRPr="008608A9">
        <w:rPr>
          <w:rFonts w:cs="Arial"/>
          <w:sz w:val="22"/>
          <w:szCs w:val="22"/>
        </w:rPr>
        <w:t>.</w:t>
      </w:r>
      <w:r w:rsidRPr="008608A9">
        <w:rPr>
          <w:rFonts w:cs="Arial"/>
          <w:sz w:val="22"/>
          <w:szCs w:val="22"/>
        </w:rPr>
        <w:t>, De Stavola</w:t>
      </w:r>
      <w:r w:rsidR="00290532" w:rsidRPr="008608A9">
        <w:rPr>
          <w:rFonts w:cs="Arial"/>
          <w:sz w:val="22"/>
          <w:szCs w:val="22"/>
        </w:rPr>
        <w:t>,</w:t>
      </w:r>
      <w:r w:rsidRPr="008608A9">
        <w:rPr>
          <w:rFonts w:cs="Arial"/>
          <w:sz w:val="22"/>
          <w:szCs w:val="22"/>
        </w:rPr>
        <w:t xml:space="preserve"> B</w:t>
      </w:r>
      <w:r w:rsidR="00290532" w:rsidRPr="008608A9">
        <w:rPr>
          <w:rFonts w:cs="Arial"/>
          <w:sz w:val="22"/>
          <w:szCs w:val="22"/>
        </w:rPr>
        <w:t>.</w:t>
      </w:r>
      <w:r w:rsidRPr="008608A9">
        <w:rPr>
          <w:rFonts w:cs="Arial"/>
          <w:sz w:val="22"/>
          <w:szCs w:val="22"/>
        </w:rPr>
        <w:t>, Gilbert</w:t>
      </w:r>
      <w:r w:rsidR="00290532" w:rsidRPr="008608A9">
        <w:rPr>
          <w:rFonts w:cs="Arial"/>
          <w:sz w:val="22"/>
          <w:szCs w:val="22"/>
        </w:rPr>
        <w:t>,</w:t>
      </w:r>
      <w:r w:rsidRPr="008608A9">
        <w:rPr>
          <w:rFonts w:cs="Arial"/>
          <w:sz w:val="22"/>
          <w:szCs w:val="22"/>
        </w:rPr>
        <w:t xml:space="preserve"> R.</w:t>
      </w:r>
      <w:r w:rsidR="00973972" w:rsidRPr="008608A9">
        <w:rPr>
          <w:sz w:val="22"/>
          <w:szCs w:val="22"/>
        </w:rPr>
        <w:t xml:space="preserve"> </w:t>
      </w:r>
      <w:r w:rsidR="00E9650C" w:rsidRPr="008608A9">
        <w:rPr>
          <w:sz w:val="22"/>
          <w:szCs w:val="22"/>
        </w:rPr>
        <w:t xml:space="preserve">(2023). </w:t>
      </w:r>
      <w:hyperlink r:id="rId176" w:history="1">
        <w:r w:rsidR="00973972" w:rsidRPr="008608A9">
          <w:rPr>
            <w:rStyle w:val="Hyperlink"/>
            <w:rFonts w:cs="Arial"/>
            <w:sz w:val="22"/>
            <w:szCs w:val="22"/>
          </w:rPr>
          <w:t>Risk of school exclusion among adolescents receiving social care or special educational needs services: A whole-population administrative data cohort study</w:t>
        </w:r>
      </w:hyperlink>
      <w:r w:rsidRPr="008608A9">
        <w:rPr>
          <w:rFonts w:cs="Arial"/>
          <w:sz w:val="22"/>
          <w:szCs w:val="22"/>
        </w:rPr>
        <w:t xml:space="preserve">. </w:t>
      </w:r>
      <w:r w:rsidR="00E9650C" w:rsidRPr="008608A9">
        <w:rPr>
          <w:rFonts w:cs="Arial"/>
          <w:i/>
          <w:iCs/>
          <w:sz w:val="22"/>
          <w:szCs w:val="22"/>
        </w:rPr>
        <w:t>Child Abuse &amp; Neglect</w:t>
      </w:r>
      <w:r w:rsidRPr="008608A9">
        <w:rPr>
          <w:rFonts w:cs="Arial"/>
          <w:sz w:val="22"/>
          <w:szCs w:val="22"/>
        </w:rPr>
        <w:t>. 144:106325.</w:t>
      </w:r>
    </w:p>
  </w:endnote>
  <w:endnote w:id="178">
    <w:p w14:paraId="79268B8D" w14:textId="453520F2" w:rsidR="00E25030" w:rsidRPr="008608A9" w:rsidRDefault="00941398" w:rsidP="00587ADD">
      <w:pPr>
        <w:pStyle w:val="EndnoteText"/>
        <w:rPr>
          <w:rFonts w:cs="Arial"/>
          <w:sz w:val="22"/>
          <w:szCs w:val="22"/>
        </w:rPr>
      </w:pPr>
      <w:r w:rsidRPr="008608A9">
        <w:rPr>
          <w:rStyle w:val="EndnoteReference"/>
          <w:rFonts w:cs="Arial"/>
          <w:sz w:val="22"/>
          <w:szCs w:val="22"/>
        </w:rPr>
        <w:endnoteRef/>
      </w:r>
      <w:r w:rsidRPr="008608A9">
        <w:rPr>
          <w:rFonts w:cs="Arial"/>
          <w:sz w:val="22"/>
          <w:szCs w:val="22"/>
        </w:rPr>
        <w:t xml:space="preserve"> Jay</w:t>
      </w:r>
      <w:r w:rsidR="00290532" w:rsidRPr="008608A9">
        <w:rPr>
          <w:rFonts w:cs="Arial"/>
          <w:sz w:val="22"/>
          <w:szCs w:val="22"/>
        </w:rPr>
        <w:t>,</w:t>
      </w:r>
      <w:r w:rsidRPr="008608A9">
        <w:rPr>
          <w:rFonts w:cs="Arial"/>
          <w:sz w:val="22"/>
          <w:szCs w:val="22"/>
        </w:rPr>
        <w:t xml:space="preserve"> M</w:t>
      </w:r>
      <w:r w:rsidR="00290532" w:rsidRPr="008608A9">
        <w:rPr>
          <w:rFonts w:cs="Arial"/>
          <w:sz w:val="22"/>
          <w:szCs w:val="22"/>
        </w:rPr>
        <w:t>.</w:t>
      </w:r>
      <w:r w:rsidRPr="008608A9">
        <w:rPr>
          <w:rFonts w:cs="Arial"/>
          <w:sz w:val="22"/>
          <w:szCs w:val="22"/>
        </w:rPr>
        <w:t>A</w:t>
      </w:r>
      <w:r w:rsidR="00290532" w:rsidRPr="008608A9">
        <w:rPr>
          <w:rFonts w:cs="Arial"/>
          <w:sz w:val="22"/>
          <w:szCs w:val="22"/>
        </w:rPr>
        <w:t>.</w:t>
      </w:r>
      <w:r w:rsidRPr="008608A9">
        <w:rPr>
          <w:rFonts w:cs="Arial"/>
          <w:sz w:val="22"/>
          <w:szCs w:val="22"/>
        </w:rPr>
        <w:t>, Grath-Lone</w:t>
      </w:r>
      <w:r w:rsidR="00290532" w:rsidRPr="008608A9">
        <w:rPr>
          <w:rFonts w:cs="Arial"/>
          <w:sz w:val="22"/>
          <w:szCs w:val="22"/>
        </w:rPr>
        <w:t>,</w:t>
      </w:r>
      <w:r w:rsidRPr="008608A9">
        <w:rPr>
          <w:rFonts w:cs="Arial"/>
          <w:sz w:val="22"/>
          <w:szCs w:val="22"/>
        </w:rPr>
        <w:t xml:space="preserve"> L</w:t>
      </w:r>
      <w:r w:rsidR="00290532" w:rsidRPr="008608A9">
        <w:rPr>
          <w:rFonts w:cs="Arial"/>
          <w:sz w:val="22"/>
          <w:szCs w:val="22"/>
        </w:rPr>
        <w:t>.</w:t>
      </w:r>
      <w:r w:rsidRPr="008608A9">
        <w:rPr>
          <w:rFonts w:cs="Arial"/>
          <w:sz w:val="22"/>
          <w:szCs w:val="22"/>
        </w:rPr>
        <w:t>, De Stavola</w:t>
      </w:r>
      <w:r w:rsidR="00290532" w:rsidRPr="008608A9">
        <w:rPr>
          <w:rFonts w:cs="Arial"/>
          <w:sz w:val="22"/>
          <w:szCs w:val="22"/>
        </w:rPr>
        <w:t>,</w:t>
      </w:r>
      <w:r w:rsidRPr="008608A9">
        <w:rPr>
          <w:rFonts w:cs="Arial"/>
          <w:sz w:val="22"/>
          <w:szCs w:val="22"/>
        </w:rPr>
        <w:t xml:space="preserve"> B</w:t>
      </w:r>
      <w:r w:rsidR="00290532" w:rsidRPr="008608A9">
        <w:rPr>
          <w:rFonts w:cs="Arial"/>
          <w:sz w:val="22"/>
          <w:szCs w:val="22"/>
        </w:rPr>
        <w:t>.</w:t>
      </w:r>
      <w:r w:rsidRPr="008608A9">
        <w:rPr>
          <w:rFonts w:cs="Arial"/>
          <w:sz w:val="22"/>
          <w:szCs w:val="22"/>
        </w:rPr>
        <w:t>, Gilbert</w:t>
      </w:r>
      <w:r w:rsidR="00290532" w:rsidRPr="008608A9">
        <w:rPr>
          <w:rFonts w:cs="Arial"/>
          <w:sz w:val="22"/>
          <w:szCs w:val="22"/>
        </w:rPr>
        <w:t>,</w:t>
      </w:r>
      <w:r w:rsidRPr="008608A9">
        <w:rPr>
          <w:rFonts w:cs="Arial"/>
          <w:sz w:val="22"/>
          <w:szCs w:val="22"/>
        </w:rPr>
        <w:t xml:space="preserve"> R.</w:t>
      </w:r>
      <w:r w:rsidR="0069332D" w:rsidRPr="008608A9">
        <w:rPr>
          <w:sz w:val="22"/>
          <w:szCs w:val="22"/>
        </w:rPr>
        <w:t xml:space="preserve"> (2022). </w:t>
      </w:r>
      <w:hyperlink r:id="rId177" w:history="1">
        <w:r w:rsidR="0069332D" w:rsidRPr="008608A9">
          <w:rPr>
            <w:rStyle w:val="Hyperlink"/>
            <w:rFonts w:cs="Arial"/>
            <w:sz w:val="22"/>
            <w:szCs w:val="22"/>
          </w:rPr>
          <w:t>Evaluation of pushing out of children from all English state schools: Administrative data cohort study of children receiving social care and their peers</w:t>
        </w:r>
      </w:hyperlink>
      <w:r w:rsidRPr="008608A9">
        <w:rPr>
          <w:rFonts w:cs="Arial"/>
          <w:sz w:val="22"/>
          <w:szCs w:val="22"/>
        </w:rPr>
        <w:t xml:space="preserve">. </w:t>
      </w:r>
      <w:r w:rsidR="0069332D" w:rsidRPr="008608A9">
        <w:rPr>
          <w:rFonts w:cs="Arial"/>
          <w:i/>
          <w:iCs/>
          <w:sz w:val="22"/>
          <w:szCs w:val="22"/>
        </w:rPr>
        <w:t>Child Abuse &amp; Neglect</w:t>
      </w:r>
      <w:r w:rsidRPr="008608A9">
        <w:rPr>
          <w:rFonts w:cs="Arial"/>
          <w:sz w:val="22"/>
          <w:szCs w:val="22"/>
        </w:rPr>
        <w:t>.127:105582.</w:t>
      </w:r>
    </w:p>
  </w:endnote>
  <w:endnote w:id="179">
    <w:p w14:paraId="3D2A8898" w14:textId="58073178" w:rsidR="00654504" w:rsidRPr="008608A9" w:rsidRDefault="00941398" w:rsidP="00587ADD">
      <w:pPr>
        <w:pStyle w:val="EndnoteText"/>
        <w:rPr>
          <w:rFonts w:cs="Arial"/>
          <w:sz w:val="22"/>
          <w:szCs w:val="22"/>
        </w:rPr>
      </w:pPr>
      <w:r w:rsidRPr="008608A9">
        <w:rPr>
          <w:rStyle w:val="EndnoteReference"/>
          <w:rFonts w:cs="Arial"/>
          <w:sz w:val="22"/>
          <w:szCs w:val="22"/>
        </w:rPr>
        <w:endnoteRef/>
      </w:r>
      <w:r w:rsidRPr="008608A9">
        <w:rPr>
          <w:rFonts w:cs="Arial"/>
          <w:sz w:val="22"/>
          <w:szCs w:val="22"/>
        </w:rPr>
        <w:t xml:space="preserve"> Melkman</w:t>
      </w:r>
      <w:r w:rsidR="00290532" w:rsidRPr="008608A9">
        <w:rPr>
          <w:rFonts w:cs="Arial"/>
          <w:sz w:val="22"/>
          <w:szCs w:val="22"/>
        </w:rPr>
        <w:t>,</w:t>
      </w:r>
      <w:r w:rsidRPr="008608A9">
        <w:rPr>
          <w:rFonts w:cs="Arial"/>
          <w:sz w:val="22"/>
          <w:szCs w:val="22"/>
        </w:rPr>
        <w:t xml:space="preserve"> E</w:t>
      </w:r>
      <w:r w:rsidR="00290532" w:rsidRPr="008608A9">
        <w:rPr>
          <w:rFonts w:cs="Arial"/>
          <w:sz w:val="22"/>
          <w:szCs w:val="22"/>
        </w:rPr>
        <w:t>.</w:t>
      </w:r>
      <w:r w:rsidRPr="008608A9">
        <w:rPr>
          <w:rFonts w:cs="Arial"/>
          <w:sz w:val="22"/>
          <w:szCs w:val="22"/>
        </w:rPr>
        <w:t>P.</w:t>
      </w:r>
      <w:r w:rsidR="0021602E" w:rsidRPr="008608A9">
        <w:rPr>
          <w:rFonts w:cs="Arial"/>
          <w:sz w:val="22"/>
          <w:szCs w:val="22"/>
        </w:rPr>
        <w:t xml:space="preserve"> (2022)</w:t>
      </w:r>
      <w:r w:rsidR="00050A84" w:rsidRPr="008608A9">
        <w:rPr>
          <w:rFonts w:cs="Arial"/>
          <w:sz w:val="22"/>
          <w:szCs w:val="22"/>
        </w:rPr>
        <w:t>.</w:t>
      </w:r>
      <w:r w:rsidR="0021602E" w:rsidRPr="008608A9">
        <w:rPr>
          <w:sz w:val="22"/>
          <w:szCs w:val="22"/>
        </w:rPr>
        <w:t xml:space="preserve"> </w:t>
      </w:r>
      <w:hyperlink r:id="rId178" w:history="1">
        <w:r w:rsidR="0021602E" w:rsidRPr="008608A9">
          <w:rPr>
            <w:rStyle w:val="Hyperlink"/>
            <w:rFonts w:cs="Arial"/>
            <w:sz w:val="22"/>
            <w:szCs w:val="22"/>
          </w:rPr>
          <w:t>Predicting out-of-school suspensions among youth in care in England: A national cohort study</w:t>
        </w:r>
      </w:hyperlink>
      <w:r w:rsidRPr="008608A9">
        <w:rPr>
          <w:rFonts w:cs="Arial"/>
          <w:sz w:val="22"/>
          <w:szCs w:val="22"/>
        </w:rPr>
        <w:t xml:space="preserve">. </w:t>
      </w:r>
      <w:r w:rsidR="00290532" w:rsidRPr="008608A9">
        <w:rPr>
          <w:rFonts w:cs="Arial"/>
          <w:i/>
          <w:iCs/>
          <w:sz w:val="22"/>
          <w:szCs w:val="22"/>
        </w:rPr>
        <w:t>Journal of School Psychology</w:t>
      </w:r>
      <w:r w:rsidRPr="008608A9">
        <w:rPr>
          <w:rFonts w:cs="Arial"/>
          <w:sz w:val="22"/>
          <w:szCs w:val="22"/>
        </w:rPr>
        <w:t>.</w:t>
      </w:r>
      <w:r w:rsidR="0021602E" w:rsidRPr="008608A9">
        <w:rPr>
          <w:rFonts w:cs="Arial"/>
          <w:sz w:val="22"/>
          <w:szCs w:val="22"/>
        </w:rPr>
        <w:t xml:space="preserve"> </w:t>
      </w:r>
      <w:r w:rsidRPr="008608A9">
        <w:rPr>
          <w:rFonts w:cs="Arial"/>
          <w:sz w:val="22"/>
          <w:szCs w:val="22"/>
        </w:rPr>
        <w:t>93:63-78.</w:t>
      </w:r>
    </w:p>
  </w:endnote>
  <w:endnote w:id="180">
    <w:p w14:paraId="6F0893DD" w14:textId="492B7734" w:rsidR="00941398" w:rsidRPr="008608A9" w:rsidRDefault="00941398" w:rsidP="00587ADD">
      <w:pPr>
        <w:pStyle w:val="EndnoteText"/>
        <w:rPr>
          <w:rFonts w:cs="Arial"/>
          <w:sz w:val="22"/>
          <w:szCs w:val="22"/>
        </w:rPr>
      </w:pPr>
      <w:r w:rsidRPr="008608A9">
        <w:rPr>
          <w:rStyle w:val="EndnoteReference"/>
          <w:rFonts w:cs="Arial"/>
          <w:sz w:val="22"/>
          <w:szCs w:val="22"/>
        </w:rPr>
        <w:endnoteRef/>
      </w:r>
      <w:r w:rsidRPr="008608A9">
        <w:rPr>
          <w:rFonts w:cs="Arial"/>
          <w:sz w:val="22"/>
          <w:szCs w:val="22"/>
        </w:rPr>
        <w:t xml:space="preserve"> </w:t>
      </w:r>
      <w:r w:rsidR="00BD1F46" w:rsidRPr="008608A9">
        <w:rPr>
          <w:rFonts w:cs="Arial"/>
          <w:sz w:val="22"/>
          <w:szCs w:val="22"/>
        </w:rPr>
        <w:t xml:space="preserve">Melkman E. P. (2020). </w:t>
      </w:r>
      <w:hyperlink r:id="rId179" w:history="1">
        <w:r w:rsidR="00BD1F46" w:rsidRPr="008608A9">
          <w:rPr>
            <w:rStyle w:val="Hyperlink"/>
            <w:rFonts w:cs="Arial"/>
            <w:sz w:val="22"/>
            <w:szCs w:val="22"/>
          </w:rPr>
          <w:t>Educational trajectories of children in care across the early education and primary school years: A national cohort study in England</w:t>
        </w:r>
      </w:hyperlink>
      <w:r w:rsidR="00BD1F46" w:rsidRPr="008608A9">
        <w:rPr>
          <w:rFonts w:cs="Arial"/>
          <w:sz w:val="22"/>
          <w:szCs w:val="22"/>
        </w:rPr>
        <w:t>. </w:t>
      </w:r>
      <w:r w:rsidR="00BD1F46" w:rsidRPr="008608A9">
        <w:rPr>
          <w:rFonts w:cs="Arial"/>
          <w:i/>
          <w:iCs/>
          <w:sz w:val="22"/>
          <w:szCs w:val="22"/>
        </w:rPr>
        <w:t>The American journal of orthopsychiatry</w:t>
      </w:r>
      <w:r w:rsidR="00BD1F46" w:rsidRPr="008608A9">
        <w:rPr>
          <w:rFonts w:cs="Arial"/>
          <w:sz w:val="22"/>
          <w:szCs w:val="22"/>
        </w:rPr>
        <w:t>, </w:t>
      </w:r>
      <w:r w:rsidR="00BD1F46" w:rsidRPr="008608A9">
        <w:rPr>
          <w:rFonts w:cs="Arial"/>
          <w:i/>
          <w:iCs/>
          <w:sz w:val="22"/>
          <w:szCs w:val="22"/>
        </w:rPr>
        <w:t>90</w:t>
      </w:r>
      <w:r w:rsidR="00BD1F46" w:rsidRPr="008608A9">
        <w:rPr>
          <w:rFonts w:cs="Arial"/>
          <w:sz w:val="22"/>
          <w:szCs w:val="22"/>
        </w:rPr>
        <w:t>(6), 720–732</w:t>
      </w:r>
      <w:r w:rsidR="00A44868" w:rsidRPr="008608A9">
        <w:rPr>
          <w:rFonts w:cs="Arial"/>
          <w:sz w:val="22"/>
          <w:szCs w:val="22"/>
        </w:rPr>
        <w:t>.</w:t>
      </w:r>
    </w:p>
  </w:endnote>
  <w:endnote w:id="181">
    <w:p w14:paraId="06C0F6FB" w14:textId="2388D039" w:rsidR="00050A84" w:rsidRPr="008608A9" w:rsidRDefault="003F5CBF" w:rsidP="00587ADD">
      <w:pPr>
        <w:pStyle w:val="EndnoteText"/>
        <w:rPr>
          <w:sz w:val="22"/>
          <w:szCs w:val="22"/>
        </w:rPr>
      </w:pPr>
      <w:r w:rsidRPr="008608A9">
        <w:rPr>
          <w:rStyle w:val="EndnoteReference"/>
          <w:sz w:val="22"/>
          <w:szCs w:val="22"/>
        </w:rPr>
        <w:endnoteRef/>
      </w:r>
      <w:r w:rsidRPr="008608A9">
        <w:rPr>
          <w:sz w:val="22"/>
          <w:szCs w:val="22"/>
        </w:rPr>
        <w:t xml:space="preserve"> Best, R., Cameron, C., &amp; Hill, V. (2021). </w:t>
      </w:r>
      <w:hyperlink r:id="rId180" w:history="1">
        <w:r w:rsidR="008B0940" w:rsidRPr="008608A9">
          <w:rPr>
            <w:rStyle w:val="Hyperlink"/>
            <w:sz w:val="22"/>
            <w:szCs w:val="22"/>
          </w:rPr>
          <w:t>Exploring the educational experiences of children and young people adopted from care: Using the voices of children and parents to inform practice</w:t>
        </w:r>
      </w:hyperlink>
      <w:r w:rsidRPr="008608A9">
        <w:rPr>
          <w:sz w:val="22"/>
          <w:szCs w:val="22"/>
        </w:rPr>
        <w:t xml:space="preserve">. </w:t>
      </w:r>
      <w:r w:rsidRPr="008608A9">
        <w:rPr>
          <w:i/>
          <w:iCs/>
          <w:sz w:val="22"/>
          <w:szCs w:val="22"/>
        </w:rPr>
        <w:t>Adoption &amp; Fostering</w:t>
      </w:r>
      <w:r w:rsidRPr="008608A9">
        <w:rPr>
          <w:sz w:val="22"/>
          <w:szCs w:val="22"/>
        </w:rPr>
        <w:t>, 45(4), 359-381.</w:t>
      </w:r>
    </w:p>
  </w:endnote>
  <w:endnote w:id="182">
    <w:p w14:paraId="39456D2B" w14:textId="09EA3D24" w:rsidR="00694E50" w:rsidRPr="008608A9" w:rsidRDefault="00E35443" w:rsidP="00587ADD">
      <w:pPr>
        <w:pStyle w:val="EndnoteText"/>
        <w:rPr>
          <w:rFonts w:cs="Arial"/>
          <w:sz w:val="22"/>
          <w:szCs w:val="22"/>
        </w:rPr>
      </w:pPr>
      <w:r w:rsidRPr="008608A9">
        <w:rPr>
          <w:rStyle w:val="EndnoteReference"/>
          <w:rFonts w:cs="Arial"/>
          <w:sz w:val="22"/>
          <w:szCs w:val="22"/>
        </w:rPr>
        <w:endnoteRef/>
      </w:r>
      <w:r w:rsidRPr="008608A9">
        <w:rPr>
          <w:rFonts w:cs="Arial"/>
          <w:sz w:val="22"/>
          <w:szCs w:val="22"/>
        </w:rPr>
        <w:t xml:space="preserve"> Varsik, S. </w:t>
      </w:r>
      <w:r w:rsidR="00886A96">
        <w:rPr>
          <w:rFonts w:cs="Arial"/>
          <w:sz w:val="22"/>
          <w:szCs w:val="22"/>
        </w:rPr>
        <w:t>&amp;</w:t>
      </w:r>
      <w:r w:rsidRPr="008608A9">
        <w:rPr>
          <w:rFonts w:cs="Arial"/>
          <w:sz w:val="22"/>
          <w:szCs w:val="22"/>
        </w:rPr>
        <w:t xml:space="preserve"> Gorochovskij</w:t>
      </w:r>
      <w:r w:rsidR="00DA3E19">
        <w:rPr>
          <w:rFonts w:cs="Arial"/>
          <w:sz w:val="22"/>
          <w:szCs w:val="22"/>
        </w:rPr>
        <w:t>, J.</w:t>
      </w:r>
      <w:r w:rsidRPr="008608A9">
        <w:rPr>
          <w:rFonts w:cs="Arial"/>
          <w:sz w:val="22"/>
          <w:szCs w:val="22"/>
        </w:rPr>
        <w:t xml:space="preserve"> (2023).</w:t>
      </w:r>
      <w:r w:rsidR="00694E50" w:rsidRPr="008608A9">
        <w:rPr>
          <w:rFonts w:eastAsiaTheme="minorHAnsi" w:cstheme="minorBidi"/>
          <w:sz w:val="22"/>
          <w:szCs w:val="22"/>
          <w:lang w:eastAsia="en-US"/>
        </w:rPr>
        <w:t xml:space="preserve"> </w:t>
      </w:r>
      <w:hyperlink r:id="rId181" w:history="1">
        <w:r w:rsidR="00694E50" w:rsidRPr="008608A9">
          <w:rPr>
            <w:rStyle w:val="Hyperlink"/>
            <w:rFonts w:cs="Arial"/>
            <w:sz w:val="22"/>
            <w:szCs w:val="22"/>
          </w:rPr>
          <w:t>Intersectionality in education: Rationale and practices to address the needs of students’ intersecting identities</w:t>
        </w:r>
      </w:hyperlink>
      <w:r w:rsidRPr="008608A9">
        <w:rPr>
          <w:rFonts w:cs="Arial"/>
          <w:sz w:val="22"/>
          <w:szCs w:val="22"/>
        </w:rPr>
        <w:t>. </w:t>
      </w:r>
      <w:r w:rsidRPr="008608A9">
        <w:rPr>
          <w:rFonts w:cs="Arial"/>
          <w:i/>
          <w:sz w:val="22"/>
          <w:szCs w:val="22"/>
        </w:rPr>
        <w:t>OECD Education Working Papers</w:t>
      </w:r>
      <w:r w:rsidRPr="008608A9">
        <w:rPr>
          <w:rFonts w:cs="Arial"/>
          <w:sz w:val="22"/>
          <w:szCs w:val="22"/>
        </w:rPr>
        <w:t>, No. 302, OECD Publishing, Paris</w:t>
      </w:r>
      <w:r w:rsidR="005B34D3" w:rsidRPr="008608A9">
        <w:rPr>
          <w:rFonts w:cs="Arial"/>
          <w:sz w:val="22"/>
          <w:szCs w:val="22"/>
        </w:rPr>
        <w:t>.</w:t>
      </w:r>
    </w:p>
  </w:endnote>
  <w:endnote w:id="183">
    <w:p w14:paraId="17C21946" w14:textId="376D0827" w:rsidR="00872196" w:rsidRPr="008608A9" w:rsidRDefault="00872196" w:rsidP="00587ADD">
      <w:pPr>
        <w:pStyle w:val="EndnoteText"/>
        <w:rPr>
          <w:rFonts w:cs="Arial"/>
          <w:sz w:val="22"/>
          <w:szCs w:val="22"/>
        </w:rPr>
      </w:pPr>
      <w:r w:rsidRPr="008608A9">
        <w:rPr>
          <w:rStyle w:val="EndnoteReference"/>
          <w:rFonts w:cs="Arial"/>
          <w:sz w:val="22"/>
          <w:szCs w:val="22"/>
        </w:rPr>
        <w:endnoteRef/>
      </w:r>
      <w:r w:rsidRPr="008608A9">
        <w:rPr>
          <w:rFonts w:cs="Arial"/>
          <w:sz w:val="22"/>
          <w:szCs w:val="22"/>
        </w:rPr>
        <w:t xml:space="preserve"> Allen-Biddell, D </w:t>
      </w:r>
      <w:r w:rsidR="00886A96">
        <w:rPr>
          <w:rFonts w:cs="Arial"/>
          <w:sz w:val="22"/>
          <w:szCs w:val="22"/>
        </w:rPr>
        <w:t>&amp;</w:t>
      </w:r>
      <w:r w:rsidRPr="008608A9">
        <w:rPr>
          <w:rFonts w:cs="Arial"/>
          <w:sz w:val="22"/>
          <w:szCs w:val="22"/>
        </w:rPr>
        <w:t xml:space="preserve"> Bond, C.</w:t>
      </w:r>
      <w:r w:rsidR="004A49BF" w:rsidRPr="008608A9">
        <w:rPr>
          <w:rFonts w:cs="Arial"/>
          <w:sz w:val="22"/>
          <w:szCs w:val="22"/>
        </w:rPr>
        <w:t xml:space="preserve"> (2022)</w:t>
      </w:r>
      <w:r w:rsidRPr="008608A9">
        <w:rPr>
          <w:rFonts w:cs="Arial"/>
          <w:sz w:val="22"/>
          <w:szCs w:val="22"/>
        </w:rPr>
        <w:t xml:space="preserve"> </w:t>
      </w:r>
      <w:hyperlink r:id="rId182" w:tgtFrame="_blank" w:tooltip="10.53841/bpsecp.2022.39.1.76" w:history="1">
        <w:r w:rsidR="004A49BF" w:rsidRPr="008608A9">
          <w:rPr>
            <w:rStyle w:val="Hyperlink"/>
            <w:rFonts w:cs="Arial"/>
            <w:sz w:val="22"/>
            <w:szCs w:val="22"/>
          </w:rPr>
          <w:t xml:space="preserve">What are the experiences and practices of educational psychologists when working with and supporting autistic, gender-diverse children and young people? </w:t>
        </w:r>
      </w:hyperlink>
      <w:r w:rsidR="00C75E33" w:rsidRPr="008608A9">
        <w:rPr>
          <w:sz w:val="22"/>
          <w:szCs w:val="22"/>
        </w:rPr>
        <w:t xml:space="preserve"> </w:t>
      </w:r>
      <w:r w:rsidR="00C75E33" w:rsidRPr="008608A9">
        <w:rPr>
          <w:rFonts w:cs="Arial"/>
          <w:i/>
          <w:iCs/>
          <w:sz w:val="22"/>
          <w:szCs w:val="22"/>
        </w:rPr>
        <w:t>Educational and Child Psychology</w:t>
      </w:r>
      <w:r w:rsidRPr="008608A9">
        <w:rPr>
          <w:rFonts w:cs="Arial"/>
          <w:sz w:val="22"/>
          <w:szCs w:val="22"/>
        </w:rPr>
        <w:t>.</w:t>
      </w:r>
      <w:r w:rsidR="004A49BF" w:rsidRPr="008608A9">
        <w:rPr>
          <w:rFonts w:cs="Arial"/>
          <w:sz w:val="22"/>
          <w:szCs w:val="22"/>
        </w:rPr>
        <w:t xml:space="preserve"> </w:t>
      </w:r>
      <w:r w:rsidRPr="008608A9">
        <w:rPr>
          <w:rFonts w:cs="Arial"/>
          <w:sz w:val="22"/>
          <w:szCs w:val="22"/>
        </w:rPr>
        <w:t>39(1):76-91</w:t>
      </w:r>
      <w:r w:rsidR="004A49BF" w:rsidRPr="008608A9">
        <w:rPr>
          <w:rFonts w:cs="Arial"/>
          <w:sz w:val="22"/>
          <w:szCs w:val="22"/>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ucida Grande">
    <w:altName w:val="Segoe UI"/>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4EF3" w14:textId="77777777" w:rsidR="00664B12" w:rsidRPr="003B62FF" w:rsidRDefault="00664B12">
    <w:pPr>
      <w:pStyle w:val="Footer"/>
      <w:jc w:val="center"/>
    </w:pPr>
    <w:r w:rsidRPr="003B62FF">
      <w:fldChar w:fldCharType="begin"/>
    </w:r>
    <w:r w:rsidRPr="003B62FF">
      <w:instrText xml:space="preserve"> PAGE   \* MERGEFORMAT </w:instrText>
    </w:r>
    <w:r w:rsidRPr="003B62FF">
      <w:fldChar w:fldCharType="separate"/>
    </w:r>
    <w:r w:rsidR="009A6E2A">
      <w:rPr>
        <w:noProof/>
      </w:rPr>
      <w:t>2</w:t>
    </w:r>
    <w:r w:rsidRPr="003B62F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4EF4" w14:textId="77777777" w:rsidR="00664B12" w:rsidRPr="00EC3D4A" w:rsidRDefault="00664B12">
    <w:pPr>
      <w:pStyle w:val="Footer"/>
      <w:jc w:val="center"/>
      <w:rPr>
        <w:b/>
      </w:rPr>
    </w:pPr>
    <w:r w:rsidRPr="00EC3D4A">
      <w:rPr>
        <w:b/>
      </w:rPr>
      <w:fldChar w:fldCharType="begin"/>
    </w:r>
    <w:r w:rsidRPr="00EC3D4A">
      <w:rPr>
        <w:b/>
      </w:rPr>
      <w:instrText xml:space="preserve"> PAGE   \* MERGEFORMAT </w:instrText>
    </w:r>
    <w:r w:rsidRPr="00EC3D4A">
      <w:rPr>
        <w:b/>
      </w:rPr>
      <w:fldChar w:fldCharType="separate"/>
    </w:r>
    <w:r w:rsidR="009A6E2A">
      <w:rPr>
        <w:b/>
        <w:noProof/>
      </w:rPr>
      <w:t>3</w:t>
    </w:r>
    <w:r w:rsidRPr="00EC3D4A">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2B68B" w14:textId="77777777" w:rsidR="007C56DF" w:rsidRDefault="007C56DF" w:rsidP="000C4039">
      <w:pPr>
        <w:spacing w:after="0" w:line="240" w:lineRule="auto"/>
      </w:pPr>
      <w:r>
        <w:separator/>
      </w:r>
    </w:p>
  </w:footnote>
  <w:footnote w:type="continuationSeparator" w:id="0">
    <w:p w14:paraId="5574A32B" w14:textId="77777777" w:rsidR="007C56DF" w:rsidRDefault="007C56DF" w:rsidP="000C4039">
      <w:pPr>
        <w:spacing w:after="0" w:line="240" w:lineRule="auto"/>
      </w:pPr>
      <w:r>
        <w:continuationSeparator/>
      </w:r>
    </w:p>
  </w:footnote>
  <w:footnote w:type="continuationNotice" w:id="1">
    <w:p w14:paraId="1FA6449C" w14:textId="77777777" w:rsidR="007C56DF" w:rsidRDefault="007C56DF">
      <w:pPr>
        <w:spacing w:after="0" w:line="240" w:lineRule="auto"/>
      </w:pPr>
    </w:p>
  </w:footnote>
  <w:footnote w:id="2">
    <w:p w14:paraId="61A8A3E3" w14:textId="5AE34B49" w:rsidR="00EA0E0F" w:rsidRDefault="00EA0E0F">
      <w:pPr>
        <w:pStyle w:val="FootnoteText"/>
      </w:pPr>
      <w:r>
        <w:rPr>
          <w:rStyle w:val="FootnoteReference"/>
        </w:rPr>
        <w:footnoteRef/>
      </w:r>
      <w:r>
        <w:t xml:space="preserve"> </w:t>
      </w:r>
      <w:r w:rsidRPr="00EA0E0F">
        <w:t>Coroners have a duty to issue a Prevention of Future Death (PFD) report to any person or organisation where, in the opinion of the coroner, action should be taken to prevent future deaths</w:t>
      </w:r>
      <w:r>
        <w:t>.</w:t>
      </w:r>
    </w:p>
  </w:footnote>
  <w:footnote w:id="3">
    <w:p w14:paraId="15F84F78" w14:textId="4CD381C3" w:rsidR="00C22A64" w:rsidRDefault="00C22A64" w:rsidP="00C22A64">
      <w:pPr>
        <w:pStyle w:val="FootnoteText"/>
      </w:pPr>
      <w:r>
        <w:rPr>
          <w:rStyle w:val="FootnoteReference"/>
        </w:rPr>
        <w:footnoteRef/>
      </w:r>
      <w:r>
        <w:t xml:space="preserve"> A dependent child is defined as an individual aged under 16. A person will also be defined as a child if they are 16 to 19 years old and they are: not married nor in a civil partnership nor living with a partner; </w:t>
      </w:r>
      <w:r w:rsidR="00B64D82">
        <w:t>and</w:t>
      </w:r>
      <w:r>
        <w:t xml:space="preserve"> living with parents (or a responsible adult); and in full-time non-advanced education or in unwaged government training.</w:t>
      </w:r>
    </w:p>
  </w:footnote>
  <w:footnote w:id="4">
    <w:p w14:paraId="2DED726D" w14:textId="77777777" w:rsidR="00B646D9" w:rsidRDefault="00B646D9" w:rsidP="00B646D9">
      <w:pPr>
        <w:pStyle w:val="FootnoteText"/>
      </w:pPr>
      <w:r>
        <w:rPr>
          <w:rStyle w:val="FootnoteReference"/>
        </w:rPr>
        <w:footnoteRef/>
      </w:r>
      <w:r>
        <w:t xml:space="preserve"> The Department for Education SEN categories are overdue a review, however they introduced a new</w:t>
      </w:r>
    </w:p>
    <w:p w14:paraId="094B8C2E" w14:textId="77777777" w:rsidR="00B646D9" w:rsidRDefault="00B646D9" w:rsidP="00B646D9">
      <w:pPr>
        <w:pStyle w:val="FootnoteText"/>
      </w:pPr>
      <w:r>
        <w:t>category of Down Syndrome this year – only a few have been recorded in this new category in Brighton and Hove schools and the national SEN data for this year has not been published, so there is currently no</w:t>
      </w:r>
    </w:p>
    <w:p w14:paraId="324D6640" w14:textId="77777777" w:rsidR="00B646D9" w:rsidRDefault="00B646D9" w:rsidP="00B646D9">
      <w:pPr>
        <w:pStyle w:val="FootnoteText"/>
      </w:pPr>
      <w:r>
        <w:t>benchmark for Down Syndrome.</w:t>
      </w:r>
    </w:p>
  </w:footnote>
  <w:footnote w:id="5">
    <w:p w14:paraId="0262F2FF" w14:textId="710F67EB" w:rsidR="00CF2F8E" w:rsidRDefault="00CF2F8E">
      <w:pPr>
        <w:pStyle w:val="FootnoteText"/>
      </w:pPr>
      <w:r>
        <w:rPr>
          <w:rStyle w:val="FootnoteReference"/>
        </w:rPr>
        <w:footnoteRef/>
      </w:r>
      <w:r>
        <w:t xml:space="preserve"> </w:t>
      </w:r>
      <w:r w:rsidRPr="00595FE6">
        <w:rPr>
          <w:rFonts w:cs="Arial"/>
          <w:szCs w:val="24"/>
        </w:rPr>
        <w:t>This includes English Language; English Literature; Mathematics; 3 further qualifications that count in the English Baccalaureate (EBacc); and 3 further qualifications that can be GCSE qualifications (including EBacc subjects) or any other non-GCSE qualifications on the approved DfE list.</w:t>
      </w:r>
    </w:p>
  </w:footnote>
  <w:footnote w:id="6">
    <w:p w14:paraId="103D9EB3" w14:textId="0EDDFD6C" w:rsidR="00BA4C31" w:rsidRDefault="00BA4C31">
      <w:pPr>
        <w:pStyle w:val="FootnoteText"/>
      </w:pPr>
      <w:r>
        <w:rPr>
          <w:rStyle w:val="FootnoteReference"/>
        </w:rPr>
        <w:footnoteRef/>
      </w:r>
      <w:r>
        <w:t xml:space="preserve"> </w:t>
      </w:r>
      <w:r w:rsidRPr="000E3814">
        <w:rPr>
          <w:rFonts w:cs="Arial"/>
        </w:rPr>
        <w:t xml:space="preserve">There are 4 designated primary SEND </w:t>
      </w:r>
      <w:r>
        <w:rPr>
          <w:rFonts w:cs="Arial"/>
        </w:rPr>
        <w:t xml:space="preserve">needs </w:t>
      </w:r>
      <w:r w:rsidRPr="000E3814">
        <w:rPr>
          <w:rFonts w:cs="Arial"/>
        </w:rPr>
        <w:t>of children and young people recorded in the register. This includes communication and interaction, social emotional and mental health needs, cognition and learning, sensory and physical.</w:t>
      </w:r>
      <w:r w:rsidRPr="00092941">
        <w:rPr>
          <w:rFonts w:cs="Arial"/>
          <w:bCs/>
        </w:rPr>
        <w:t xml:space="preserve"> Not all children identified as</w:t>
      </w:r>
      <w:r>
        <w:rPr>
          <w:rFonts w:cs="Arial"/>
          <w:bCs/>
        </w:rPr>
        <w:t xml:space="preserve"> SEN on the register have a primary need recorded.</w:t>
      </w:r>
    </w:p>
  </w:footnote>
  <w:footnote w:id="7">
    <w:p w14:paraId="0884A423" w14:textId="7AB4C289" w:rsidR="00C53C68" w:rsidRDefault="00C53C68">
      <w:pPr>
        <w:pStyle w:val="FootnoteText"/>
      </w:pPr>
      <w:r>
        <w:rPr>
          <w:rStyle w:val="FootnoteReference"/>
        </w:rPr>
        <w:footnoteRef/>
      </w:r>
      <w:r>
        <w:t xml:space="preserve"> </w:t>
      </w:r>
      <w:r w:rsidRPr="00595FE6">
        <w:rPr>
          <w:rFonts w:cs="Arial"/>
          <w:szCs w:val="24"/>
        </w:rPr>
        <w:t>High tariff higher education are educational institutions that require the strongest A level grades and the most UCAS points for entry.</w:t>
      </w:r>
    </w:p>
  </w:footnote>
  <w:footnote w:id="8">
    <w:p w14:paraId="792C95C0" w14:textId="77777777" w:rsidR="00EE6437" w:rsidRPr="00AB2F0A" w:rsidRDefault="00EE6437" w:rsidP="00EE6437">
      <w:pPr>
        <w:pStyle w:val="FootnoteText"/>
      </w:pPr>
      <w:r w:rsidRPr="00AB2F0A">
        <w:rPr>
          <w:rStyle w:val="FootnoteReference"/>
        </w:rPr>
        <w:footnoteRef/>
      </w:r>
      <w:r w:rsidRPr="00AB2F0A">
        <w:t xml:space="preserve"> SEN breakdown figures (EHC Plan &amp; SEN Support) are not available at Local Authority Level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4EF5" w14:textId="77777777" w:rsidR="00664B12" w:rsidRPr="00292E8B" w:rsidRDefault="00664B12">
    <w:pPr>
      <w:pStyle w:val="Header"/>
      <w:rPr>
        <w:b/>
      </w:rPr>
    </w:pPr>
    <w:r w:rsidRPr="00292E8B">
      <w:rPr>
        <w:b/>
      </w:rPr>
      <w:t>Even page header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4EF6" w14:textId="77777777" w:rsidR="00664B12" w:rsidRPr="00292E8B" w:rsidRDefault="00664B12" w:rsidP="00292E8B">
    <w:pPr>
      <w:pStyle w:val="Header"/>
      <w:jc w:val="right"/>
      <w:rPr>
        <w:b/>
      </w:rPr>
    </w:pPr>
    <w:r>
      <w:rPr>
        <w:b/>
      </w:rPr>
      <w:t>Odd</w:t>
    </w:r>
    <w:r w:rsidRPr="00292E8B">
      <w:rPr>
        <w:b/>
      </w:rPr>
      <w:t xml:space="preserve"> page header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4EF7" w14:textId="77777777" w:rsidR="00664B12" w:rsidRPr="00292E8B" w:rsidRDefault="00664B12" w:rsidP="00292E8B">
    <w:pPr>
      <w:pStyle w:val="Header"/>
      <w:jc w:val="right"/>
      <w:rPr>
        <w:b/>
      </w:rPr>
    </w:pPr>
    <w:r>
      <w:rPr>
        <w:b/>
      </w:rPr>
      <w:t>Odd</w:t>
    </w:r>
    <w:r w:rsidRPr="00292E8B">
      <w:rPr>
        <w:b/>
      </w:rPr>
      <w:t xml:space="preserve"> page header</w:t>
    </w:r>
    <w:r>
      <w:rPr>
        <w:b/>
      </w:rPr>
      <w:t xml:space="preserve"> section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F8B87" w14:textId="77777777" w:rsidR="00975328" w:rsidRPr="00292E8B" w:rsidRDefault="00975328" w:rsidP="00292E8B">
    <w:pPr>
      <w:pStyle w:val="Header"/>
      <w:jc w:val="right"/>
      <w:rPr>
        <w:b/>
      </w:rPr>
    </w:pPr>
    <w:r>
      <w:rPr>
        <w:b/>
      </w:rPr>
      <w:t>Odd</w:t>
    </w:r>
    <w:r w:rsidRPr="00292E8B">
      <w:rPr>
        <w:b/>
      </w:rPr>
      <w:t xml:space="preserve"> page header</w:t>
    </w:r>
    <w:r>
      <w:rPr>
        <w:b/>
      </w:rPr>
      <w:t xml:space="preserve"> section 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E336" w14:textId="77777777" w:rsidR="00997D43" w:rsidRPr="00292E8B" w:rsidRDefault="00997D43" w:rsidP="00292E8B">
    <w:pPr>
      <w:pStyle w:val="Header"/>
      <w:jc w:val="right"/>
      <w:rPr>
        <w:b/>
      </w:rPr>
    </w:pPr>
    <w:r>
      <w:rPr>
        <w:b/>
      </w:rPr>
      <w:t>Odd</w:t>
    </w:r>
    <w:r w:rsidRPr="00292E8B">
      <w:rPr>
        <w:b/>
      </w:rPr>
      <w:t xml:space="preserve"> page header</w:t>
    </w:r>
    <w:r>
      <w:rPr>
        <w:b/>
      </w:rPr>
      <w:t xml:space="preserve"> section 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144C5" w14:textId="77777777" w:rsidR="00B80208" w:rsidRPr="00292E8B" w:rsidRDefault="00B80208" w:rsidP="00292E8B">
    <w:pPr>
      <w:pStyle w:val="Header"/>
      <w:jc w:val="right"/>
      <w:rPr>
        <w:b/>
      </w:rPr>
    </w:pPr>
    <w:r>
      <w:rPr>
        <w:b/>
      </w:rPr>
      <w:t>Odd</w:t>
    </w:r>
    <w:r w:rsidRPr="00292E8B">
      <w:rPr>
        <w:b/>
      </w:rPr>
      <w:t xml:space="preserve"> page header</w:t>
    </w:r>
    <w:r>
      <w:rPr>
        <w:b/>
      </w:rPr>
      <w:t xml:space="preserve"> section 2</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355"/>
    <w:multiLevelType w:val="hybridMultilevel"/>
    <w:tmpl w:val="097E9654"/>
    <w:lvl w:ilvl="0" w:tplc="08090001">
      <w:start w:val="1"/>
      <w:numFmt w:val="bullet"/>
      <w:lvlText w:val=""/>
      <w:lvlJc w:val="left"/>
      <w:pPr>
        <w:ind w:left="9509" w:hanging="360"/>
      </w:pPr>
      <w:rPr>
        <w:rFonts w:ascii="Symbol" w:hAnsi="Symbol" w:hint="default"/>
      </w:rPr>
    </w:lvl>
    <w:lvl w:ilvl="1" w:tplc="08090003" w:tentative="1">
      <w:start w:val="1"/>
      <w:numFmt w:val="bullet"/>
      <w:lvlText w:val="o"/>
      <w:lvlJc w:val="left"/>
      <w:pPr>
        <w:ind w:left="10229" w:hanging="360"/>
      </w:pPr>
      <w:rPr>
        <w:rFonts w:ascii="Courier New" w:hAnsi="Courier New" w:cs="Courier New" w:hint="default"/>
      </w:rPr>
    </w:lvl>
    <w:lvl w:ilvl="2" w:tplc="08090005" w:tentative="1">
      <w:start w:val="1"/>
      <w:numFmt w:val="bullet"/>
      <w:lvlText w:val=""/>
      <w:lvlJc w:val="left"/>
      <w:pPr>
        <w:ind w:left="10949" w:hanging="360"/>
      </w:pPr>
      <w:rPr>
        <w:rFonts w:ascii="Wingdings" w:hAnsi="Wingdings" w:hint="default"/>
      </w:rPr>
    </w:lvl>
    <w:lvl w:ilvl="3" w:tplc="08090001" w:tentative="1">
      <w:start w:val="1"/>
      <w:numFmt w:val="bullet"/>
      <w:lvlText w:val=""/>
      <w:lvlJc w:val="left"/>
      <w:pPr>
        <w:ind w:left="11669" w:hanging="360"/>
      </w:pPr>
      <w:rPr>
        <w:rFonts w:ascii="Symbol" w:hAnsi="Symbol" w:hint="default"/>
      </w:rPr>
    </w:lvl>
    <w:lvl w:ilvl="4" w:tplc="08090003" w:tentative="1">
      <w:start w:val="1"/>
      <w:numFmt w:val="bullet"/>
      <w:lvlText w:val="o"/>
      <w:lvlJc w:val="left"/>
      <w:pPr>
        <w:ind w:left="12389" w:hanging="360"/>
      </w:pPr>
      <w:rPr>
        <w:rFonts w:ascii="Courier New" w:hAnsi="Courier New" w:cs="Courier New" w:hint="default"/>
      </w:rPr>
    </w:lvl>
    <w:lvl w:ilvl="5" w:tplc="08090005" w:tentative="1">
      <w:start w:val="1"/>
      <w:numFmt w:val="bullet"/>
      <w:lvlText w:val=""/>
      <w:lvlJc w:val="left"/>
      <w:pPr>
        <w:ind w:left="13109" w:hanging="360"/>
      </w:pPr>
      <w:rPr>
        <w:rFonts w:ascii="Wingdings" w:hAnsi="Wingdings" w:hint="default"/>
      </w:rPr>
    </w:lvl>
    <w:lvl w:ilvl="6" w:tplc="08090001" w:tentative="1">
      <w:start w:val="1"/>
      <w:numFmt w:val="bullet"/>
      <w:lvlText w:val=""/>
      <w:lvlJc w:val="left"/>
      <w:pPr>
        <w:ind w:left="13829" w:hanging="360"/>
      </w:pPr>
      <w:rPr>
        <w:rFonts w:ascii="Symbol" w:hAnsi="Symbol" w:hint="default"/>
      </w:rPr>
    </w:lvl>
    <w:lvl w:ilvl="7" w:tplc="08090003" w:tentative="1">
      <w:start w:val="1"/>
      <w:numFmt w:val="bullet"/>
      <w:lvlText w:val="o"/>
      <w:lvlJc w:val="left"/>
      <w:pPr>
        <w:ind w:left="14549" w:hanging="360"/>
      </w:pPr>
      <w:rPr>
        <w:rFonts w:ascii="Courier New" w:hAnsi="Courier New" w:cs="Courier New" w:hint="default"/>
      </w:rPr>
    </w:lvl>
    <w:lvl w:ilvl="8" w:tplc="08090005" w:tentative="1">
      <w:start w:val="1"/>
      <w:numFmt w:val="bullet"/>
      <w:lvlText w:val=""/>
      <w:lvlJc w:val="left"/>
      <w:pPr>
        <w:ind w:left="15269" w:hanging="360"/>
      </w:pPr>
      <w:rPr>
        <w:rFonts w:ascii="Wingdings" w:hAnsi="Wingdings" w:hint="default"/>
      </w:rPr>
    </w:lvl>
  </w:abstractNum>
  <w:abstractNum w:abstractNumId="1" w15:restartNumberingAfterBreak="0">
    <w:nsid w:val="015010BB"/>
    <w:multiLevelType w:val="hybridMultilevel"/>
    <w:tmpl w:val="1F30CCF6"/>
    <w:lvl w:ilvl="0" w:tplc="AAE8159E">
      <w:start w:val="1"/>
      <w:numFmt w:val="bullet"/>
      <w:lvlText w:val=""/>
      <w:lvlJc w:val="left"/>
      <w:pPr>
        <w:ind w:left="1080" w:hanging="360"/>
      </w:pPr>
      <w:rPr>
        <w:rFonts w:ascii="Symbol" w:hAnsi="Symbol"/>
      </w:rPr>
    </w:lvl>
    <w:lvl w:ilvl="1" w:tplc="9CCEF0B2">
      <w:start w:val="1"/>
      <w:numFmt w:val="bullet"/>
      <w:lvlText w:val=""/>
      <w:lvlJc w:val="left"/>
      <w:pPr>
        <w:ind w:left="1080" w:hanging="360"/>
      </w:pPr>
      <w:rPr>
        <w:rFonts w:ascii="Symbol" w:hAnsi="Symbol"/>
      </w:rPr>
    </w:lvl>
    <w:lvl w:ilvl="2" w:tplc="5CF45DAA">
      <w:start w:val="1"/>
      <w:numFmt w:val="bullet"/>
      <w:lvlText w:val=""/>
      <w:lvlJc w:val="left"/>
      <w:pPr>
        <w:ind w:left="1080" w:hanging="360"/>
      </w:pPr>
      <w:rPr>
        <w:rFonts w:ascii="Symbol" w:hAnsi="Symbol"/>
      </w:rPr>
    </w:lvl>
    <w:lvl w:ilvl="3" w:tplc="E01E5BB6">
      <w:start w:val="1"/>
      <w:numFmt w:val="bullet"/>
      <w:lvlText w:val=""/>
      <w:lvlJc w:val="left"/>
      <w:pPr>
        <w:ind w:left="1080" w:hanging="360"/>
      </w:pPr>
      <w:rPr>
        <w:rFonts w:ascii="Symbol" w:hAnsi="Symbol"/>
      </w:rPr>
    </w:lvl>
    <w:lvl w:ilvl="4" w:tplc="AB36B282">
      <w:start w:val="1"/>
      <w:numFmt w:val="bullet"/>
      <w:lvlText w:val=""/>
      <w:lvlJc w:val="left"/>
      <w:pPr>
        <w:ind w:left="1080" w:hanging="360"/>
      </w:pPr>
      <w:rPr>
        <w:rFonts w:ascii="Symbol" w:hAnsi="Symbol"/>
      </w:rPr>
    </w:lvl>
    <w:lvl w:ilvl="5" w:tplc="D57479B0">
      <w:start w:val="1"/>
      <w:numFmt w:val="bullet"/>
      <w:lvlText w:val=""/>
      <w:lvlJc w:val="left"/>
      <w:pPr>
        <w:ind w:left="1080" w:hanging="360"/>
      </w:pPr>
      <w:rPr>
        <w:rFonts w:ascii="Symbol" w:hAnsi="Symbol"/>
      </w:rPr>
    </w:lvl>
    <w:lvl w:ilvl="6" w:tplc="E836F9AA">
      <w:start w:val="1"/>
      <w:numFmt w:val="bullet"/>
      <w:lvlText w:val=""/>
      <w:lvlJc w:val="left"/>
      <w:pPr>
        <w:ind w:left="1080" w:hanging="360"/>
      </w:pPr>
      <w:rPr>
        <w:rFonts w:ascii="Symbol" w:hAnsi="Symbol"/>
      </w:rPr>
    </w:lvl>
    <w:lvl w:ilvl="7" w:tplc="7CA650DA">
      <w:start w:val="1"/>
      <w:numFmt w:val="bullet"/>
      <w:lvlText w:val=""/>
      <w:lvlJc w:val="left"/>
      <w:pPr>
        <w:ind w:left="1080" w:hanging="360"/>
      </w:pPr>
      <w:rPr>
        <w:rFonts w:ascii="Symbol" w:hAnsi="Symbol"/>
      </w:rPr>
    </w:lvl>
    <w:lvl w:ilvl="8" w:tplc="4288CA86">
      <w:start w:val="1"/>
      <w:numFmt w:val="bullet"/>
      <w:lvlText w:val=""/>
      <w:lvlJc w:val="left"/>
      <w:pPr>
        <w:ind w:left="1080" w:hanging="360"/>
      </w:pPr>
      <w:rPr>
        <w:rFonts w:ascii="Symbol" w:hAnsi="Symbol"/>
      </w:rPr>
    </w:lvl>
  </w:abstractNum>
  <w:abstractNum w:abstractNumId="2" w15:restartNumberingAfterBreak="0">
    <w:nsid w:val="065F0CA7"/>
    <w:multiLevelType w:val="hybridMultilevel"/>
    <w:tmpl w:val="24DEB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8034E"/>
    <w:multiLevelType w:val="hybridMultilevel"/>
    <w:tmpl w:val="0AC4467C"/>
    <w:lvl w:ilvl="0" w:tplc="6596BF1C">
      <w:start w:val="1"/>
      <w:numFmt w:val="bullet"/>
      <w:lvlText w:val=""/>
      <w:lvlJc w:val="left"/>
      <w:pPr>
        <w:ind w:left="1080" w:hanging="360"/>
      </w:pPr>
      <w:rPr>
        <w:rFonts w:ascii="Symbol" w:hAnsi="Symbol"/>
      </w:rPr>
    </w:lvl>
    <w:lvl w:ilvl="1" w:tplc="4336D984">
      <w:start w:val="1"/>
      <w:numFmt w:val="bullet"/>
      <w:lvlText w:val=""/>
      <w:lvlJc w:val="left"/>
      <w:pPr>
        <w:ind w:left="1080" w:hanging="360"/>
      </w:pPr>
      <w:rPr>
        <w:rFonts w:ascii="Symbol" w:hAnsi="Symbol"/>
      </w:rPr>
    </w:lvl>
    <w:lvl w:ilvl="2" w:tplc="59E4FD22">
      <w:start w:val="1"/>
      <w:numFmt w:val="bullet"/>
      <w:lvlText w:val=""/>
      <w:lvlJc w:val="left"/>
      <w:pPr>
        <w:ind w:left="1080" w:hanging="360"/>
      </w:pPr>
      <w:rPr>
        <w:rFonts w:ascii="Symbol" w:hAnsi="Symbol"/>
      </w:rPr>
    </w:lvl>
    <w:lvl w:ilvl="3" w:tplc="C22A49B2">
      <w:start w:val="1"/>
      <w:numFmt w:val="bullet"/>
      <w:lvlText w:val=""/>
      <w:lvlJc w:val="left"/>
      <w:pPr>
        <w:ind w:left="1080" w:hanging="360"/>
      </w:pPr>
      <w:rPr>
        <w:rFonts w:ascii="Symbol" w:hAnsi="Symbol"/>
      </w:rPr>
    </w:lvl>
    <w:lvl w:ilvl="4" w:tplc="9BD6DAD8">
      <w:start w:val="1"/>
      <w:numFmt w:val="bullet"/>
      <w:lvlText w:val=""/>
      <w:lvlJc w:val="left"/>
      <w:pPr>
        <w:ind w:left="1080" w:hanging="360"/>
      </w:pPr>
      <w:rPr>
        <w:rFonts w:ascii="Symbol" w:hAnsi="Symbol"/>
      </w:rPr>
    </w:lvl>
    <w:lvl w:ilvl="5" w:tplc="0F6624E2">
      <w:start w:val="1"/>
      <w:numFmt w:val="bullet"/>
      <w:lvlText w:val=""/>
      <w:lvlJc w:val="left"/>
      <w:pPr>
        <w:ind w:left="1080" w:hanging="360"/>
      </w:pPr>
      <w:rPr>
        <w:rFonts w:ascii="Symbol" w:hAnsi="Symbol"/>
      </w:rPr>
    </w:lvl>
    <w:lvl w:ilvl="6" w:tplc="7DFE12C0">
      <w:start w:val="1"/>
      <w:numFmt w:val="bullet"/>
      <w:lvlText w:val=""/>
      <w:lvlJc w:val="left"/>
      <w:pPr>
        <w:ind w:left="1080" w:hanging="360"/>
      </w:pPr>
      <w:rPr>
        <w:rFonts w:ascii="Symbol" w:hAnsi="Symbol"/>
      </w:rPr>
    </w:lvl>
    <w:lvl w:ilvl="7" w:tplc="A086E5B4">
      <w:start w:val="1"/>
      <w:numFmt w:val="bullet"/>
      <w:lvlText w:val=""/>
      <w:lvlJc w:val="left"/>
      <w:pPr>
        <w:ind w:left="1080" w:hanging="360"/>
      </w:pPr>
      <w:rPr>
        <w:rFonts w:ascii="Symbol" w:hAnsi="Symbol"/>
      </w:rPr>
    </w:lvl>
    <w:lvl w:ilvl="8" w:tplc="BA9A178A">
      <w:start w:val="1"/>
      <w:numFmt w:val="bullet"/>
      <w:lvlText w:val=""/>
      <w:lvlJc w:val="left"/>
      <w:pPr>
        <w:ind w:left="1080" w:hanging="360"/>
      </w:pPr>
      <w:rPr>
        <w:rFonts w:ascii="Symbol" w:hAnsi="Symbol"/>
      </w:rPr>
    </w:lvl>
  </w:abstractNum>
  <w:abstractNum w:abstractNumId="4" w15:restartNumberingAfterBreak="0">
    <w:nsid w:val="168C3484"/>
    <w:multiLevelType w:val="multilevel"/>
    <w:tmpl w:val="D5A0FA3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7A556C4"/>
    <w:multiLevelType w:val="multilevel"/>
    <w:tmpl w:val="9132D40E"/>
    <w:lvl w:ilvl="0">
      <w:start w:val="1"/>
      <w:numFmt w:val="decimal"/>
      <w:lvlText w:val="%1."/>
      <w:lvlJc w:val="left"/>
      <w:pPr>
        <w:ind w:left="717" w:hanging="360"/>
      </w:pPr>
    </w:lvl>
    <w:lvl w:ilvl="1">
      <w:start w:val="1"/>
      <w:numFmt w:val="bullet"/>
      <w:lvlText w:val=""/>
      <w:lvlJc w:val="left"/>
      <w:pPr>
        <w:ind w:left="1077" w:hanging="360"/>
      </w:pPr>
      <w:rPr>
        <w:rFonts w:ascii="Symbol" w:hAnsi="Symbol"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517" w:hanging="1800"/>
      </w:pPr>
      <w:rPr>
        <w:rFonts w:hint="default"/>
      </w:rPr>
    </w:lvl>
  </w:abstractNum>
  <w:abstractNum w:abstractNumId="6" w15:restartNumberingAfterBreak="0">
    <w:nsid w:val="18C745F1"/>
    <w:multiLevelType w:val="hybridMultilevel"/>
    <w:tmpl w:val="05AE3F44"/>
    <w:lvl w:ilvl="0" w:tplc="850A4F6C">
      <w:start w:val="1"/>
      <w:numFmt w:val="bullet"/>
      <w:lvlText w:val=""/>
      <w:lvlJc w:val="left"/>
      <w:pPr>
        <w:ind w:left="1080" w:hanging="360"/>
      </w:pPr>
      <w:rPr>
        <w:rFonts w:ascii="Symbol" w:hAnsi="Symbol"/>
      </w:rPr>
    </w:lvl>
    <w:lvl w:ilvl="1" w:tplc="30F8EEBE">
      <w:start w:val="1"/>
      <w:numFmt w:val="bullet"/>
      <w:lvlText w:val=""/>
      <w:lvlJc w:val="left"/>
      <w:pPr>
        <w:ind w:left="1080" w:hanging="360"/>
      </w:pPr>
      <w:rPr>
        <w:rFonts w:ascii="Symbol" w:hAnsi="Symbol"/>
      </w:rPr>
    </w:lvl>
    <w:lvl w:ilvl="2" w:tplc="973A1ABA">
      <w:start w:val="1"/>
      <w:numFmt w:val="bullet"/>
      <w:lvlText w:val=""/>
      <w:lvlJc w:val="left"/>
      <w:pPr>
        <w:ind w:left="1080" w:hanging="360"/>
      </w:pPr>
      <w:rPr>
        <w:rFonts w:ascii="Symbol" w:hAnsi="Symbol"/>
      </w:rPr>
    </w:lvl>
    <w:lvl w:ilvl="3" w:tplc="C7A8227A">
      <w:start w:val="1"/>
      <w:numFmt w:val="bullet"/>
      <w:lvlText w:val=""/>
      <w:lvlJc w:val="left"/>
      <w:pPr>
        <w:ind w:left="1080" w:hanging="360"/>
      </w:pPr>
      <w:rPr>
        <w:rFonts w:ascii="Symbol" w:hAnsi="Symbol"/>
      </w:rPr>
    </w:lvl>
    <w:lvl w:ilvl="4" w:tplc="E938894C">
      <w:start w:val="1"/>
      <w:numFmt w:val="bullet"/>
      <w:lvlText w:val=""/>
      <w:lvlJc w:val="left"/>
      <w:pPr>
        <w:ind w:left="1080" w:hanging="360"/>
      </w:pPr>
      <w:rPr>
        <w:rFonts w:ascii="Symbol" w:hAnsi="Symbol"/>
      </w:rPr>
    </w:lvl>
    <w:lvl w:ilvl="5" w:tplc="A68E24EC">
      <w:start w:val="1"/>
      <w:numFmt w:val="bullet"/>
      <w:lvlText w:val=""/>
      <w:lvlJc w:val="left"/>
      <w:pPr>
        <w:ind w:left="1080" w:hanging="360"/>
      </w:pPr>
      <w:rPr>
        <w:rFonts w:ascii="Symbol" w:hAnsi="Symbol"/>
      </w:rPr>
    </w:lvl>
    <w:lvl w:ilvl="6" w:tplc="E93C21A2">
      <w:start w:val="1"/>
      <w:numFmt w:val="bullet"/>
      <w:lvlText w:val=""/>
      <w:lvlJc w:val="left"/>
      <w:pPr>
        <w:ind w:left="1080" w:hanging="360"/>
      </w:pPr>
      <w:rPr>
        <w:rFonts w:ascii="Symbol" w:hAnsi="Symbol"/>
      </w:rPr>
    </w:lvl>
    <w:lvl w:ilvl="7" w:tplc="C08401E0">
      <w:start w:val="1"/>
      <w:numFmt w:val="bullet"/>
      <w:lvlText w:val=""/>
      <w:lvlJc w:val="left"/>
      <w:pPr>
        <w:ind w:left="1080" w:hanging="360"/>
      </w:pPr>
      <w:rPr>
        <w:rFonts w:ascii="Symbol" w:hAnsi="Symbol"/>
      </w:rPr>
    </w:lvl>
    <w:lvl w:ilvl="8" w:tplc="69520A72">
      <w:start w:val="1"/>
      <w:numFmt w:val="bullet"/>
      <w:lvlText w:val=""/>
      <w:lvlJc w:val="left"/>
      <w:pPr>
        <w:ind w:left="1080" w:hanging="360"/>
      </w:pPr>
      <w:rPr>
        <w:rFonts w:ascii="Symbol" w:hAnsi="Symbol"/>
      </w:rPr>
    </w:lvl>
  </w:abstractNum>
  <w:abstractNum w:abstractNumId="7" w15:restartNumberingAfterBreak="0">
    <w:nsid w:val="1CA47831"/>
    <w:multiLevelType w:val="hybridMultilevel"/>
    <w:tmpl w:val="45AC34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C369E6"/>
    <w:multiLevelType w:val="hybridMultilevel"/>
    <w:tmpl w:val="95E85BE8"/>
    <w:lvl w:ilvl="0" w:tplc="31B8CC6A">
      <w:start w:val="1"/>
      <w:numFmt w:val="decimal"/>
      <w:lvlText w:val="%1."/>
      <w:lvlJc w:val="left"/>
      <w:pPr>
        <w:tabs>
          <w:tab w:val="num" w:pos="720"/>
        </w:tabs>
        <w:ind w:left="720" w:hanging="360"/>
      </w:pPr>
      <w:rPr>
        <w:b w:val="0"/>
        <w:bCs w:val="0"/>
      </w:rPr>
    </w:lvl>
    <w:lvl w:ilvl="1" w:tplc="68D8BC2C" w:tentative="1">
      <w:start w:val="1"/>
      <w:numFmt w:val="decimal"/>
      <w:lvlText w:val="%2."/>
      <w:lvlJc w:val="left"/>
      <w:pPr>
        <w:tabs>
          <w:tab w:val="num" w:pos="1440"/>
        </w:tabs>
        <w:ind w:left="1440" w:hanging="360"/>
      </w:pPr>
    </w:lvl>
    <w:lvl w:ilvl="2" w:tplc="6F324FA6" w:tentative="1">
      <w:start w:val="1"/>
      <w:numFmt w:val="decimal"/>
      <w:lvlText w:val="%3."/>
      <w:lvlJc w:val="left"/>
      <w:pPr>
        <w:tabs>
          <w:tab w:val="num" w:pos="2160"/>
        </w:tabs>
        <w:ind w:left="2160" w:hanging="360"/>
      </w:pPr>
    </w:lvl>
    <w:lvl w:ilvl="3" w:tplc="0BE24E56" w:tentative="1">
      <w:start w:val="1"/>
      <w:numFmt w:val="decimal"/>
      <w:lvlText w:val="%4."/>
      <w:lvlJc w:val="left"/>
      <w:pPr>
        <w:tabs>
          <w:tab w:val="num" w:pos="2880"/>
        </w:tabs>
        <w:ind w:left="2880" w:hanging="360"/>
      </w:pPr>
    </w:lvl>
    <w:lvl w:ilvl="4" w:tplc="8F10BC3A" w:tentative="1">
      <w:start w:val="1"/>
      <w:numFmt w:val="decimal"/>
      <w:lvlText w:val="%5."/>
      <w:lvlJc w:val="left"/>
      <w:pPr>
        <w:tabs>
          <w:tab w:val="num" w:pos="3600"/>
        </w:tabs>
        <w:ind w:left="3600" w:hanging="360"/>
      </w:pPr>
    </w:lvl>
    <w:lvl w:ilvl="5" w:tplc="A0AEAC8E" w:tentative="1">
      <w:start w:val="1"/>
      <w:numFmt w:val="decimal"/>
      <w:lvlText w:val="%6."/>
      <w:lvlJc w:val="left"/>
      <w:pPr>
        <w:tabs>
          <w:tab w:val="num" w:pos="4320"/>
        </w:tabs>
        <w:ind w:left="4320" w:hanging="360"/>
      </w:pPr>
    </w:lvl>
    <w:lvl w:ilvl="6" w:tplc="427AA532" w:tentative="1">
      <w:start w:val="1"/>
      <w:numFmt w:val="decimal"/>
      <w:lvlText w:val="%7."/>
      <w:lvlJc w:val="left"/>
      <w:pPr>
        <w:tabs>
          <w:tab w:val="num" w:pos="5040"/>
        </w:tabs>
        <w:ind w:left="5040" w:hanging="360"/>
      </w:pPr>
    </w:lvl>
    <w:lvl w:ilvl="7" w:tplc="0F4E837E" w:tentative="1">
      <w:start w:val="1"/>
      <w:numFmt w:val="decimal"/>
      <w:lvlText w:val="%8."/>
      <w:lvlJc w:val="left"/>
      <w:pPr>
        <w:tabs>
          <w:tab w:val="num" w:pos="5760"/>
        </w:tabs>
        <w:ind w:left="5760" w:hanging="360"/>
      </w:pPr>
    </w:lvl>
    <w:lvl w:ilvl="8" w:tplc="1700DCDE" w:tentative="1">
      <w:start w:val="1"/>
      <w:numFmt w:val="decimal"/>
      <w:lvlText w:val="%9."/>
      <w:lvlJc w:val="left"/>
      <w:pPr>
        <w:tabs>
          <w:tab w:val="num" w:pos="6480"/>
        </w:tabs>
        <w:ind w:left="6480" w:hanging="360"/>
      </w:pPr>
    </w:lvl>
  </w:abstractNum>
  <w:abstractNum w:abstractNumId="9" w15:restartNumberingAfterBreak="0">
    <w:nsid w:val="1E3F7CCD"/>
    <w:multiLevelType w:val="hybridMultilevel"/>
    <w:tmpl w:val="2B4A03C2"/>
    <w:lvl w:ilvl="0" w:tplc="9274F012">
      <w:start w:val="1"/>
      <w:numFmt w:val="bullet"/>
      <w:lvlText w:val=""/>
      <w:lvlJc w:val="left"/>
      <w:pPr>
        <w:ind w:left="1080" w:hanging="360"/>
      </w:pPr>
      <w:rPr>
        <w:rFonts w:ascii="Symbol" w:hAnsi="Symbol"/>
      </w:rPr>
    </w:lvl>
    <w:lvl w:ilvl="1" w:tplc="8FF8ABA4">
      <w:start w:val="1"/>
      <w:numFmt w:val="bullet"/>
      <w:lvlText w:val=""/>
      <w:lvlJc w:val="left"/>
      <w:pPr>
        <w:ind w:left="1080" w:hanging="360"/>
      </w:pPr>
      <w:rPr>
        <w:rFonts w:ascii="Symbol" w:hAnsi="Symbol"/>
      </w:rPr>
    </w:lvl>
    <w:lvl w:ilvl="2" w:tplc="5D5C280A">
      <w:start w:val="1"/>
      <w:numFmt w:val="bullet"/>
      <w:lvlText w:val=""/>
      <w:lvlJc w:val="left"/>
      <w:pPr>
        <w:ind w:left="1080" w:hanging="360"/>
      </w:pPr>
      <w:rPr>
        <w:rFonts w:ascii="Symbol" w:hAnsi="Symbol"/>
      </w:rPr>
    </w:lvl>
    <w:lvl w:ilvl="3" w:tplc="6BB2ECBC">
      <w:start w:val="1"/>
      <w:numFmt w:val="bullet"/>
      <w:lvlText w:val=""/>
      <w:lvlJc w:val="left"/>
      <w:pPr>
        <w:ind w:left="1080" w:hanging="360"/>
      </w:pPr>
      <w:rPr>
        <w:rFonts w:ascii="Symbol" w:hAnsi="Symbol"/>
      </w:rPr>
    </w:lvl>
    <w:lvl w:ilvl="4" w:tplc="7D942C90">
      <w:start w:val="1"/>
      <w:numFmt w:val="bullet"/>
      <w:lvlText w:val=""/>
      <w:lvlJc w:val="left"/>
      <w:pPr>
        <w:ind w:left="1080" w:hanging="360"/>
      </w:pPr>
      <w:rPr>
        <w:rFonts w:ascii="Symbol" w:hAnsi="Symbol"/>
      </w:rPr>
    </w:lvl>
    <w:lvl w:ilvl="5" w:tplc="15C0CBC2">
      <w:start w:val="1"/>
      <w:numFmt w:val="bullet"/>
      <w:lvlText w:val=""/>
      <w:lvlJc w:val="left"/>
      <w:pPr>
        <w:ind w:left="1080" w:hanging="360"/>
      </w:pPr>
      <w:rPr>
        <w:rFonts w:ascii="Symbol" w:hAnsi="Symbol"/>
      </w:rPr>
    </w:lvl>
    <w:lvl w:ilvl="6" w:tplc="63A653A8">
      <w:start w:val="1"/>
      <w:numFmt w:val="bullet"/>
      <w:lvlText w:val=""/>
      <w:lvlJc w:val="left"/>
      <w:pPr>
        <w:ind w:left="1080" w:hanging="360"/>
      </w:pPr>
      <w:rPr>
        <w:rFonts w:ascii="Symbol" w:hAnsi="Symbol"/>
      </w:rPr>
    </w:lvl>
    <w:lvl w:ilvl="7" w:tplc="DAE2C480">
      <w:start w:val="1"/>
      <w:numFmt w:val="bullet"/>
      <w:lvlText w:val=""/>
      <w:lvlJc w:val="left"/>
      <w:pPr>
        <w:ind w:left="1080" w:hanging="360"/>
      </w:pPr>
      <w:rPr>
        <w:rFonts w:ascii="Symbol" w:hAnsi="Symbol"/>
      </w:rPr>
    </w:lvl>
    <w:lvl w:ilvl="8" w:tplc="0C600D68">
      <w:start w:val="1"/>
      <w:numFmt w:val="bullet"/>
      <w:lvlText w:val=""/>
      <w:lvlJc w:val="left"/>
      <w:pPr>
        <w:ind w:left="1080" w:hanging="360"/>
      </w:pPr>
      <w:rPr>
        <w:rFonts w:ascii="Symbol" w:hAnsi="Symbol"/>
      </w:rPr>
    </w:lvl>
  </w:abstractNum>
  <w:abstractNum w:abstractNumId="10" w15:restartNumberingAfterBreak="0">
    <w:nsid w:val="268324B6"/>
    <w:multiLevelType w:val="hybridMultilevel"/>
    <w:tmpl w:val="4336F6DC"/>
    <w:lvl w:ilvl="0" w:tplc="E966B5B8">
      <w:start w:val="1"/>
      <w:numFmt w:val="bullet"/>
      <w:lvlText w:val=""/>
      <w:lvlJc w:val="left"/>
      <w:pPr>
        <w:ind w:left="1080" w:hanging="360"/>
      </w:pPr>
      <w:rPr>
        <w:rFonts w:ascii="Symbol" w:hAnsi="Symbol"/>
      </w:rPr>
    </w:lvl>
    <w:lvl w:ilvl="1" w:tplc="F2E02528">
      <w:start w:val="1"/>
      <w:numFmt w:val="bullet"/>
      <w:lvlText w:val=""/>
      <w:lvlJc w:val="left"/>
      <w:pPr>
        <w:ind w:left="1080" w:hanging="360"/>
      </w:pPr>
      <w:rPr>
        <w:rFonts w:ascii="Symbol" w:hAnsi="Symbol"/>
      </w:rPr>
    </w:lvl>
    <w:lvl w:ilvl="2" w:tplc="D8D4FB36">
      <w:start w:val="1"/>
      <w:numFmt w:val="bullet"/>
      <w:lvlText w:val=""/>
      <w:lvlJc w:val="left"/>
      <w:pPr>
        <w:ind w:left="1080" w:hanging="360"/>
      </w:pPr>
      <w:rPr>
        <w:rFonts w:ascii="Symbol" w:hAnsi="Symbol"/>
      </w:rPr>
    </w:lvl>
    <w:lvl w:ilvl="3" w:tplc="D1682B90">
      <w:start w:val="1"/>
      <w:numFmt w:val="bullet"/>
      <w:lvlText w:val=""/>
      <w:lvlJc w:val="left"/>
      <w:pPr>
        <w:ind w:left="1080" w:hanging="360"/>
      </w:pPr>
      <w:rPr>
        <w:rFonts w:ascii="Symbol" w:hAnsi="Symbol"/>
      </w:rPr>
    </w:lvl>
    <w:lvl w:ilvl="4" w:tplc="A27E609E">
      <w:start w:val="1"/>
      <w:numFmt w:val="bullet"/>
      <w:lvlText w:val=""/>
      <w:lvlJc w:val="left"/>
      <w:pPr>
        <w:ind w:left="1080" w:hanging="360"/>
      </w:pPr>
      <w:rPr>
        <w:rFonts w:ascii="Symbol" w:hAnsi="Symbol"/>
      </w:rPr>
    </w:lvl>
    <w:lvl w:ilvl="5" w:tplc="F36E5CDE">
      <w:start w:val="1"/>
      <w:numFmt w:val="bullet"/>
      <w:lvlText w:val=""/>
      <w:lvlJc w:val="left"/>
      <w:pPr>
        <w:ind w:left="1080" w:hanging="360"/>
      </w:pPr>
      <w:rPr>
        <w:rFonts w:ascii="Symbol" w:hAnsi="Symbol"/>
      </w:rPr>
    </w:lvl>
    <w:lvl w:ilvl="6" w:tplc="212A8E62">
      <w:start w:val="1"/>
      <w:numFmt w:val="bullet"/>
      <w:lvlText w:val=""/>
      <w:lvlJc w:val="left"/>
      <w:pPr>
        <w:ind w:left="1080" w:hanging="360"/>
      </w:pPr>
      <w:rPr>
        <w:rFonts w:ascii="Symbol" w:hAnsi="Symbol"/>
      </w:rPr>
    </w:lvl>
    <w:lvl w:ilvl="7" w:tplc="C74A0CAC">
      <w:start w:val="1"/>
      <w:numFmt w:val="bullet"/>
      <w:lvlText w:val=""/>
      <w:lvlJc w:val="left"/>
      <w:pPr>
        <w:ind w:left="1080" w:hanging="360"/>
      </w:pPr>
      <w:rPr>
        <w:rFonts w:ascii="Symbol" w:hAnsi="Symbol"/>
      </w:rPr>
    </w:lvl>
    <w:lvl w:ilvl="8" w:tplc="90D4AB82">
      <w:start w:val="1"/>
      <w:numFmt w:val="bullet"/>
      <w:lvlText w:val=""/>
      <w:lvlJc w:val="left"/>
      <w:pPr>
        <w:ind w:left="1080" w:hanging="360"/>
      </w:pPr>
      <w:rPr>
        <w:rFonts w:ascii="Symbol" w:hAnsi="Symbol"/>
      </w:rPr>
    </w:lvl>
  </w:abstractNum>
  <w:abstractNum w:abstractNumId="11" w15:restartNumberingAfterBreak="0">
    <w:nsid w:val="26AB3296"/>
    <w:multiLevelType w:val="hybridMultilevel"/>
    <w:tmpl w:val="B85C335C"/>
    <w:lvl w:ilvl="0" w:tplc="9BA44D72">
      <w:start w:val="1"/>
      <w:numFmt w:val="bullet"/>
      <w:lvlText w:val=""/>
      <w:lvlJc w:val="left"/>
      <w:pPr>
        <w:ind w:left="1080" w:hanging="360"/>
      </w:pPr>
      <w:rPr>
        <w:rFonts w:ascii="Symbol" w:hAnsi="Symbol"/>
      </w:rPr>
    </w:lvl>
    <w:lvl w:ilvl="1" w:tplc="82B02D64">
      <w:start w:val="1"/>
      <w:numFmt w:val="bullet"/>
      <w:lvlText w:val=""/>
      <w:lvlJc w:val="left"/>
      <w:pPr>
        <w:ind w:left="1080" w:hanging="360"/>
      </w:pPr>
      <w:rPr>
        <w:rFonts w:ascii="Symbol" w:hAnsi="Symbol"/>
      </w:rPr>
    </w:lvl>
    <w:lvl w:ilvl="2" w:tplc="B504D464">
      <w:start w:val="1"/>
      <w:numFmt w:val="bullet"/>
      <w:lvlText w:val=""/>
      <w:lvlJc w:val="left"/>
      <w:pPr>
        <w:ind w:left="1080" w:hanging="360"/>
      </w:pPr>
      <w:rPr>
        <w:rFonts w:ascii="Symbol" w:hAnsi="Symbol"/>
      </w:rPr>
    </w:lvl>
    <w:lvl w:ilvl="3" w:tplc="78B0888E">
      <w:start w:val="1"/>
      <w:numFmt w:val="bullet"/>
      <w:lvlText w:val=""/>
      <w:lvlJc w:val="left"/>
      <w:pPr>
        <w:ind w:left="1080" w:hanging="360"/>
      </w:pPr>
      <w:rPr>
        <w:rFonts w:ascii="Symbol" w:hAnsi="Symbol"/>
      </w:rPr>
    </w:lvl>
    <w:lvl w:ilvl="4" w:tplc="51E2A196">
      <w:start w:val="1"/>
      <w:numFmt w:val="bullet"/>
      <w:lvlText w:val=""/>
      <w:lvlJc w:val="left"/>
      <w:pPr>
        <w:ind w:left="1080" w:hanging="360"/>
      </w:pPr>
      <w:rPr>
        <w:rFonts w:ascii="Symbol" w:hAnsi="Symbol"/>
      </w:rPr>
    </w:lvl>
    <w:lvl w:ilvl="5" w:tplc="9340A39E">
      <w:start w:val="1"/>
      <w:numFmt w:val="bullet"/>
      <w:lvlText w:val=""/>
      <w:lvlJc w:val="left"/>
      <w:pPr>
        <w:ind w:left="1080" w:hanging="360"/>
      </w:pPr>
      <w:rPr>
        <w:rFonts w:ascii="Symbol" w:hAnsi="Symbol"/>
      </w:rPr>
    </w:lvl>
    <w:lvl w:ilvl="6" w:tplc="640EC650">
      <w:start w:val="1"/>
      <w:numFmt w:val="bullet"/>
      <w:lvlText w:val=""/>
      <w:lvlJc w:val="left"/>
      <w:pPr>
        <w:ind w:left="1080" w:hanging="360"/>
      </w:pPr>
      <w:rPr>
        <w:rFonts w:ascii="Symbol" w:hAnsi="Symbol"/>
      </w:rPr>
    </w:lvl>
    <w:lvl w:ilvl="7" w:tplc="6096DC3E">
      <w:start w:val="1"/>
      <w:numFmt w:val="bullet"/>
      <w:lvlText w:val=""/>
      <w:lvlJc w:val="left"/>
      <w:pPr>
        <w:ind w:left="1080" w:hanging="360"/>
      </w:pPr>
      <w:rPr>
        <w:rFonts w:ascii="Symbol" w:hAnsi="Symbol"/>
      </w:rPr>
    </w:lvl>
    <w:lvl w:ilvl="8" w:tplc="CEE6E0D2">
      <w:start w:val="1"/>
      <w:numFmt w:val="bullet"/>
      <w:lvlText w:val=""/>
      <w:lvlJc w:val="left"/>
      <w:pPr>
        <w:ind w:left="1080" w:hanging="360"/>
      </w:pPr>
      <w:rPr>
        <w:rFonts w:ascii="Symbol" w:hAnsi="Symbol"/>
      </w:rPr>
    </w:lvl>
  </w:abstractNum>
  <w:abstractNum w:abstractNumId="12" w15:restartNumberingAfterBreak="0">
    <w:nsid w:val="299B4C61"/>
    <w:multiLevelType w:val="multilevel"/>
    <w:tmpl w:val="E7D8D42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426" w:firstLine="0"/>
      </w:pPr>
      <w:rPr>
        <w:rFonts w:hint="default"/>
      </w:rPr>
    </w:lvl>
    <w:lvl w:ilvl="2">
      <w:start w:val="1"/>
      <w:numFmt w:val="decimal"/>
      <w:pStyle w:val="Heading3"/>
      <w:lvlText w:val="%1.%2.%3"/>
      <w:lvlJc w:val="left"/>
      <w:pPr>
        <w:ind w:left="-3259" w:firstLine="3685"/>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2B231CCB"/>
    <w:multiLevelType w:val="hybridMultilevel"/>
    <w:tmpl w:val="B352FA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533585"/>
    <w:multiLevelType w:val="multilevel"/>
    <w:tmpl w:val="F5624E1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3415500F"/>
    <w:multiLevelType w:val="hybridMultilevel"/>
    <w:tmpl w:val="2FA402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6E11EB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705077F"/>
    <w:multiLevelType w:val="hybridMultilevel"/>
    <w:tmpl w:val="9F7AAD90"/>
    <w:lvl w:ilvl="0" w:tplc="0809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B4F075A"/>
    <w:multiLevelType w:val="hybridMultilevel"/>
    <w:tmpl w:val="8138D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B4D844"/>
    <w:multiLevelType w:val="hybridMultilevel"/>
    <w:tmpl w:val="12B02CB0"/>
    <w:lvl w:ilvl="0" w:tplc="A4086BFC">
      <w:start w:val="1"/>
      <w:numFmt w:val="bullet"/>
      <w:lvlText w:val="-"/>
      <w:lvlJc w:val="left"/>
      <w:pPr>
        <w:ind w:left="720" w:hanging="360"/>
      </w:pPr>
      <w:rPr>
        <w:rFonts w:ascii="Aptos" w:hAnsi="Aptos" w:hint="default"/>
      </w:rPr>
    </w:lvl>
    <w:lvl w:ilvl="1" w:tplc="1DA0ECD4">
      <w:start w:val="1"/>
      <w:numFmt w:val="bullet"/>
      <w:lvlText w:val="o"/>
      <w:lvlJc w:val="left"/>
      <w:pPr>
        <w:ind w:left="1440" w:hanging="360"/>
      </w:pPr>
      <w:rPr>
        <w:rFonts w:ascii="Courier New" w:hAnsi="Courier New" w:hint="default"/>
      </w:rPr>
    </w:lvl>
    <w:lvl w:ilvl="2" w:tplc="0E868CB2">
      <w:start w:val="1"/>
      <w:numFmt w:val="bullet"/>
      <w:lvlText w:val=""/>
      <w:lvlJc w:val="left"/>
      <w:pPr>
        <w:ind w:left="2160" w:hanging="360"/>
      </w:pPr>
      <w:rPr>
        <w:rFonts w:ascii="Wingdings" w:hAnsi="Wingdings" w:hint="default"/>
      </w:rPr>
    </w:lvl>
    <w:lvl w:ilvl="3" w:tplc="2D34AB36">
      <w:start w:val="1"/>
      <w:numFmt w:val="bullet"/>
      <w:lvlText w:val=""/>
      <w:lvlJc w:val="left"/>
      <w:pPr>
        <w:ind w:left="2880" w:hanging="360"/>
      </w:pPr>
      <w:rPr>
        <w:rFonts w:ascii="Symbol" w:hAnsi="Symbol" w:hint="default"/>
      </w:rPr>
    </w:lvl>
    <w:lvl w:ilvl="4" w:tplc="DF1825A4">
      <w:start w:val="1"/>
      <w:numFmt w:val="bullet"/>
      <w:lvlText w:val="o"/>
      <w:lvlJc w:val="left"/>
      <w:pPr>
        <w:ind w:left="3600" w:hanging="360"/>
      </w:pPr>
      <w:rPr>
        <w:rFonts w:ascii="Courier New" w:hAnsi="Courier New" w:hint="default"/>
      </w:rPr>
    </w:lvl>
    <w:lvl w:ilvl="5" w:tplc="50380492">
      <w:start w:val="1"/>
      <w:numFmt w:val="bullet"/>
      <w:lvlText w:val=""/>
      <w:lvlJc w:val="left"/>
      <w:pPr>
        <w:ind w:left="4320" w:hanging="360"/>
      </w:pPr>
      <w:rPr>
        <w:rFonts w:ascii="Wingdings" w:hAnsi="Wingdings" w:hint="default"/>
      </w:rPr>
    </w:lvl>
    <w:lvl w:ilvl="6" w:tplc="C5EC9E50">
      <w:start w:val="1"/>
      <w:numFmt w:val="bullet"/>
      <w:lvlText w:val=""/>
      <w:lvlJc w:val="left"/>
      <w:pPr>
        <w:ind w:left="5040" w:hanging="360"/>
      </w:pPr>
      <w:rPr>
        <w:rFonts w:ascii="Symbol" w:hAnsi="Symbol" w:hint="default"/>
      </w:rPr>
    </w:lvl>
    <w:lvl w:ilvl="7" w:tplc="E536FAAA">
      <w:start w:val="1"/>
      <w:numFmt w:val="bullet"/>
      <w:lvlText w:val="o"/>
      <w:lvlJc w:val="left"/>
      <w:pPr>
        <w:ind w:left="5760" w:hanging="360"/>
      </w:pPr>
      <w:rPr>
        <w:rFonts w:ascii="Courier New" w:hAnsi="Courier New" w:hint="default"/>
      </w:rPr>
    </w:lvl>
    <w:lvl w:ilvl="8" w:tplc="10A4BEEC">
      <w:start w:val="1"/>
      <w:numFmt w:val="bullet"/>
      <w:lvlText w:val=""/>
      <w:lvlJc w:val="left"/>
      <w:pPr>
        <w:ind w:left="6480" w:hanging="360"/>
      </w:pPr>
      <w:rPr>
        <w:rFonts w:ascii="Wingdings" w:hAnsi="Wingdings" w:hint="default"/>
      </w:rPr>
    </w:lvl>
  </w:abstractNum>
  <w:abstractNum w:abstractNumId="20" w15:restartNumberingAfterBreak="0">
    <w:nsid w:val="45B72E5C"/>
    <w:multiLevelType w:val="multilevel"/>
    <w:tmpl w:val="85C2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243B22"/>
    <w:multiLevelType w:val="hybridMultilevel"/>
    <w:tmpl w:val="A22AB870"/>
    <w:lvl w:ilvl="0" w:tplc="28DE3354">
      <w:start w:val="1"/>
      <w:numFmt w:val="bullet"/>
      <w:lvlText w:val="-"/>
      <w:lvlJc w:val="left"/>
      <w:pPr>
        <w:ind w:left="720" w:hanging="360"/>
      </w:pPr>
      <w:rPr>
        <w:rFonts w:ascii="Aptos" w:hAnsi="Aptos" w:hint="default"/>
      </w:rPr>
    </w:lvl>
    <w:lvl w:ilvl="1" w:tplc="8A544FE8">
      <w:start w:val="1"/>
      <w:numFmt w:val="bullet"/>
      <w:lvlText w:val="o"/>
      <w:lvlJc w:val="left"/>
      <w:pPr>
        <w:ind w:left="1440" w:hanging="360"/>
      </w:pPr>
      <w:rPr>
        <w:rFonts w:ascii="Courier New" w:hAnsi="Courier New" w:hint="default"/>
      </w:rPr>
    </w:lvl>
    <w:lvl w:ilvl="2" w:tplc="D5F6FB1E">
      <w:start w:val="1"/>
      <w:numFmt w:val="bullet"/>
      <w:lvlText w:val=""/>
      <w:lvlJc w:val="left"/>
      <w:pPr>
        <w:ind w:left="2160" w:hanging="360"/>
      </w:pPr>
      <w:rPr>
        <w:rFonts w:ascii="Wingdings" w:hAnsi="Wingdings" w:hint="default"/>
      </w:rPr>
    </w:lvl>
    <w:lvl w:ilvl="3" w:tplc="6B562B56">
      <w:start w:val="1"/>
      <w:numFmt w:val="bullet"/>
      <w:lvlText w:val=""/>
      <w:lvlJc w:val="left"/>
      <w:pPr>
        <w:ind w:left="2880" w:hanging="360"/>
      </w:pPr>
      <w:rPr>
        <w:rFonts w:ascii="Symbol" w:hAnsi="Symbol" w:hint="default"/>
      </w:rPr>
    </w:lvl>
    <w:lvl w:ilvl="4" w:tplc="E2789F9A">
      <w:start w:val="1"/>
      <w:numFmt w:val="bullet"/>
      <w:lvlText w:val="o"/>
      <w:lvlJc w:val="left"/>
      <w:pPr>
        <w:ind w:left="3600" w:hanging="360"/>
      </w:pPr>
      <w:rPr>
        <w:rFonts w:ascii="Courier New" w:hAnsi="Courier New" w:hint="default"/>
      </w:rPr>
    </w:lvl>
    <w:lvl w:ilvl="5" w:tplc="4928F8A0">
      <w:start w:val="1"/>
      <w:numFmt w:val="bullet"/>
      <w:lvlText w:val=""/>
      <w:lvlJc w:val="left"/>
      <w:pPr>
        <w:ind w:left="4320" w:hanging="360"/>
      </w:pPr>
      <w:rPr>
        <w:rFonts w:ascii="Wingdings" w:hAnsi="Wingdings" w:hint="default"/>
      </w:rPr>
    </w:lvl>
    <w:lvl w:ilvl="6" w:tplc="C5DE557E">
      <w:start w:val="1"/>
      <w:numFmt w:val="bullet"/>
      <w:lvlText w:val=""/>
      <w:lvlJc w:val="left"/>
      <w:pPr>
        <w:ind w:left="5040" w:hanging="360"/>
      </w:pPr>
      <w:rPr>
        <w:rFonts w:ascii="Symbol" w:hAnsi="Symbol" w:hint="default"/>
      </w:rPr>
    </w:lvl>
    <w:lvl w:ilvl="7" w:tplc="1F0C724A">
      <w:start w:val="1"/>
      <w:numFmt w:val="bullet"/>
      <w:lvlText w:val="o"/>
      <w:lvlJc w:val="left"/>
      <w:pPr>
        <w:ind w:left="5760" w:hanging="360"/>
      </w:pPr>
      <w:rPr>
        <w:rFonts w:ascii="Courier New" w:hAnsi="Courier New" w:hint="default"/>
      </w:rPr>
    </w:lvl>
    <w:lvl w:ilvl="8" w:tplc="DE96B37A">
      <w:start w:val="1"/>
      <w:numFmt w:val="bullet"/>
      <w:lvlText w:val=""/>
      <w:lvlJc w:val="left"/>
      <w:pPr>
        <w:ind w:left="6480" w:hanging="360"/>
      </w:pPr>
      <w:rPr>
        <w:rFonts w:ascii="Wingdings" w:hAnsi="Wingdings" w:hint="default"/>
      </w:rPr>
    </w:lvl>
  </w:abstractNum>
  <w:abstractNum w:abstractNumId="22" w15:restartNumberingAfterBreak="0">
    <w:nsid w:val="4F8020FF"/>
    <w:multiLevelType w:val="hybridMultilevel"/>
    <w:tmpl w:val="27D45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42D3D1"/>
    <w:multiLevelType w:val="hybridMultilevel"/>
    <w:tmpl w:val="7FCE8F3C"/>
    <w:lvl w:ilvl="0" w:tplc="67884692">
      <w:start w:val="1"/>
      <w:numFmt w:val="bullet"/>
      <w:lvlText w:val="-"/>
      <w:lvlJc w:val="left"/>
      <w:pPr>
        <w:ind w:left="720" w:hanging="360"/>
      </w:pPr>
      <w:rPr>
        <w:rFonts w:ascii="Aptos" w:hAnsi="Aptos" w:hint="default"/>
      </w:rPr>
    </w:lvl>
    <w:lvl w:ilvl="1" w:tplc="AF225820">
      <w:start w:val="1"/>
      <w:numFmt w:val="bullet"/>
      <w:lvlText w:val="o"/>
      <w:lvlJc w:val="left"/>
      <w:pPr>
        <w:ind w:left="1440" w:hanging="360"/>
      </w:pPr>
      <w:rPr>
        <w:rFonts w:ascii="Courier New" w:hAnsi="Courier New" w:hint="default"/>
      </w:rPr>
    </w:lvl>
    <w:lvl w:ilvl="2" w:tplc="4D9CAB28">
      <w:start w:val="1"/>
      <w:numFmt w:val="bullet"/>
      <w:lvlText w:val=""/>
      <w:lvlJc w:val="left"/>
      <w:pPr>
        <w:ind w:left="2160" w:hanging="360"/>
      </w:pPr>
      <w:rPr>
        <w:rFonts w:ascii="Wingdings" w:hAnsi="Wingdings" w:hint="default"/>
      </w:rPr>
    </w:lvl>
    <w:lvl w:ilvl="3" w:tplc="A8CAE9C8">
      <w:start w:val="1"/>
      <w:numFmt w:val="bullet"/>
      <w:lvlText w:val=""/>
      <w:lvlJc w:val="left"/>
      <w:pPr>
        <w:ind w:left="2880" w:hanging="360"/>
      </w:pPr>
      <w:rPr>
        <w:rFonts w:ascii="Symbol" w:hAnsi="Symbol" w:hint="default"/>
      </w:rPr>
    </w:lvl>
    <w:lvl w:ilvl="4" w:tplc="60BA5640">
      <w:start w:val="1"/>
      <w:numFmt w:val="bullet"/>
      <w:lvlText w:val="o"/>
      <w:lvlJc w:val="left"/>
      <w:pPr>
        <w:ind w:left="3600" w:hanging="360"/>
      </w:pPr>
      <w:rPr>
        <w:rFonts w:ascii="Courier New" w:hAnsi="Courier New" w:hint="default"/>
      </w:rPr>
    </w:lvl>
    <w:lvl w:ilvl="5" w:tplc="67E42DE4">
      <w:start w:val="1"/>
      <w:numFmt w:val="bullet"/>
      <w:lvlText w:val=""/>
      <w:lvlJc w:val="left"/>
      <w:pPr>
        <w:ind w:left="4320" w:hanging="360"/>
      </w:pPr>
      <w:rPr>
        <w:rFonts w:ascii="Wingdings" w:hAnsi="Wingdings" w:hint="default"/>
      </w:rPr>
    </w:lvl>
    <w:lvl w:ilvl="6" w:tplc="0FD25534">
      <w:start w:val="1"/>
      <w:numFmt w:val="bullet"/>
      <w:lvlText w:val=""/>
      <w:lvlJc w:val="left"/>
      <w:pPr>
        <w:ind w:left="5040" w:hanging="360"/>
      </w:pPr>
      <w:rPr>
        <w:rFonts w:ascii="Symbol" w:hAnsi="Symbol" w:hint="default"/>
      </w:rPr>
    </w:lvl>
    <w:lvl w:ilvl="7" w:tplc="19FAEC4C">
      <w:start w:val="1"/>
      <w:numFmt w:val="bullet"/>
      <w:lvlText w:val="o"/>
      <w:lvlJc w:val="left"/>
      <w:pPr>
        <w:ind w:left="5760" w:hanging="360"/>
      </w:pPr>
      <w:rPr>
        <w:rFonts w:ascii="Courier New" w:hAnsi="Courier New" w:hint="default"/>
      </w:rPr>
    </w:lvl>
    <w:lvl w:ilvl="8" w:tplc="DFF43950">
      <w:start w:val="1"/>
      <w:numFmt w:val="bullet"/>
      <w:lvlText w:val=""/>
      <w:lvlJc w:val="left"/>
      <w:pPr>
        <w:ind w:left="6480" w:hanging="360"/>
      </w:pPr>
      <w:rPr>
        <w:rFonts w:ascii="Wingdings" w:hAnsi="Wingdings" w:hint="default"/>
      </w:rPr>
    </w:lvl>
  </w:abstractNum>
  <w:abstractNum w:abstractNumId="24" w15:restartNumberingAfterBreak="0">
    <w:nsid w:val="56787618"/>
    <w:multiLevelType w:val="hybridMultilevel"/>
    <w:tmpl w:val="8828FE8E"/>
    <w:lvl w:ilvl="0" w:tplc="1584BD7C">
      <w:start w:val="1"/>
      <w:numFmt w:val="bullet"/>
      <w:lvlText w:val=""/>
      <w:lvlJc w:val="left"/>
      <w:pPr>
        <w:ind w:left="1440" w:hanging="360"/>
      </w:pPr>
      <w:rPr>
        <w:rFonts w:ascii="Symbol" w:hAnsi="Symbol"/>
      </w:rPr>
    </w:lvl>
    <w:lvl w:ilvl="1" w:tplc="F8BABDCA">
      <w:start w:val="1"/>
      <w:numFmt w:val="bullet"/>
      <w:lvlText w:val=""/>
      <w:lvlJc w:val="left"/>
      <w:pPr>
        <w:ind w:left="1440" w:hanging="360"/>
      </w:pPr>
      <w:rPr>
        <w:rFonts w:ascii="Symbol" w:hAnsi="Symbol"/>
      </w:rPr>
    </w:lvl>
    <w:lvl w:ilvl="2" w:tplc="661A4C2E">
      <w:start w:val="1"/>
      <w:numFmt w:val="bullet"/>
      <w:lvlText w:val=""/>
      <w:lvlJc w:val="left"/>
      <w:pPr>
        <w:ind w:left="1440" w:hanging="360"/>
      </w:pPr>
      <w:rPr>
        <w:rFonts w:ascii="Symbol" w:hAnsi="Symbol"/>
      </w:rPr>
    </w:lvl>
    <w:lvl w:ilvl="3" w:tplc="D942589C">
      <w:start w:val="1"/>
      <w:numFmt w:val="bullet"/>
      <w:lvlText w:val=""/>
      <w:lvlJc w:val="left"/>
      <w:pPr>
        <w:ind w:left="1440" w:hanging="360"/>
      </w:pPr>
      <w:rPr>
        <w:rFonts w:ascii="Symbol" w:hAnsi="Symbol"/>
      </w:rPr>
    </w:lvl>
    <w:lvl w:ilvl="4" w:tplc="F47498C8">
      <w:start w:val="1"/>
      <w:numFmt w:val="bullet"/>
      <w:lvlText w:val=""/>
      <w:lvlJc w:val="left"/>
      <w:pPr>
        <w:ind w:left="1440" w:hanging="360"/>
      </w:pPr>
      <w:rPr>
        <w:rFonts w:ascii="Symbol" w:hAnsi="Symbol"/>
      </w:rPr>
    </w:lvl>
    <w:lvl w:ilvl="5" w:tplc="C2F83A0E">
      <w:start w:val="1"/>
      <w:numFmt w:val="bullet"/>
      <w:lvlText w:val=""/>
      <w:lvlJc w:val="left"/>
      <w:pPr>
        <w:ind w:left="1440" w:hanging="360"/>
      </w:pPr>
      <w:rPr>
        <w:rFonts w:ascii="Symbol" w:hAnsi="Symbol"/>
      </w:rPr>
    </w:lvl>
    <w:lvl w:ilvl="6" w:tplc="8A208BA0">
      <w:start w:val="1"/>
      <w:numFmt w:val="bullet"/>
      <w:lvlText w:val=""/>
      <w:lvlJc w:val="left"/>
      <w:pPr>
        <w:ind w:left="1440" w:hanging="360"/>
      </w:pPr>
      <w:rPr>
        <w:rFonts w:ascii="Symbol" w:hAnsi="Symbol"/>
      </w:rPr>
    </w:lvl>
    <w:lvl w:ilvl="7" w:tplc="ED5EDE50">
      <w:start w:val="1"/>
      <w:numFmt w:val="bullet"/>
      <w:lvlText w:val=""/>
      <w:lvlJc w:val="left"/>
      <w:pPr>
        <w:ind w:left="1440" w:hanging="360"/>
      </w:pPr>
      <w:rPr>
        <w:rFonts w:ascii="Symbol" w:hAnsi="Symbol"/>
      </w:rPr>
    </w:lvl>
    <w:lvl w:ilvl="8" w:tplc="64FEC60E">
      <w:start w:val="1"/>
      <w:numFmt w:val="bullet"/>
      <w:lvlText w:val=""/>
      <w:lvlJc w:val="left"/>
      <w:pPr>
        <w:ind w:left="1440" w:hanging="360"/>
      </w:pPr>
      <w:rPr>
        <w:rFonts w:ascii="Symbol" w:hAnsi="Symbol"/>
      </w:rPr>
    </w:lvl>
  </w:abstractNum>
  <w:abstractNum w:abstractNumId="25" w15:restartNumberingAfterBreak="0">
    <w:nsid w:val="582D79F0"/>
    <w:multiLevelType w:val="hybridMultilevel"/>
    <w:tmpl w:val="BAF24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0C4E26"/>
    <w:multiLevelType w:val="hybridMultilevel"/>
    <w:tmpl w:val="F8A457D4"/>
    <w:lvl w:ilvl="0" w:tplc="CB52AD4A">
      <w:start w:val="1"/>
      <w:numFmt w:val="bullet"/>
      <w:lvlText w:val="-"/>
      <w:lvlJc w:val="left"/>
      <w:pPr>
        <w:ind w:left="720" w:hanging="360"/>
      </w:pPr>
      <w:rPr>
        <w:rFonts w:ascii="Aptos" w:hAnsi="Aptos" w:hint="default"/>
      </w:rPr>
    </w:lvl>
    <w:lvl w:ilvl="1" w:tplc="674ADCB8">
      <w:start w:val="1"/>
      <w:numFmt w:val="bullet"/>
      <w:lvlText w:val="o"/>
      <w:lvlJc w:val="left"/>
      <w:pPr>
        <w:ind w:left="1440" w:hanging="360"/>
      </w:pPr>
      <w:rPr>
        <w:rFonts w:ascii="Courier New" w:hAnsi="Courier New" w:hint="default"/>
      </w:rPr>
    </w:lvl>
    <w:lvl w:ilvl="2" w:tplc="36B67568">
      <w:start w:val="1"/>
      <w:numFmt w:val="bullet"/>
      <w:lvlText w:val=""/>
      <w:lvlJc w:val="left"/>
      <w:pPr>
        <w:ind w:left="2160" w:hanging="360"/>
      </w:pPr>
      <w:rPr>
        <w:rFonts w:ascii="Wingdings" w:hAnsi="Wingdings" w:hint="default"/>
      </w:rPr>
    </w:lvl>
    <w:lvl w:ilvl="3" w:tplc="9BDE04B8">
      <w:start w:val="1"/>
      <w:numFmt w:val="bullet"/>
      <w:lvlText w:val=""/>
      <w:lvlJc w:val="left"/>
      <w:pPr>
        <w:ind w:left="2880" w:hanging="360"/>
      </w:pPr>
      <w:rPr>
        <w:rFonts w:ascii="Symbol" w:hAnsi="Symbol" w:hint="default"/>
      </w:rPr>
    </w:lvl>
    <w:lvl w:ilvl="4" w:tplc="7E0C0892">
      <w:start w:val="1"/>
      <w:numFmt w:val="bullet"/>
      <w:lvlText w:val="o"/>
      <w:lvlJc w:val="left"/>
      <w:pPr>
        <w:ind w:left="3600" w:hanging="360"/>
      </w:pPr>
      <w:rPr>
        <w:rFonts w:ascii="Courier New" w:hAnsi="Courier New" w:hint="default"/>
      </w:rPr>
    </w:lvl>
    <w:lvl w:ilvl="5" w:tplc="2B62A672">
      <w:start w:val="1"/>
      <w:numFmt w:val="bullet"/>
      <w:lvlText w:val=""/>
      <w:lvlJc w:val="left"/>
      <w:pPr>
        <w:ind w:left="4320" w:hanging="360"/>
      </w:pPr>
      <w:rPr>
        <w:rFonts w:ascii="Wingdings" w:hAnsi="Wingdings" w:hint="default"/>
      </w:rPr>
    </w:lvl>
    <w:lvl w:ilvl="6" w:tplc="E9783F72">
      <w:start w:val="1"/>
      <w:numFmt w:val="bullet"/>
      <w:lvlText w:val=""/>
      <w:lvlJc w:val="left"/>
      <w:pPr>
        <w:ind w:left="5040" w:hanging="360"/>
      </w:pPr>
      <w:rPr>
        <w:rFonts w:ascii="Symbol" w:hAnsi="Symbol" w:hint="default"/>
      </w:rPr>
    </w:lvl>
    <w:lvl w:ilvl="7" w:tplc="61F0C542">
      <w:start w:val="1"/>
      <w:numFmt w:val="bullet"/>
      <w:lvlText w:val="o"/>
      <w:lvlJc w:val="left"/>
      <w:pPr>
        <w:ind w:left="5760" w:hanging="360"/>
      </w:pPr>
      <w:rPr>
        <w:rFonts w:ascii="Courier New" w:hAnsi="Courier New" w:hint="default"/>
      </w:rPr>
    </w:lvl>
    <w:lvl w:ilvl="8" w:tplc="FCCA9A06">
      <w:start w:val="1"/>
      <w:numFmt w:val="bullet"/>
      <w:lvlText w:val=""/>
      <w:lvlJc w:val="left"/>
      <w:pPr>
        <w:ind w:left="6480" w:hanging="360"/>
      </w:pPr>
      <w:rPr>
        <w:rFonts w:ascii="Wingdings" w:hAnsi="Wingdings" w:hint="default"/>
      </w:rPr>
    </w:lvl>
  </w:abstractNum>
  <w:abstractNum w:abstractNumId="27" w15:restartNumberingAfterBreak="0">
    <w:nsid w:val="5A4E3DD8"/>
    <w:multiLevelType w:val="hybridMultilevel"/>
    <w:tmpl w:val="8116C7AC"/>
    <w:lvl w:ilvl="0" w:tplc="C5084FBE">
      <w:start w:val="1"/>
      <w:numFmt w:val="bullet"/>
      <w:lvlText w:val=""/>
      <w:lvlJc w:val="left"/>
      <w:pPr>
        <w:ind w:left="1440" w:hanging="360"/>
      </w:pPr>
      <w:rPr>
        <w:rFonts w:ascii="Symbol" w:hAnsi="Symbol"/>
      </w:rPr>
    </w:lvl>
    <w:lvl w:ilvl="1" w:tplc="88AA5EB0">
      <w:start w:val="1"/>
      <w:numFmt w:val="bullet"/>
      <w:lvlText w:val=""/>
      <w:lvlJc w:val="left"/>
      <w:pPr>
        <w:ind w:left="1440" w:hanging="360"/>
      </w:pPr>
      <w:rPr>
        <w:rFonts w:ascii="Symbol" w:hAnsi="Symbol"/>
      </w:rPr>
    </w:lvl>
    <w:lvl w:ilvl="2" w:tplc="E6F6298A">
      <w:start w:val="1"/>
      <w:numFmt w:val="bullet"/>
      <w:lvlText w:val=""/>
      <w:lvlJc w:val="left"/>
      <w:pPr>
        <w:ind w:left="1440" w:hanging="360"/>
      </w:pPr>
      <w:rPr>
        <w:rFonts w:ascii="Symbol" w:hAnsi="Symbol"/>
      </w:rPr>
    </w:lvl>
    <w:lvl w:ilvl="3" w:tplc="F4145EC4">
      <w:start w:val="1"/>
      <w:numFmt w:val="bullet"/>
      <w:lvlText w:val=""/>
      <w:lvlJc w:val="left"/>
      <w:pPr>
        <w:ind w:left="1440" w:hanging="360"/>
      </w:pPr>
      <w:rPr>
        <w:rFonts w:ascii="Symbol" w:hAnsi="Symbol"/>
      </w:rPr>
    </w:lvl>
    <w:lvl w:ilvl="4" w:tplc="E1F04A16">
      <w:start w:val="1"/>
      <w:numFmt w:val="bullet"/>
      <w:lvlText w:val=""/>
      <w:lvlJc w:val="left"/>
      <w:pPr>
        <w:ind w:left="1440" w:hanging="360"/>
      </w:pPr>
      <w:rPr>
        <w:rFonts w:ascii="Symbol" w:hAnsi="Symbol"/>
      </w:rPr>
    </w:lvl>
    <w:lvl w:ilvl="5" w:tplc="839EE3F4">
      <w:start w:val="1"/>
      <w:numFmt w:val="bullet"/>
      <w:lvlText w:val=""/>
      <w:lvlJc w:val="left"/>
      <w:pPr>
        <w:ind w:left="1440" w:hanging="360"/>
      </w:pPr>
      <w:rPr>
        <w:rFonts w:ascii="Symbol" w:hAnsi="Symbol"/>
      </w:rPr>
    </w:lvl>
    <w:lvl w:ilvl="6" w:tplc="A5449EB4">
      <w:start w:val="1"/>
      <w:numFmt w:val="bullet"/>
      <w:lvlText w:val=""/>
      <w:lvlJc w:val="left"/>
      <w:pPr>
        <w:ind w:left="1440" w:hanging="360"/>
      </w:pPr>
      <w:rPr>
        <w:rFonts w:ascii="Symbol" w:hAnsi="Symbol"/>
      </w:rPr>
    </w:lvl>
    <w:lvl w:ilvl="7" w:tplc="EA345384">
      <w:start w:val="1"/>
      <w:numFmt w:val="bullet"/>
      <w:lvlText w:val=""/>
      <w:lvlJc w:val="left"/>
      <w:pPr>
        <w:ind w:left="1440" w:hanging="360"/>
      </w:pPr>
      <w:rPr>
        <w:rFonts w:ascii="Symbol" w:hAnsi="Symbol"/>
      </w:rPr>
    </w:lvl>
    <w:lvl w:ilvl="8" w:tplc="81D09A2A">
      <w:start w:val="1"/>
      <w:numFmt w:val="bullet"/>
      <w:lvlText w:val=""/>
      <w:lvlJc w:val="left"/>
      <w:pPr>
        <w:ind w:left="1440" w:hanging="360"/>
      </w:pPr>
      <w:rPr>
        <w:rFonts w:ascii="Symbol" w:hAnsi="Symbol"/>
      </w:rPr>
    </w:lvl>
  </w:abstractNum>
  <w:abstractNum w:abstractNumId="28" w15:restartNumberingAfterBreak="0">
    <w:nsid w:val="5CE3C542"/>
    <w:multiLevelType w:val="hybridMultilevel"/>
    <w:tmpl w:val="0E120D86"/>
    <w:lvl w:ilvl="0" w:tplc="13DC1D16">
      <w:start w:val="1"/>
      <w:numFmt w:val="bullet"/>
      <w:lvlText w:val="-"/>
      <w:lvlJc w:val="left"/>
      <w:pPr>
        <w:ind w:left="720" w:hanging="360"/>
      </w:pPr>
      <w:rPr>
        <w:rFonts w:ascii="Aptos" w:hAnsi="Aptos" w:hint="default"/>
      </w:rPr>
    </w:lvl>
    <w:lvl w:ilvl="1" w:tplc="24A64BD6">
      <w:start w:val="1"/>
      <w:numFmt w:val="bullet"/>
      <w:lvlText w:val="o"/>
      <w:lvlJc w:val="left"/>
      <w:pPr>
        <w:ind w:left="1440" w:hanging="360"/>
      </w:pPr>
      <w:rPr>
        <w:rFonts w:ascii="Courier New" w:hAnsi="Courier New" w:hint="default"/>
      </w:rPr>
    </w:lvl>
    <w:lvl w:ilvl="2" w:tplc="CA5CA940">
      <w:start w:val="1"/>
      <w:numFmt w:val="bullet"/>
      <w:lvlText w:val=""/>
      <w:lvlJc w:val="left"/>
      <w:pPr>
        <w:ind w:left="2160" w:hanging="360"/>
      </w:pPr>
      <w:rPr>
        <w:rFonts w:ascii="Wingdings" w:hAnsi="Wingdings" w:hint="default"/>
      </w:rPr>
    </w:lvl>
    <w:lvl w:ilvl="3" w:tplc="A16AD8D6">
      <w:start w:val="1"/>
      <w:numFmt w:val="bullet"/>
      <w:lvlText w:val=""/>
      <w:lvlJc w:val="left"/>
      <w:pPr>
        <w:ind w:left="2880" w:hanging="360"/>
      </w:pPr>
      <w:rPr>
        <w:rFonts w:ascii="Symbol" w:hAnsi="Symbol" w:hint="default"/>
      </w:rPr>
    </w:lvl>
    <w:lvl w:ilvl="4" w:tplc="3AAC37A2">
      <w:start w:val="1"/>
      <w:numFmt w:val="bullet"/>
      <w:lvlText w:val="o"/>
      <w:lvlJc w:val="left"/>
      <w:pPr>
        <w:ind w:left="3600" w:hanging="360"/>
      </w:pPr>
      <w:rPr>
        <w:rFonts w:ascii="Courier New" w:hAnsi="Courier New" w:hint="default"/>
      </w:rPr>
    </w:lvl>
    <w:lvl w:ilvl="5" w:tplc="A552A792">
      <w:start w:val="1"/>
      <w:numFmt w:val="bullet"/>
      <w:lvlText w:val=""/>
      <w:lvlJc w:val="left"/>
      <w:pPr>
        <w:ind w:left="4320" w:hanging="360"/>
      </w:pPr>
      <w:rPr>
        <w:rFonts w:ascii="Wingdings" w:hAnsi="Wingdings" w:hint="default"/>
      </w:rPr>
    </w:lvl>
    <w:lvl w:ilvl="6" w:tplc="40F2F502">
      <w:start w:val="1"/>
      <w:numFmt w:val="bullet"/>
      <w:lvlText w:val=""/>
      <w:lvlJc w:val="left"/>
      <w:pPr>
        <w:ind w:left="5040" w:hanging="360"/>
      </w:pPr>
      <w:rPr>
        <w:rFonts w:ascii="Symbol" w:hAnsi="Symbol" w:hint="default"/>
      </w:rPr>
    </w:lvl>
    <w:lvl w:ilvl="7" w:tplc="F942DA4C">
      <w:start w:val="1"/>
      <w:numFmt w:val="bullet"/>
      <w:lvlText w:val="o"/>
      <w:lvlJc w:val="left"/>
      <w:pPr>
        <w:ind w:left="5760" w:hanging="360"/>
      </w:pPr>
      <w:rPr>
        <w:rFonts w:ascii="Courier New" w:hAnsi="Courier New" w:hint="default"/>
      </w:rPr>
    </w:lvl>
    <w:lvl w:ilvl="8" w:tplc="20EC4BE0">
      <w:start w:val="1"/>
      <w:numFmt w:val="bullet"/>
      <w:lvlText w:val=""/>
      <w:lvlJc w:val="left"/>
      <w:pPr>
        <w:ind w:left="6480" w:hanging="360"/>
      </w:pPr>
      <w:rPr>
        <w:rFonts w:ascii="Wingdings" w:hAnsi="Wingdings" w:hint="default"/>
      </w:rPr>
    </w:lvl>
  </w:abstractNum>
  <w:abstractNum w:abstractNumId="29" w15:restartNumberingAfterBreak="0">
    <w:nsid w:val="5E326EF8"/>
    <w:multiLevelType w:val="hybridMultilevel"/>
    <w:tmpl w:val="F5C6659E"/>
    <w:lvl w:ilvl="0" w:tplc="CEB21BE6">
      <w:start w:val="1"/>
      <w:numFmt w:val="bullet"/>
      <w:lvlText w:val=""/>
      <w:lvlJc w:val="left"/>
      <w:pPr>
        <w:ind w:left="1080" w:hanging="360"/>
      </w:pPr>
      <w:rPr>
        <w:rFonts w:ascii="Symbol" w:hAnsi="Symbol"/>
      </w:rPr>
    </w:lvl>
    <w:lvl w:ilvl="1" w:tplc="C50CDCB4">
      <w:start w:val="1"/>
      <w:numFmt w:val="bullet"/>
      <w:lvlText w:val=""/>
      <w:lvlJc w:val="left"/>
      <w:pPr>
        <w:ind w:left="1080" w:hanging="360"/>
      </w:pPr>
      <w:rPr>
        <w:rFonts w:ascii="Symbol" w:hAnsi="Symbol"/>
      </w:rPr>
    </w:lvl>
    <w:lvl w:ilvl="2" w:tplc="7324C6AC">
      <w:start w:val="1"/>
      <w:numFmt w:val="bullet"/>
      <w:lvlText w:val=""/>
      <w:lvlJc w:val="left"/>
      <w:pPr>
        <w:ind w:left="1080" w:hanging="360"/>
      </w:pPr>
      <w:rPr>
        <w:rFonts w:ascii="Symbol" w:hAnsi="Symbol"/>
      </w:rPr>
    </w:lvl>
    <w:lvl w:ilvl="3" w:tplc="56D4952E">
      <w:start w:val="1"/>
      <w:numFmt w:val="bullet"/>
      <w:lvlText w:val=""/>
      <w:lvlJc w:val="left"/>
      <w:pPr>
        <w:ind w:left="1080" w:hanging="360"/>
      </w:pPr>
      <w:rPr>
        <w:rFonts w:ascii="Symbol" w:hAnsi="Symbol"/>
      </w:rPr>
    </w:lvl>
    <w:lvl w:ilvl="4" w:tplc="88A81842">
      <w:start w:val="1"/>
      <w:numFmt w:val="bullet"/>
      <w:lvlText w:val=""/>
      <w:lvlJc w:val="left"/>
      <w:pPr>
        <w:ind w:left="1080" w:hanging="360"/>
      </w:pPr>
      <w:rPr>
        <w:rFonts w:ascii="Symbol" w:hAnsi="Symbol"/>
      </w:rPr>
    </w:lvl>
    <w:lvl w:ilvl="5" w:tplc="14484BC2">
      <w:start w:val="1"/>
      <w:numFmt w:val="bullet"/>
      <w:lvlText w:val=""/>
      <w:lvlJc w:val="left"/>
      <w:pPr>
        <w:ind w:left="1080" w:hanging="360"/>
      </w:pPr>
      <w:rPr>
        <w:rFonts w:ascii="Symbol" w:hAnsi="Symbol"/>
      </w:rPr>
    </w:lvl>
    <w:lvl w:ilvl="6" w:tplc="D31EDF06">
      <w:start w:val="1"/>
      <w:numFmt w:val="bullet"/>
      <w:lvlText w:val=""/>
      <w:lvlJc w:val="left"/>
      <w:pPr>
        <w:ind w:left="1080" w:hanging="360"/>
      </w:pPr>
      <w:rPr>
        <w:rFonts w:ascii="Symbol" w:hAnsi="Symbol"/>
      </w:rPr>
    </w:lvl>
    <w:lvl w:ilvl="7" w:tplc="8A0A27D0">
      <w:start w:val="1"/>
      <w:numFmt w:val="bullet"/>
      <w:lvlText w:val=""/>
      <w:lvlJc w:val="left"/>
      <w:pPr>
        <w:ind w:left="1080" w:hanging="360"/>
      </w:pPr>
      <w:rPr>
        <w:rFonts w:ascii="Symbol" w:hAnsi="Symbol"/>
      </w:rPr>
    </w:lvl>
    <w:lvl w:ilvl="8" w:tplc="9CDACA68">
      <w:start w:val="1"/>
      <w:numFmt w:val="bullet"/>
      <w:lvlText w:val=""/>
      <w:lvlJc w:val="left"/>
      <w:pPr>
        <w:ind w:left="1080" w:hanging="360"/>
      </w:pPr>
      <w:rPr>
        <w:rFonts w:ascii="Symbol" w:hAnsi="Symbol"/>
      </w:rPr>
    </w:lvl>
  </w:abstractNum>
  <w:abstractNum w:abstractNumId="30" w15:restartNumberingAfterBreak="0">
    <w:nsid w:val="5F311340"/>
    <w:multiLevelType w:val="hybridMultilevel"/>
    <w:tmpl w:val="5E88F9A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0461D1C"/>
    <w:multiLevelType w:val="hybridMultilevel"/>
    <w:tmpl w:val="003093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36829C2"/>
    <w:multiLevelType w:val="hybridMultilevel"/>
    <w:tmpl w:val="84BA48FE"/>
    <w:lvl w:ilvl="0" w:tplc="A0767B6A">
      <w:start w:val="1"/>
      <w:numFmt w:val="bullet"/>
      <w:lvlText w:val="-"/>
      <w:lvlJc w:val="left"/>
      <w:pPr>
        <w:ind w:left="720" w:hanging="360"/>
      </w:pPr>
      <w:rPr>
        <w:rFonts w:ascii="Aptos" w:hAnsi="Aptos" w:hint="default"/>
      </w:rPr>
    </w:lvl>
    <w:lvl w:ilvl="1" w:tplc="382E872E">
      <w:start w:val="1"/>
      <w:numFmt w:val="bullet"/>
      <w:lvlText w:val="o"/>
      <w:lvlJc w:val="left"/>
      <w:pPr>
        <w:ind w:left="1440" w:hanging="360"/>
      </w:pPr>
      <w:rPr>
        <w:rFonts w:ascii="Courier New" w:hAnsi="Courier New" w:hint="default"/>
      </w:rPr>
    </w:lvl>
    <w:lvl w:ilvl="2" w:tplc="6BDC62BC">
      <w:start w:val="1"/>
      <w:numFmt w:val="bullet"/>
      <w:lvlText w:val=""/>
      <w:lvlJc w:val="left"/>
      <w:pPr>
        <w:ind w:left="2160" w:hanging="360"/>
      </w:pPr>
      <w:rPr>
        <w:rFonts w:ascii="Wingdings" w:hAnsi="Wingdings" w:hint="default"/>
      </w:rPr>
    </w:lvl>
    <w:lvl w:ilvl="3" w:tplc="38AC96BC">
      <w:start w:val="1"/>
      <w:numFmt w:val="bullet"/>
      <w:lvlText w:val=""/>
      <w:lvlJc w:val="left"/>
      <w:pPr>
        <w:ind w:left="2880" w:hanging="360"/>
      </w:pPr>
      <w:rPr>
        <w:rFonts w:ascii="Symbol" w:hAnsi="Symbol" w:hint="default"/>
      </w:rPr>
    </w:lvl>
    <w:lvl w:ilvl="4" w:tplc="3C24A44C">
      <w:start w:val="1"/>
      <w:numFmt w:val="bullet"/>
      <w:lvlText w:val="o"/>
      <w:lvlJc w:val="left"/>
      <w:pPr>
        <w:ind w:left="3600" w:hanging="360"/>
      </w:pPr>
      <w:rPr>
        <w:rFonts w:ascii="Courier New" w:hAnsi="Courier New" w:hint="default"/>
      </w:rPr>
    </w:lvl>
    <w:lvl w:ilvl="5" w:tplc="673E2D64">
      <w:start w:val="1"/>
      <w:numFmt w:val="bullet"/>
      <w:lvlText w:val=""/>
      <w:lvlJc w:val="left"/>
      <w:pPr>
        <w:ind w:left="4320" w:hanging="360"/>
      </w:pPr>
      <w:rPr>
        <w:rFonts w:ascii="Wingdings" w:hAnsi="Wingdings" w:hint="default"/>
      </w:rPr>
    </w:lvl>
    <w:lvl w:ilvl="6" w:tplc="B400E878">
      <w:start w:val="1"/>
      <w:numFmt w:val="bullet"/>
      <w:lvlText w:val=""/>
      <w:lvlJc w:val="left"/>
      <w:pPr>
        <w:ind w:left="5040" w:hanging="360"/>
      </w:pPr>
      <w:rPr>
        <w:rFonts w:ascii="Symbol" w:hAnsi="Symbol" w:hint="default"/>
      </w:rPr>
    </w:lvl>
    <w:lvl w:ilvl="7" w:tplc="D078443E">
      <w:start w:val="1"/>
      <w:numFmt w:val="bullet"/>
      <w:lvlText w:val="o"/>
      <w:lvlJc w:val="left"/>
      <w:pPr>
        <w:ind w:left="5760" w:hanging="360"/>
      </w:pPr>
      <w:rPr>
        <w:rFonts w:ascii="Courier New" w:hAnsi="Courier New" w:hint="default"/>
      </w:rPr>
    </w:lvl>
    <w:lvl w:ilvl="8" w:tplc="8E82A414">
      <w:start w:val="1"/>
      <w:numFmt w:val="bullet"/>
      <w:lvlText w:val=""/>
      <w:lvlJc w:val="left"/>
      <w:pPr>
        <w:ind w:left="6480" w:hanging="360"/>
      </w:pPr>
      <w:rPr>
        <w:rFonts w:ascii="Wingdings" w:hAnsi="Wingdings" w:hint="default"/>
      </w:rPr>
    </w:lvl>
  </w:abstractNum>
  <w:abstractNum w:abstractNumId="33" w15:restartNumberingAfterBreak="0">
    <w:nsid w:val="65A207F7"/>
    <w:multiLevelType w:val="hybridMultilevel"/>
    <w:tmpl w:val="6922B670"/>
    <w:lvl w:ilvl="0" w:tplc="9D6CB42A">
      <w:start w:val="1"/>
      <w:numFmt w:val="bullet"/>
      <w:lvlText w:val="-"/>
      <w:lvlJc w:val="left"/>
      <w:pPr>
        <w:ind w:left="720" w:hanging="360"/>
      </w:pPr>
      <w:rPr>
        <w:rFonts w:ascii="Aptos" w:hAnsi="Aptos" w:hint="default"/>
      </w:rPr>
    </w:lvl>
    <w:lvl w:ilvl="1" w:tplc="5AAA93F0">
      <w:start w:val="1"/>
      <w:numFmt w:val="bullet"/>
      <w:lvlText w:val="o"/>
      <w:lvlJc w:val="left"/>
      <w:pPr>
        <w:ind w:left="1440" w:hanging="360"/>
      </w:pPr>
      <w:rPr>
        <w:rFonts w:ascii="Courier New" w:hAnsi="Courier New" w:hint="default"/>
      </w:rPr>
    </w:lvl>
    <w:lvl w:ilvl="2" w:tplc="00F65986">
      <w:start w:val="1"/>
      <w:numFmt w:val="bullet"/>
      <w:lvlText w:val=""/>
      <w:lvlJc w:val="left"/>
      <w:pPr>
        <w:ind w:left="2160" w:hanging="360"/>
      </w:pPr>
      <w:rPr>
        <w:rFonts w:ascii="Wingdings" w:hAnsi="Wingdings" w:hint="default"/>
      </w:rPr>
    </w:lvl>
    <w:lvl w:ilvl="3" w:tplc="E80C9FC6">
      <w:start w:val="1"/>
      <w:numFmt w:val="bullet"/>
      <w:lvlText w:val=""/>
      <w:lvlJc w:val="left"/>
      <w:pPr>
        <w:ind w:left="2880" w:hanging="360"/>
      </w:pPr>
      <w:rPr>
        <w:rFonts w:ascii="Symbol" w:hAnsi="Symbol" w:hint="default"/>
      </w:rPr>
    </w:lvl>
    <w:lvl w:ilvl="4" w:tplc="1A8E05C6">
      <w:start w:val="1"/>
      <w:numFmt w:val="bullet"/>
      <w:lvlText w:val="o"/>
      <w:lvlJc w:val="left"/>
      <w:pPr>
        <w:ind w:left="3600" w:hanging="360"/>
      </w:pPr>
      <w:rPr>
        <w:rFonts w:ascii="Courier New" w:hAnsi="Courier New" w:hint="default"/>
      </w:rPr>
    </w:lvl>
    <w:lvl w:ilvl="5" w:tplc="D6F647AC">
      <w:start w:val="1"/>
      <w:numFmt w:val="bullet"/>
      <w:lvlText w:val=""/>
      <w:lvlJc w:val="left"/>
      <w:pPr>
        <w:ind w:left="4320" w:hanging="360"/>
      </w:pPr>
      <w:rPr>
        <w:rFonts w:ascii="Wingdings" w:hAnsi="Wingdings" w:hint="default"/>
      </w:rPr>
    </w:lvl>
    <w:lvl w:ilvl="6" w:tplc="E2883110">
      <w:start w:val="1"/>
      <w:numFmt w:val="bullet"/>
      <w:lvlText w:val=""/>
      <w:lvlJc w:val="left"/>
      <w:pPr>
        <w:ind w:left="5040" w:hanging="360"/>
      </w:pPr>
      <w:rPr>
        <w:rFonts w:ascii="Symbol" w:hAnsi="Symbol" w:hint="default"/>
      </w:rPr>
    </w:lvl>
    <w:lvl w:ilvl="7" w:tplc="7ED2BAF8">
      <w:start w:val="1"/>
      <w:numFmt w:val="bullet"/>
      <w:lvlText w:val="o"/>
      <w:lvlJc w:val="left"/>
      <w:pPr>
        <w:ind w:left="5760" w:hanging="360"/>
      </w:pPr>
      <w:rPr>
        <w:rFonts w:ascii="Courier New" w:hAnsi="Courier New" w:hint="default"/>
      </w:rPr>
    </w:lvl>
    <w:lvl w:ilvl="8" w:tplc="588C8C34">
      <w:start w:val="1"/>
      <w:numFmt w:val="bullet"/>
      <w:lvlText w:val=""/>
      <w:lvlJc w:val="left"/>
      <w:pPr>
        <w:ind w:left="6480" w:hanging="360"/>
      </w:pPr>
      <w:rPr>
        <w:rFonts w:ascii="Wingdings" w:hAnsi="Wingdings" w:hint="default"/>
      </w:rPr>
    </w:lvl>
  </w:abstractNum>
  <w:abstractNum w:abstractNumId="34" w15:restartNumberingAfterBreak="0">
    <w:nsid w:val="68834945"/>
    <w:multiLevelType w:val="hybridMultilevel"/>
    <w:tmpl w:val="2C7CF350"/>
    <w:lvl w:ilvl="0" w:tplc="0809000F">
      <w:start w:val="1"/>
      <w:numFmt w:val="decimal"/>
      <w:lvlText w:val="%1."/>
      <w:lvlJc w:val="left"/>
      <w:pPr>
        <w:ind w:left="357" w:hanging="360"/>
      </w:pPr>
    </w:lvl>
    <w:lvl w:ilvl="1" w:tplc="08090019">
      <w:start w:val="1"/>
      <w:numFmt w:val="lowerLetter"/>
      <w:lvlText w:val="%2."/>
      <w:lvlJc w:val="left"/>
      <w:pPr>
        <w:ind w:left="705" w:hanging="360"/>
      </w:pPr>
    </w:lvl>
    <w:lvl w:ilvl="2" w:tplc="0809001B" w:tentative="1">
      <w:start w:val="1"/>
      <w:numFmt w:val="lowerRoman"/>
      <w:lvlText w:val="%3."/>
      <w:lvlJc w:val="right"/>
      <w:pPr>
        <w:ind w:left="1797" w:hanging="180"/>
      </w:pPr>
    </w:lvl>
    <w:lvl w:ilvl="3" w:tplc="0809000F" w:tentative="1">
      <w:start w:val="1"/>
      <w:numFmt w:val="decimal"/>
      <w:lvlText w:val="%4."/>
      <w:lvlJc w:val="left"/>
      <w:pPr>
        <w:ind w:left="2517" w:hanging="360"/>
      </w:pPr>
    </w:lvl>
    <w:lvl w:ilvl="4" w:tplc="08090019" w:tentative="1">
      <w:start w:val="1"/>
      <w:numFmt w:val="lowerLetter"/>
      <w:lvlText w:val="%5."/>
      <w:lvlJc w:val="left"/>
      <w:pPr>
        <w:ind w:left="3237" w:hanging="360"/>
      </w:pPr>
    </w:lvl>
    <w:lvl w:ilvl="5" w:tplc="0809001B" w:tentative="1">
      <w:start w:val="1"/>
      <w:numFmt w:val="lowerRoman"/>
      <w:lvlText w:val="%6."/>
      <w:lvlJc w:val="right"/>
      <w:pPr>
        <w:ind w:left="3957" w:hanging="180"/>
      </w:pPr>
    </w:lvl>
    <w:lvl w:ilvl="6" w:tplc="0809000F" w:tentative="1">
      <w:start w:val="1"/>
      <w:numFmt w:val="decimal"/>
      <w:lvlText w:val="%7."/>
      <w:lvlJc w:val="left"/>
      <w:pPr>
        <w:ind w:left="4677" w:hanging="360"/>
      </w:pPr>
    </w:lvl>
    <w:lvl w:ilvl="7" w:tplc="08090019" w:tentative="1">
      <w:start w:val="1"/>
      <w:numFmt w:val="lowerLetter"/>
      <w:lvlText w:val="%8."/>
      <w:lvlJc w:val="left"/>
      <w:pPr>
        <w:ind w:left="5397" w:hanging="360"/>
      </w:pPr>
    </w:lvl>
    <w:lvl w:ilvl="8" w:tplc="0809001B" w:tentative="1">
      <w:start w:val="1"/>
      <w:numFmt w:val="lowerRoman"/>
      <w:lvlText w:val="%9."/>
      <w:lvlJc w:val="right"/>
      <w:pPr>
        <w:ind w:left="6117" w:hanging="180"/>
      </w:pPr>
    </w:lvl>
  </w:abstractNum>
  <w:abstractNum w:abstractNumId="35" w15:restartNumberingAfterBreak="0">
    <w:nsid w:val="6C51396C"/>
    <w:multiLevelType w:val="hybridMultilevel"/>
    <w:tmpl w:val="321846BA"/>
    <w:lvl w:ilvl="0" w:tplc="B7280C06">
      <w:start w:val="1"/>
      <w:numFmt w:val="bullet"/>
      <w:lvlText w:val=""/>
      <w:lvlJc w:val="left"/>
      <w:pPr>
        <w:ind w:left="1080" w:hanging="360"/>
      </w:pPr>
      <w:rPr>
        <w:rFonts w:ascii="Symbol" w:hAnsi="Symbol"/>
      </w:rPr>
    </w:lvl>
    <w:lvl w:ilvl="1" w:tplc="AFEC693C">
      <w:start w:val="1"/>
      <w:numFmt w:val="bullet"/>
      <w:lvlText w:val=""/>
      <w:lvlJc w:val="left"/>
      <w:pPr>
        <w:ind w:left="1080" w:hanging="360"/>
      </w:pPr>
      <w:rPr>
        <w:rFonts w:ascii="Symbol" w:hAnsi="Symbol"/>
      </w:rPr>
    </w:lvl>
    <w:lvl w:ilvl="2" w:tplc="989C0DB6">
      <w:start w:val="1"/>
      <w:numFmt w:val="bullet"/>
      <w:lvlText w:val=""/>
      <w:lvlJc w:val="left"/>
      <w:pPr>
        <w:ind w:left="1080" w:hanging="360"/>
      </w:pPr>
      <w:rPr>
        <w:rFonts w:ascii="Symbol" w:hAnsi="Symbol"/>
      </w:rPr>
    </w:lvl>
    <w:lvl w:ilvl="3" w:tplc="6B507DC4">
      <w:start w:val="1"/>
      <w:numFmt w:val="bullet"/>
      <w:lvlText w:val=""/>
      <w:lvlJc w:val="left"/>
      <w:pPr>
        <w:ind w:left="1080" w:hanging="360"/>
      </w:pPr>
      <w:rPr>
        <w:rFonts w:ascii="Symbol" w:hAnsi="Symbol"/>
      </w:rPr>
    </w:lvl>
    <w:lvl w:ilvl="4" w:tplc="5694E47E">
      <w:start w:val="1"/>
      <w:numFmt w:val="bullet"/>
      <w:lvlText w:val=""/>
      <w:lvlJc w:val="left"/>
      <w:pPr>
        <w:ind w:left="1080" w:hanging="360"/>
      </w:pPr>
      <w:rPr>
        <w:rFonts w:ascii="Symbol" w:hAnsi="Symbol"/>
      </w:rPr>
    </w:lvl>
    <w:lvl w:ilvl="5" w:tplc="66147920">
      <w:start w:val="1"/>
      <w:numFmt w:val="bullet"/>
      <w:lvlText w:val=""/>
      <w:lvlJc w:val="left"/>
      <w:pPr>
        <w:ind w:left="1080" w:hanging="360"/>
      </w:pPr>
      <w:rPr>
        <w:rFonts w:ascii="Symbol" w:hAnsi="Symbol"/>
      </w:rPr>
    </w:lvl>
    <w:lvl w:ilvl="6" w:tplc="2772ABAE">
      <w:start w:val="1"/>
      <w:numFmt w:val="bullet"/>
      <w:lvlText w:val=""/>
      <w:lvlJc w:val="left"/>
      <w:pPr>
        <w:ind w:left="1080" w:hanging="360"/>
      </w:pPr>
      <w:rPr>
        <w:rFonts w:ascii="Symbol" w:hAnsi="Symbol"/>
      </w:rPr>
    </w:lvl>
    <w:lvl w:ilvl="7" w:tplc="DA3CBE44">
      <w:start w:val="1"/>
      <w:numFmt w:val="bullet"/>
      <w:lvlText w:val=""/>
      <w:lvlJc w:val="left"/>
      <w:pPr>
        <w:ind w:left="1080" w:hanging="360"/>
      </w:pPr>
      <w:rPr>
        <w:rFonts w:ascii="Symbol" w:hAnsi="Symbol"/>
      </w:rPr>
    </w:lvl>
    <w:lvl w:ilvl="8" w:tplc="CF7AF742">
      <w:start w:val="1"/>
      <w:numFmt w:val="bullet"/>
      <w:lvlText w:val=""/>
      <w:lvlJc w:val="left"/>
      <w:pPr>
        <w:ind w:left="1080" w:hanging="360"/>
      </w:pPr>
      <w:rPr>
        <w:rFonts w:ascii="Symbol" w:hAnsi="Symbol"/>
      </w:rPr>
    </w:lvl>
  </w:abstractNum>
  <w:abstractNum w:abstractNumId="36" w15:restartNumberingAfterBreak="0">
    <w:nsid w:val="6DDE3AC9"/>
    <w:multiLevelType w:val="hybridMultilevel"/>
    <w:tmpl w:val="04F6C332"/>
    <w:lvl w:ilvl="0" w:tplc="28407F1C">
      <w:start w:val="1"/>
      <w:numFmt w:val="decimal"/>
      <w:pStyle w:val="AppendixHeading2"/>
      <w:lvlText w:val="%1A."/>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29496E"/>
    <w:multiLevelType w:val="multilevel"/>
    <w:tmpl w:val="6F188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152649"/>
    <w:multiLevelType w:val="hybridMultilevel"/>
    <w:tmpl w:val="90EA0916"/>
    <w:lvl w:ilvl="0" w:tplc="08090003">
      <w:start w:val="1"/>
      <w:numFmt w:val="bullet"/>
      <w:lvlText w:val="o"/>
      <w:lvlJc w:val="left"/>
      <w:pPr>
        <w:ind w:left="1069"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B5073FA"/>
    <w:multiLevelType w:val="hybridMultilevel"/>
    <w:tmpl w:val="B36A5F90"/>
    <w:lvl w:ilvl="0" w:tplc="5EB83E80">
      <w:start w:val="1"/>
      <w:numFmt w:val="decimal"/>
      <w:pStyle w:val="AppendixHeading3"/>
      <w:lvlText w:val="%1A.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C732BF7"/>
    <w:multiLevelType w:val="hybridMultilevel"/>
    <w:tmpl w:val="4EDC9FA0"/>
    <w:lvl w:ilvl="0" w:tplc="3E6060A2">
      <w:start w:val="1"/>
      <w:numFmt w:val="bullet"/>
      <w:lvlText w:val="-"/>
      <w:lvlJc w:val="left"/>
      <w:pPr>
        <w:ind w:left="720" w:hanging="360"/>
      </w:pPr>
      <w:rPr>
        <w:rFonts w:ascii="Aptos" w:hAnsi="Aptos" w:hint="default"/>
      </w:rPr>
    </w:lvl>
    <w:lvl w:ilvl="1" w:tplc="99524416">
      <w:start w:val="1"/>
      <w:numFmt w:val="bullet"/>
      <w:lvlText w:val="o"/>
      <w:lvlJc w:val="left"/>
      <w:pPr>
        <w:ind w:left="1440" w:hanging="360"/>
      </w:pPr>
      <w:rPr>
        <w:rFonts w:ascii="Courier New" w:hAnsi="Courier New" w:hint="default"/>
      </w:rPr>
    </w:lvl>
    <w:lvl w:ilvl="2" w:tplc="5F281D62">
      <w:start w:val="1"/>
      <w:numFmt w:val="bullet"/>
      <w:lvlText w:val=""/>
      <w:lvlJc w:val="left"/>
      <w:pPr>
        <w:ind w:left="2160" w:hanging="360"/>
      </w:pPr>
      <w:rPr>
        <w:rFonts w:ascii="Wingdings" w:hAnsi="Wingdings" w:hint="default"/>
      </w:rPr>
    </w:lvl>
    <w:lvl w:ilvl="3" w:tplc="BAD6595A">
      <w:start w:val="1"/>
      <w:numFmt w:val="bullet"/>
      <w:lvlText w:val=""/>
      <w:lvlJc w:val="left"/>
      <w:pPr>
        <w:ind w:left="2880" w:hanging="360"/>
      </w:pPr>
      <w:rPr>
        <w:rFonts w:ascii="Symbol" w:hAnsi="Symbol" w:hint="default"/>
      </w:rPr>
    </w:lvl>
    <w:lvl w:ilvl="4" w:tplc="61902DB0">
      <w:start w:val="1"/>
      <w:numFmt w:val="bullet"/>
      <w:lvlText w:val="o"/>
      <w:lvlJc w:val="left"/>
      <w:pPr>
        <w:ind w:left="3600" w:hanging="360"/>
      </w:pPr>
      <w:rPr>
        <w:rFonts w:ascii="Courier New" w:hAnsi="Courier New" w:hint="default"/>
      </w:rPr>
    </w:lvl>
    <w:lvl w:ilvl="5" w:tplc="40CAF4D8">
      <w:start w:val="1"/>
      <w:numFmt w:val="bullet"/>
      <w:lvlText w:val=""/>
      <w:lvlJc w:val="left"/>
      <w:pPr>
        <w:ind w:left="4320" w:hanging="360"/>
      </w:pPr>
      <w:rPr>
        <w:rFonts w:ascii="Wingdings" w:hAnsi="Wingdings" w:hint="default"/>
      </w:rPr>
    </w:lvl>
    <w:lvl w:ilvl="6" w:tplc="990875B4">
      <w:start w:val="1"/>
      <w:numFmt w:val="bullet"/>
      <w:lvlText w:val=""/>
      <w:lvlJc w:val="left"/>
      <w:pPr>
        <w:ind w:left="5040" w:hanging="360"/>
      </w:pPr>
      <w:rPr>
        <w:rFonts w:ascii="Symbol" w:hAnsi="Symbol" w:hint="default"/>
      </w:rPr>
    </w:lvl>
    <w:lvl w:ilvl="7" w:tplc="DB2A9122">
      <w:start w:val="1"/>
      <w:numFmt w:val="bullet"/>
      <w:lvlText w:val="o"/>
      <w:lvlJc w:val="left"/>
      <w:pPr>
        <w:ind w:left="5760" w:hanging="360"/>
      </w:pPr>
      <w:rPr>
        <w:rFonts w:ascii="Courier New" w:hAnsi="Courier New" w:hint="default"/>
      </w:rPr>
    </w:lvl>
    <w:lvl w:ilvl="8" w:tplc="44AE5462">
      <w:start w:val="1"/>
      <w:numFmt w:val="bullet"/>
      <w:lvlText w:val=""/>
      <w:lvlJc w:val="left"/>
      <w:pPr>
        <w:ind w:left="6480" w:hanging="360"/>
      </w:pPr>
      <w:rPr>
        <w:rFonts w:ascii="Wingdings" w:hAnsi="Wingdings" w:hint="default"/>
      </w:rPr>
    </w:lvl>
  </w:abstractNum>
  <w:abstractNum w:abstractNumId="41" w15:restartNumberingAfterBreak="0">
    <w:nsid w:val="7CC90C91"/>
    <w:multiLevelType w:val="multilevel"/>
    <w:tmpl w:val="76E0F3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DA86448"/>
    <w:multiLevelType w:val="hybridMultilevel"/>
    <w:tmpl w:val="EBA0F054"/>
    <w:lvl w:ilvl="0" w:tplc="51DCBBA0">
      <w:start w:val="1"/>
      <w:numFmt w:val="bullet"/>
      <w:lvlText w:val=""/>
      <w:lvlJc w:val="left"/>
      <w:pPr>
        <w:ind w:left="1440" w:hanging="360"/>
      </w:pPr>
      <w:rPr>
        <w:rFonts w:ascii="Symbol" w:hAnsi="Symbol"/>
      </w:rPr>
    </w:lvl>
    <w:lvl w:ilvl="1" w:tplc="95BCC604">
      <w:start w:val="1"/>
      <w:numFmt w:val="bullet"/>
      <w:lvlText w:val=""/>
      <w:lvlJc w:val="left"/>
      <w:pPr>
        <w:ind w:left="1440" w:hanging="360"/>
      </w:pPr>
      <w:rPr>
        <w:rFonts w:ascii="Symbol" w:hAnsi="Symbol"/>
      </w:rPr>
    </w:lvl>
    <w:lvl w:ilvl="2" w:tplc="398C0D34">
      <w:start w:val="1"/>
      <w:numFmt w:val="bullet"/>
      <w:lvlText w:val=""/>
      <w:lvlJc w:val="left"/>
      <w:pPr>
        <w:ind w:left="1440" w:hanging="360"/>
      </w:pPr>
      <w:rPr>
        <w:rFonts w:ascii="Symbol" w:hAnsi="Symbol"/>
      </w:rPr>
    </w:lvl>
    <w:lvl w:ilvl="3" w:tplc="D390D9FA">
      <w:start w:val="1"/>
      <w:numFmt w:val="bullet"/>
      <w:lvlText w:val=""/>
      <w:lvlJc w:val="left"/>
      <w:pPr>
        <w:ind w:left="1440" w:hanging="360"/>
      </w:pPr>
      <w:rPr>
        <w:rFonts w:ascii="Symbol" w:hAnsi="Symbol"/>
      </w:rPr>
    </w:lvl>
    <w:lvl w:ilvl="4" w:tplc="04907452">
      <w:start w:val="1"/>
      <w:numFmt w:val="bullet"/>
      <w:lvlText w:val=""/>
      <w:lvlJc w:val="left"/>
      <w:pPr>
        <w:ind w:left="1440" w:hanging="360"/>
      </w:pPr>
      <w:rPr>
        <w:rFonts w:ascii="Symbol" w:hAnsi="Symbol"/>
      </w:rPr>
    </w:lvl>
    <w:lvl w:ilvl="5" w:tplc="D82A71BE">
      <w:start w:val="1"/>
      <w:numFmt w:val="bullet"/>
      <w:lvlText w:val=""/>
      <w:lvlJc w:val="left"/>
      <w:pPr>
        <w:ind w:left="1440" w:hanging="360"/>
      </w:pPr>
      <w:rPr>
        <w:rFonts w:ascii="Symbol" w:hAnsi="Symbol"/>
      </w:rPr>
    </w:lvl>
    <w:lvl w:ilvl="6" w:tplc="E152C626">
      <w:start w:val="1"/>
      <w:numFmt w:val="bullet"/>
      <w:lvlText w:val=""/>
      <w:lvlJc w:val="left"/>
      <w:pPr>
        <w:ind w:left="1440" w:hanging="360"/>
      </w:pPr>
      <w:rPr>
        <w:rFonts w:ascii="Symbol" w:hAnsi="Symbol"/>
      </w:rPr>
    </w:lvl>
    <w:lvl w:ilvl="7" w:tplc="275662A2">
      <w:start w:val="1"/>
      <w:numFmt w:val="bullet"/>
      <w:lvlText w:val=""/>
      <w:lvlJc w:val="left"/>
      <w:pPr>
        <w:ind w:left="1440" w:hanging="360"/>
      </w:pPr>
      <w:rPr>
        <w:rFonts w:ascii="Symbol" w:hAnsi="Symbol"/>
      </w:rPr>
    </w:lvl>
    <w:lvl w:ilvl="8" w:tplc="80FEF9A8">
      <w:start w:val="1"/>
      <w:numFmt w:val="bullet"/>
      <w:lvlText w:val=""/>
      <w:lvlJc w:val="left"/>
      <w:pPr>
        <w:ind w:left="1440" w:hanging="360"/>
      </w:pPr>
      <w:rPr>
        <w:rFonts w:ascii="Symbol" w:hAnsi="Symbol"/>
      </w:rPr>
    </w:lvl>
  </w:abstractNum>
  <w:abstractNum w:abstractNumId="43" w15:restartNumberingAfterBreak="0">
    <w:nsid w:val="7E9742DF"/>
    <w:multiLevelType w:val="hybridMultilevel"/>
    <w:tmpl w:val="5AC83A96"/>
    <w:lvl w:ilvl="0" w:tplc="F3E0658C">
      <w:start w:val="1"/>
      <w:numFmt w:val="bullet"/>
      <w:lvlText w:val=""/>
      <w:lvlJc w:val="left"/>
      <w:pPr>
        <w:ind w:left="1080" w:hanging="360"/>
      </w:pPr>
      <w:rPr>
        <w:rFonts w:ascii="Symbol" w:hAnsi="Symbol"/>
      </w:rPr>
    </w:lvl>
    <w:lvl w:ilvl="1" w:tplc="47A8797E">
      <w:start w:val="1"/>
      <w:numFmt w:val="bullet"/>
      <w:lvlText w:val=""/>
      <w:lvlJc w:val="left"/>
      <w:pPr>
        <w:ind w:left="1080" w:hanging="360"/>
      </w:pPr>
      <w:rPr>
        <w:rFonts w:ascii="Symbol" w:hAnsi="Symbol"/>
      </w:rPr>
    </w:lvl>
    <w:lvl w:ilvl="2" w:tplc="3DB4B3AC">
      <w:start w:val="1"/>
      <w:numFmt w:val="bullet"/>
      <w:lvlText w:val=""/>
      <w:lvlJc w:val="left"/>
      <w:pPr>
        <w:ind w:left="1080" w:hanging="360"/>
      </w:pPr>
      <w:rPr>
        <w:rFonts w:ascii="Symbol" w:hAnsi="Symbol"/>
      </w:rPr>
    </w:lvl>
    <w:lvl w:ilvl="3" w:tplc="441AF1B2">
      <w:start w:val="1"/>
      <w:numFmt w:val="bullet"/>
      <w:lvlText w:val=""/>
      <w:lvlJc w:val="left"/>
      <w:pPr>
        <w:ind w:left="1080" w:hanging="360"/>
      </w:pPr>
      <w:rPr>
        <w:rFonts w:ascii="Symbol" w:hAnsi="Symbol"/>
      </w:rPr>
    </w:lvl>
    <w:lvl w:ilvl="4" w:tplc="C240BEC6">
      <w:start w:val="1"/>
      <w:numFmt w:val="bullet"/>
      <w:lvlText w:val=""/>
      <w:lvlJc w:val="left"/>
      <w:pPr>
        <w:ind w:left="1080" w:hanging="360"/>
      </w:pPr>
      <w:rPr>
        <w:rFonts w:ascii="Symbol" w:hAnsi="Symbol"/>
      </w:rPr>
    </w:lvl>
    <w:lvl w:ilvl="5" w:tplc="3DCE8098">
      <w:start w:val="1"/>
      <w:numFmt w:val="bullet"/>
      <w:lvlText w:val=""/>
      <w:lvlJc w:val="left"/>
      <w:pPr>
        <w:ind w:left="1080" w:hanging="360"/>
      </w:pPr>
      <w:rPr>
        <w:rFonts w:ascii="Symbol" w:hAnsi="Symbol"/>
      </w:rPr>
    </w:lvl>
    <w:lvl w:ilvl="6" w:tplc="B998AA5E">
      <w:start w:val="1"/>
      <w:numFmt w:val="bullet"/>
      <w:lvlText w:val=""/>
      <w:lvlJc w:val="left"/>
      <w:pPr>
        <w:ind w:left="1080" w:hanging="360"/>
      </w:pPr>
      <w:rPr>
        <w:rFonts w:ascii="Symbol" w:hAnsi="Symbol"/>
      </w:rPr>
    </w:lvl>
    <w:lvl w:ilvl="7" w:tplc="59B25FC8">
      <w:start w:val="1"/>
      <w:numFmt w:val="bullet"/>
      <w:lvlText w:val=""/>
      <w:lvlJc w:val="left"/>
      <w:pPr>
        <w:ind w:left="1080" w:hanging="360"/>
      </w:pPr>
      <w:rPr>
        <w:rFonts w:ascii="Symbol" w:hAnsi="Symbol"/>
      </w:rPr>
    </w:lvl>
    <w:lvl w:ilvl="8" w:tplc="E3B05546">
      <w:start w:val="1"/>
      <w:numFmt w:val="bullet"/>
      <w:lvlText w:val=""/>
      <w:lvlJc w:val="left"/>
      <w:pPr>
        <w:ind w:left="1080" w:hanging="360"/>
      </w:pPr>
      <w:rPr>
        <w:rFonts w:ascii="Symbol" w:hAnsi="Symbol"/>
      </w:rPr>
    </w:lvl>
  </w:abstractNum>
  <w:num w:numId="1" w16cid:durableId="1156536130">
    <w:abstractNumId w:val="17"/>
  </w:num>
  <w:num w:numId="2" w16cid:durableId="1873419323">
    <w:abstractNumId w:val="32"/>
  </w:num>
  <w:num w:numId="3" w16cid:durableId="1659112691">
    <w:abstractNumId w:val="26"/>
  </w:num>
  <w:num w:numId="4" w16cid:durableId="789669963">
    <w:abstractNumId w:val="33"/>
  </w:num>
  <w:num w:numId="5" w16cid:durableId="1220093313">
    <w:abstractNumId w:val="40"/>
  </w:num>
  <w:num w:numId="6" w16cid:durableId="503709764">
    <w:abstractNumId w:val="21"/>
  </w:num>
  <w:num w:numId="7" w16cid:durableId="307632402">
    <w:abstractNumId w:val="19"/>
  </w:num>
  <w:num w:numId="8" w16cid:durableId="668095162">
    <w:abstractNumId w:val="28"/>
  </w:num>
  <w:num w:numId="9" w16cid:durableId="1290698128">
    <w:abstractNumId w:val="23"/>
  </w:num>
  <w:num w:numId="10" w16cid:durableId="1456681271">
    <w:abstractNumId w:val="12"/>
  </w:num>
  <w:num w:numId="11" w16cid:durableId="1182629051">
    <w:abstractNumId w:val="30"/>
  </w:num>
  <w:num w:numId="12" w16cid:durableId="746417397">
    <w:abstractNumId w:val="11"/>
  </w:num>
  <w:num w:numId="13" w16cid:durableId="1415082033">
    <w:abstractNumId w:val="29"/>
  </w:num>
  <w:num w:numId="14" w16cid:durableId="1622222179">
    <w:abstractNumId w:val="9"/>
  </w:num>
  <w:num w:numId="15" w16cid:durableId="235943025">
    <w:abstractNumId w:val="6"/>
  </w:num>
  <w:num w:numId="16" w16cid:durableId="1745836770">
    <w:abstractNumId w:val="43"/>
  </w:num>
  <w:num w:numId="17" w16cid:durableId="704259228">
    <w:abstractNumId w:val="3"/>
  </w:num>
  <w:num w:numId="18" w16cid:durableId="772165783">
    <w:abstractNumId w:val="34"/>
  </w:num>
  <w:num w:numId="19" w16cid:durableId="1017270953">
    <w:abstractNumId w:val="31"/>
  </w:num>
  <w:num w:numId="20" w16cid:durableId="234318259">
    <w:abstractNumId w:val="37"/>
  </w:num>
  <w:num w:numId="21" w16cid:durableId="201600891">
    <w:abstractNumId w:val="20"/>
  </w:num>
  <w:num w:numId="22" w16cid:durableId="1958247258">
    <w:abstractNumId w:val="38"/>
  </w:num>
  <w:num w:numId="23" w16cid:durableId="1965309020">
    <w:abstractNumId w:val="22"/>
  </w:num>
  <w:num w:numId="24" w16cid:durableId="1491871199">
    <w:abstractNumId w:val="7"/>
  </w:num>
  <w:num w:numId="25" w16cid:durableId="1574508394">
    <w:abstractNumId w:val="36"/>
  </w:num>
  <w:num w:numId="26" w16cid:durableId="674772618">
    <w:abstractNumId w:val="39"/>
  </w:num>
  <w:num w:numId="27" w16cid:durableId="645744488">
    <w:abstractNumId w:val="4"/>
  </w:num>
  <w:num w:numId="28" w16cid:durableId="2133865423">
    <w:abstractNumId w:val="14"/>
  </w:num>
  <w:num w:numId="29" w16cid:durableId="1645622077">
    <w:abstractNumId w:val="8"/>
  </w:num>
  <w:num w:numId="30" w16cid:durableId="412707189">
    <w:abstractNumId w:val="41"/>
  </w:num>
  <w:num w:numId="31" w16cid:durableId="495725562">
    <w:abstractNumId w:val="41"/>
    <w:lvlOverride w:ilvl="1">
      <w:lvl w:ilvl="1">
        <w:numFmt w:val="bullet"/>
        <w:lvlText w:val=""/>
        <w:lvlJc w:val="left"/>
        <w:pPr>
          <w:tabs>
            <w:tab w:val="num" w:pos="1440"/>
          </w:tabs>
          <w:ind w:left="1440" w:hanging="360"/>
        </w:pPr>
        <w:rPr>
          <w:rFonts w:ascii="Symbol" w:hAnsi="Symbol" w:hint="default"/>
          <w:sz w:val="20"/>
        </w:rPr>
      </w:lvl>
    </w:lvlOverride>
  </w:num>
  <w:num w:numId="32" w16cid:durableId="604658503">
    <w:abstractNumId w:val="41"/>
    <w:lvlOverride w:ilvl="1">
      <w:lvl w:ilvl="1">
        <w:numFmt w:val="bullet"/>
        <w:lvlText w:val=""/>
        <w:lvlJc w:val="left"/>
        <w:pPr>
          <w:tabs>
            <w:tab w:val="num" w:pos="1440"/>
          </w:tabs>
          <w:ind w:left="1440" w:hanging="360"/>
        </w:pPr>
        <w:rPr>
          <w:rFonts w:ascii="Symbol" w:hAnsi="Symbol" w:hint="default"/>
          <w:sz w:val="20"/>
        </w:rPr>
      </w:lvl>
    </w:lvlOverride>
  </w:num>
  <w:num w:numId="33" w16cid:durableId="28723652">
    <w:abstractNumId w:val="15"/>
  </w:num>
  <w:num w:numId="34" w16cid:durableId="1451557431">
    <w:abstractNumId w:val="12"/>
  </w:num>
  <w:num w:numId="35" w16cid:durableId="1596740544">
    <w:abstractNumId w:val="13"/>
  </w:num>
  <w:num w:numId="36" w16cid:durableId="1383090208">
    <w:abstractNumId w:val="18"/>
  </w:num>
  <w:num w:numId="37" w16cid:durableId="1952593872">
    <w:abstractNumId w:val="25"/>
  </w:num>
  <w:num w:numId="38" w16cid:durableId="1671254828">
    <w:abstractNumId w:val="16"/>
  </w:num>
  <w:num w:numId="39" w16cid:durableId="3911210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845957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491489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57011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349136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041639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265577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90320800">
    <w:abstractNumId w:val="27"/>
  </w:num>
  <w:num w:numId="47" w16cid:durableId="807671340">
    <w:abstractNumId w:val="42"/>
  </w:num>
  <w:num w:numId="48" w16cid:durableId="1649937493">
    <w:abstractNumId w:val="24"/>
  </w:num>
  <w:num w:numId="49" w16cid:durableId="1522166841">
    <w:abstractNumId w:val="2"/>
  </w:num>
  <w:num w:numId="50" w16cid:durableId="1603878712">
    <w:abstractNumId w:val="0"/>
  </w:num>
  <w:num w:numId="51" w16cid:durableId="586575930">
    <w:abstractNumId w:val="35"/>
  </w:num>
  <w:num w:numId="52" w16cid:durableId="2128886512">
    <w:abstractNumId w:val="1"/>
  </w:num>
  <w:num w:numId="53" w16cid:durableId="568078109">
    <w:abstractNumId w:val="10"/>
  </w:num>
  <w:num w:numId="54" w16cid:durableId="1818716532">
    <w:abstractNumId w:val="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evenAndOddHeaders/>
  <w:characterSpacingControl w:val="doNotCompress"/>
  <w:hdrShapeDefaults>
    <o:shapedefaults v:ext="edit" spidmax="2050"/>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39"/>
    <w:rsid w:val="0000002A"/>
    <w:rsid w:val="00000120"/>
    <w:rsid w:val="00000239"/>
    <w:rsid w:val="000003F1"/>
    <w:rsid w:val="000004FD"/>
    <w:rsid w:val="000007F4"/>
    <w:rsid w:val="000008A7"/>
    <w:rsid w:val="0000096C"/>
    <w:rsid w:val="00000A4F"/>
    <w:rsid w:val="00000B4B"/>
    <w:rsid w:val="00000B85"/>
    <w:rsid w:val="00000CDA"/>
    <w:rsid w:val="00000E24"/>
    <w:rsid w:val="00001044"/>
    <w:rsid w:val="00001230"/>
    <w:rsid w:val="0000153F"/>
    <w:rsid w:val="000015A4"/>
    <w:rsid w:val="000015D3"/>
    <w:rsid w:val="00001619"/>
    <w:rsid w:val="000016D9"/>
    <w:rsid w:val="000018B7"/>
    <w:rsid w:val="000018E4"/>
    <w:rsid w:val="0000196B"/>
    <w:rsid w:val="00001A86"/>
    <w:rsid w:val="00001A90"/>
    <w:rsid w:val="00001D6B"/>
    <w:rsid w:val="00001DD7"/>
    <w:rsid w:val="00001E8F"/>
    <w:rsid w:val="00001F11"/>
    <w:rsid w:val="0000213E"/>
    <w:rsid w:val="00002251"/>
    <w:rsid w:val="00002255"/>
    <w:rsid w:val="000022FD"/>
    <w:rsid w:val="00002322"/>
    <w:rsid w:val="0000232D"/>
    <w:rsid w:val="00002341"/>
    <w:rsid w:val="000024DE"/>
    <w:rsid w:val="0000277B"/>
    <w:rsid w:val="00002A26"/>
    <w:rsid w:val="00002A8E"/>
    <w:rsid w:val="00002D2F"/>
    <w:rsid w:val="00002D4F"/>
    <w:rsid w:val="00002DA1"/>
    <w:rsid w:val="00003077"/>
    <w:rsid w:val="000030CC"/>
    <w:rsid w:val="0000311E"/>
    <w:rsid w:val="00003145"/>
    <w:rsid w:val="00003146"/>
    <w:rsid w:val="0000325B"/>
    <w:rsid w:val="00003380"/>
    <w:rsid w:val="00003751"/>
    <w:rsid w:val="0000378C"/>
    <w:rsid w:val="00003A97"/>
    <w:rsid w:val="00003D80"/>
    <w:rsid w:val="00003D83"/>
    <w:rsid w:val="00003DE7"/>
    <w:rsid w:val="00003EEC"/>
    <w:rsid w:val="00003EF1"/>
    <w:rsid w:val="00003F11"/>
    <w:rsid w:val="00004017"/>
    <w:rsid w:val="0000403C"/>
    <w:rsid w:val="0000406B"/>
    <w:rsid w:val="000040BF"/>
    <w:rsid w:val="00004117"/>
    <w:rsid w:val="0000418E"/>
    <w:rsid w:val="0000447B"/>
    <w:rsid w:val="0000449C"/>
    <w:rsid w:val="00004532"/>
    <w:rsid w:val="000049A0"/>
    <w:rsid w:val="00004AB2"/>
    <w:rsid w:val="00004B61"/>
    <w:rsid w:val="00004D9B"/>
    <w:rsid w:val="00004FE7"/>
    <w:rsid w:val="000050F1"/>
    <w:rsid w:val="000052A9"/>
    <w:rsid w:val="0000535C"/>
    <w:rsid w:val="000059B1"/>
    <w:rsid w:val="00005B21"/>
    <w:rsid w:val="00005C3E"/>
    <w:rsid w:val="00005C73"/>
    <w:rsid w:val="00006173"/>
    <w:rsid w:val="00006384"/>
    <w:rsid w:val="00006872"/>
    <w:rsid w:val="00006BF7"/>
    <w:rsid w:val="00006D77"/>
    <w:rsid w:val="00006E35"/>
    <w:rsid w:val="00006ECF"/>
    <w:rsid w:val="00006F45"/>
    <w:rsid w:val="0000710F"/>
    <w:rsid w:val="0000734A"/>
    <w:rsid w:val="00007472"/>
    <w:rsid w:val="00007502"/>
    <w:rsid w:val="000076D3"/>
    <w:rsid w:val="0000778F"/>
    <w:rsid w:val="000079DE"/>
    <w:rsid w:val="00007F34"/>
    <w:rsid w:val="00007F84"/>
    <w:rsid w:val="00010114"/>
    <w:rsid w:val="00010115"/>
    <w:rsid w:val="00010204"/>
    <w:rsid w:val="00010281"/>
    <w:rsid w:val="0001031D"/>
    <w:rsid w:val="000103C1"/>
    <w:rsid w:val="00010410"/>
    <w:rsid w:val="0001054D"/>
    <w:rsid w:val="00010810"/>
    <w:rsid w:val="00010B41"/>
    <w:rsid w:val="00010C49"/>
    <w:rsid w:val="00010C79"/>
    <w:rsid w:val="00010CA2"/>
    <w:rsid w:val="00010D7C"/>
    <w:rsid w:val="00010F09"/>
    <w:rsid w:val="00010F32"/>
    <w:rsid w:val="00010FF6"/>
    <w:rsid w:val="00010FFE"/>
    <w:rsid w:val="00011266"/>
    <w:rsid w:val="0001129F"/>
    <w:rsid w:val="000112D8"/>
    <w:rsid w:val="0001139E"/>
    <w:rsid w:val="000116C4"/>
    <w:rsid w:val="00011846"/>
    <w:rsid w:val="00011867"/>
    <w:rsid w:val="00011875"/>
    <w:rsid w:val="00011AC2"/>
    <w:rsid w:val="00011B7A"/>
    <w:rsid w:val="00011B9B"/>
    <w:rsid w:val="00011BF6"/>
    <w:rsid w:val="00011DDC"/>
    <w:rsid w:val="0001215E"/>
    <w:rsid w:val="000121C3"/>
    <w:rsid w:val="00012400"/>
    <w:rsid w:val="00012421"/>
    <w:rsid w:val="00012725"/>
    <w:rsid w:val="0001275F"/>
    <w:rsid w:val="0001286D"/>
    <w:rsid w:val="00012969"/>
    <w:rsid w:val="00012B96"/>
    <w:rsid w:val="00012BD7"/>
    <w:rsid w:val="00012BF4"/>
    <w:rsid w:val="00012FFC"/>
    <w:rsid w:val="00013216"/>
    <w:rsid w:val="0001373E"/>
    <w:rsid w:val="00013775"/>
    <w:rsid w:val="00013829"/>
    <w:rsid w:val="000138B0"/>
    <w:rsid w:val="00013929"/>
    <w:rsid w:val="000139D3"/>
    <w:rsid w:val="000139FE"/>
    <w:rsid w:val="00013A02"/>
    <w:rsid w:val="00013A76"/>
    <w:rsid w:val="00013BE9"/>
    <w:rsid w:val="00014070"/>
    <w:rsid w:val="00014179"/>
    <w:rsid w:val="000141FC"/>
    <w:rsid w:val="0001426E"/>
    <w:rsid w:val="00014279"/>
    <w:rsid w:val="000142FE"/>
    <w:rsid w:val="0001439B"/>
    <w:rsid w:val="000143E6"/>
    <w:rsid w:val="000145DA"/>
    <w:rsid w:val="000146A8"/>
    <w:rsid w:val="00014762"/>
    <w:rsid w:val="0001476A"/>
    <w:rsid w:val="000148C6"/>
    <w:rsid w:val="00014AB4"/>
    <w:rsid w:val="00014C96"/>
    <w:rsid w:val="00014C9C"/>
    <w:rsid w:val="00014CD1"/>
    <w:rsid w:val="00014DC1"/>
    <w:rsid w:val="000150FD"/>
    <w:rsid w:val="000152A3"/>
    <w:rsid w:val="000153F6"/>
    <w:rsid w:val="0001545B"/>
    <w:rsid w:val="0001548C"/>
    <w:rsid w:val="0001566B"/>
    <w:rsid w:val="0001597C"/>
    <w:rsid w:val="00015A4C"/>
    <w:rsid w:val="00015D9E"/>
    <w:rsid w:val="0001656E"/>
    <w:rsid w:val="0001694B"/>
    <w:rsid w:val="00016995"/>
    <w:rsid w:val="000169CD"/>
    <w:rsid w:val="00016AF7"/>
    <w:rsid w:val="00016DB6"/>
    <w:rsid w:val="00016E3F"/>
    <w:rsid w:val="00016FDA"/>
    <w:rsid w:val="00017073"/>
    <w:rsid w:val="00017079"/>
    <w:rsid w:val="0001707E"/>
    <w:rsid w:val="0001729F"/>
    <w:rsid w:val="000175A0"/>
    <w:rsid w:val="00017663"/>
    <w:rsid w:val="00017816"/>
    <w:rsid w:val="00017842"/>
    <w:rsid w:val="00017F2C"/>
    <w:rsid w:val="00020015"/>
    <w:rsid w:val="00020103"/>
    <w:rsid w:val="00020166"/>
    <w:rsid w:val="00020180"/>
    <w:rsid w:val="000201B0"/>
    <w:rsid w:val="00020971"/>
    <w:rsid w:val="00020A92"/>
    <w:rsid w:val="00020BCA"/>
    <w:rsid w:val="00020D3F"/>
    <w:rsid w:val="00020F7A"/>
    <w:rsid w:val="00020F8D"/>
    <w:rsid w:val="0002104D"/>
    <w:rsid w:val="000210CF"/>
    <w:rsid w:val="000210D4"/>
    <w:rsid w:val="00021192"/>
    <w:rsid w:val="000211CD"/>
    <w:rsid w:val="00021204"/>
    <w:rsid w:val="00021328"/>
    <w:rsid w:val="00021993"/>
    <w:rsid w:val="00021A3C"/>
    <w:rsid w:val="00021B13"/>
    <w:rsid w:val="00021C38"/>
    <w:rsid w:val="00021C61"/>
    <w:rsid w:val="00021CBB"/>
    <w:rsid w:val="00021DDF"/>
    <w:rsid w:val="00021E09"/>
    <w:rsid w:val="00021F05"/>
    <w:rsid w:val="00021FAC"/>
    <w:rsid w:val="0002203E"/>
    <w:rsid w:val="0002212D"/>
    <w:rsid w:val="000221BE"/>
    <w:rsid w:val="00022733"/>
    <w:rsid w:val="000227DE"/>
    <w:rsid w:val="00022902"/>
    <w:rsid w:val="00022928"/>
    <w:rsid w:val="00022BE9"/>
    <w:rsid w:val="00022DCD"/>
    <w:rsid w:val="000231DD"/>
    <w:rsid w:val="000232C1"/>
    <w:rsid w:val="00023315"/>
    <w:rsid w:val="0002335F"/>
    <w:rsid w:val="000233C2"/>
    <w:rsid w:val="00023672"/>
    <w:rsid w:val="000236AC"/>
    <w:rsid w:val="000236D1"/>
    <w:rsid w:val="0002375B"/>
    <w:rsid w:val="000237D4"/>
    <w:rsid w:val="000238A3"/>
    <w:rsid w:val="00023B6A"/>
    <w:rsid w:val="00023B77"/>
    <w:rsid w:val="00023C7B"/>
    <w:rsid w:val="00023E1B"/>
    <w:rsid w:val="00023F04"/>
    <w:rsid w:val="00023FDA"/>
    <w:rsid w:val="0002427C"/>
    <w:rsid w:val="000242F2"/>
    <w:rsid w:val="000244B0"/>
    <w:rsid w:val="000244EA"/>
    <w:rsid w:val="000246A1"/>
    <w:rsid w:val="0002478D"/>
    <w:rsid w:val="0002480B"/>
    <w:rsid w:val="000248B3"/>
    <w:rsid w:val="00024906"/>
    <w:rsid w:val="00024A45"/>
    <w:rsid w:val="00024D0E"/>
    <w:rsid w:val="000250F8"/>
    <w:rsid w:val="000250FE"/>
    <w:rsid w:val="00025230"/>
    <w:rsid w:val="00025270"/>
    <w:rsid w:val="00025274"/>
    <w:rsid w:val="000253D6"/>
    <w:rsid w:val="0002542C"/>
    <w:rsid w:val="000254A5"/>
    <w:rsid w:val="000254D6"/>
    <w:rsid w:val="00025776"/>
    <w:rsid w:val="00025783"/>
    <w:rsid w:val="00025855"/>
    <w:rsid w:val="000259E3"/>
    <w:rsid w:val="00025ADF"/>
    <w:rsid w:val="00025B02"/>
    <w:rsid w:val="00025B40"/>
    <w:rsid w:val="00025D15"/>
    <w:rsid w:val="00025D1D"/>
    <w:rsid w:val="00025F78"/>
    <w:rsid w:val="0002603B"/>
    <w:rsid w:val="00026080"/>
    <w:rsid w:val="0002628C"/>
    <w:rsid w:val="0002632C"/>
    <w:rsid w:val="000265A2"/>
    <w:rsid w:val="00026A65"/>
    <w:rsid w:val="00026AF3"/>
    <w:rsid w:val="00026B53"/>
    <w:rsid w:val="00026BEF"/>
    <w:rsid w:val="00026C75"/>
    <w:rsid w:val="00026D43"/>
    <w:rsid w:val="00026E55"/>
    <w:rsid w:val="00027013"/>
    <w:rsid w:val="0002702E"/>
    <w:rsid w:val="00027046"/>
    <w:rsid w:val="0002708D"/>
    <w:rsid w:val="00027204"/>
    <w:rsid w:val="000272D9"/>
    <w:rsid w:val="00027536"/>
    <w:rsid w:val="00027556"/>
    <w:rsid w:val="000276BD"/>
    <w:rsid w:val="0002794D"/>
    <w:rsid w:val="00027C94"/>
    <w:rsid w:val="00027EB9"/>
    <w:rsid w:val="0003006A"/>
    <w:rsid w:val="00030160"/>
    <w:rsid w:val="00030268"/>
    <w:rsid w:val="000302D3"/>
    <w:rsid w:val="00030829"/>
    <w:rsid w:val="00030A95"/>
    <w:rsid w:val="00030C39"/>
    <w:rsid w:val="00030EFC"/>
    <w:rsid w:val="000310BF"/>
    <w:rsid w:val="000310C4"/>
    <w:rsid w:val="00031177"/>
    <w:rsid w:val="0003128E"/>
    <w:rsid w:val="00031310"/>
    <w:rsid w:val="0003137D"/>
    <w:rsid w:val="00031527"/>
    <w:rsid w:val="00031742"/>
    <w:rsid w:val="000319AA"/>
    <w:rsid w:val="00031AEE"/>
    <w:rsid w:val="00031B23"/>
    <w:rsid w:val="00031C77"/>
    <w:rsid w:val="00031D35"/>
    <w:rsid w:val="00031E9F"/>
    <w:rsid w:val="00031EF9"/>
    <w:rsid w:val="00032059"/>
    <w:rsid w:val="0003212D"/>
    <w:rsid w:val="000321D1"/>
    <w:rsid w:val="00032222"/>
    <w:rsid w:val="00032379"/>
    <w:rsid w:val="0003249E"/>
    <w:rsid w:val="00032597"/>
    <w:rsid w:val="00032692"/>
    <w:rsid w:val="00032B4C"/>
    <w:rsid w:val="00032BF1"/>
    <w:rsid w:val="00032CE4"/>
    <w:rsid w:val="00032E26"/>
    <w:rsid w:val="00032EB7"/>
    <w:rsid w:val="0003313E"/>
    <w:rsid w:val="000332D2"/>
    <w:rsid w:val="000333A9"/>
    <w:rsid w:val="0003354F"/>
    <w:rsid w:val="00033590"/>
    <w:rsid w:val="00033848"/>
    <w:rsid w:val="00033BF2"/>
    <w:rsid w:val="00033BFF"/>
    <w:rsid w:val="00033C80"/>
    <w:rsid w:val="00033DBA"/>
    <w:rsid w:val="000342A7"/>
    <w:rsid w:val="000342CE"/>
    <w:rsid w:val="0003441E"/>
    <w:rsid w:val="0003458B"/>
    <w:rsid w:val="0003459B"/>
    <w:rsid w:val="000345C7"/>
    <w:rsid w:val="000348E1"/>
    <w:rsid w:val="00034E3D"/>
    <w:rsid w:val="00034E86"/>
    <w:rsid w:val="00034F09"/>
    <w:rsid w:val="0003537D"/>
    <w:rsid w:val="00035680"/>
    <w:rsid w:val="000356D0"/>
    <w:rsid w:val="000357B3"/>
    <w:rsid w:val="0003590B"/>
    <w:rsid w:val="00035B0F"/>
    <w:rsid w:val="00035B55"/>
    <w:rsid w:val="00035CBD"/>
    <w:rsid w:val="00035D3C"/>
    <w:rsid w:val="00036228"/>
    <w:rsid w:val="000363C7"/>
    <w:rsid w:val="000363F7"/>
    <w:rsid w:val="0003646C"/>
    <w:rsid w:val="0003655D"/>
    <w:rsid w:val="000366A4"/>
    <w:rsid w:val="0003678C"/>
    <w:rsid w:val="000368C8"/>
    <w:rsid w:val="000368E8"/>
    <w:rsid w:val="00036C29"/>
    <w:rsid w:val="00036D61"/>
    <w:rsid w:val="00036D77"/>
    <w:rsid w:val="00036F89"/>
    <w:rsid w:val="0003748D"/>
    <w:rsid w:val="0003762D"/>
    <w:rsid w:val="00037731"/>
    <w:rsid w:val="00037978"/>
    <w:rsid w:val="0003798B"/>
    <w:rsid w:val="00037AC0"/>
    <w:rsid w:val="00037C09"/>
    <w:rsid w:val="00037D79"/>
    <w:rsid w:val="00037F61"/>
    <w:rsid w:val="00037F9A"/>
    <w:rsid w:val="0004024E"/>
    <w:rsid w:val="000402D4"/>
    <w:rsid w:val="000403B6"/>
    <w:rsid w:val="00040469"/>
    <w:rsid w:val="000404D4"/>
    <w:rsid w:val="0004058F"/>
    <w:rsid w:val="00040673"/>
    <w:rsid w:val="000407B7"/>
    <w:rsid w:val="000409EE"/>
    <w:rsid w:val="00040A12"/>
    <w:rsid w:val="00040A6D"/>
    <w:rsid w:val="00040A95"/>
    <w:rsid w:val="00040B00"/>
    <w:rsid w:val="00040BC8"/>
    <w:rsid w:val="00040BE3"/>
    <w:rsid w:val="00040C4B"/>
    <w:rsid w:val="00040D1C"/>
    <w:rsid w:val="000410CF"/>
    <w:rsid w:val="000411CF"/>
    <w:rsid w:val="00041421"/>
    <w:rsid w:val="0004168C"/>
    <w:rsid w:val="00041858"/>
    <w:rsid w:val="0004197A"/>
    <w:rsid w:val="00041A27"/>
    <w:rsid w:val="00041C7C"/>
    <w:rsid w:val="00041F62"/>
    <w:rsid w:val="000420BA"/>
    <w:rsid w:val="00042243"/>
    <w:rsid w:val="00042296"/>
    <w:rsid w:val="00042358"/>
    <w:rsid w:val="00042367"/>
    <w:rsid w:val="0004236D"/>
    <w:rsid w:val="000424B8"/>
    <w:rsid w:val="00042636"/>
    <w:rsid w:val="000427B0"/>
    <w:rsid w:val="0004292A"/>
    <w:rsid w:val="0004297A"/>
    <w:rsid w:val="00042B56"/>
    <w:rsid w:val="00042B8A"/>
    <w:rsid w:val="00042C08"/>
    <w:rsid w:val="00042C72"/>
    <w:rsid w:val="00042E90"/>
    <w:rsid w:val="00042F53"/>
    <w:rsid w:val="00042FCA"/>
    <w:rsid w:val="000433FE"/>
    <w:rsid w:val="00043589"/>
    <w:rsid w:val="000435F6"/>
    <w:rsid w:val="000437AF"/>
    <w:rsid w:val="00043AD5"/>
    <w:rsid w:val="00043AD7"/>
    <w:rsid w:val="00043BCD"/>
    <w:rsid w:val="00043CA2"/>
    <w:rsid w:val="00043D9C"/>
    <w:rsid w:val="00043F0A"/>
    <w:rsid w:val="0004416D"/>
    <w:rsid w:val="000441A5"/>
    <w:rsid w:val="000443E9"/>
    <w:rsid w:val="000444D0"/>
    <w:rsid w:val="000446FA"/>
    <w:rsid w:val="00044868"/>
    <w:rsid w:val="000448D3"/>
    <w:rsid w:val="000448E3"/>
    <w:rsid w:val="00044A06"/>
    <w:rsid w:val="00044A75"/>
    <w:rsid w:val="00044A76"/>
    <w:rsid w:val="00044B68"/>
    <w:rsid w:val="00044C54"/>
    <w:rsid w:val="00044E78"/>
    <w:rsid w:val="00044EA2"/>
    <w:rsid w:val="0004510C"/>
    <w:rsid w:val="00045539"/>
    <w:rsid w:val="00045661"/>
    <w:rsid w:val="000456F9"/>
    <w:rsid w:val="000459AB"/>
    <w:rsid w:val="00045A72"/>
    <w:rsid w:val="00045B8B"/>
    <w:rsid w:val="00045CD4"/>
    <w:rsid w:val="00045CDB"/>
    <w:rsid w:val="00045D50"/>
    <w:rsid w:val="00045DFC"/>
    <w:rsid w:val="00045E5C"/>
    <w:rsid w:val="000460AB"/>
    <w:rsid w:val="000460D3"/>
    <w:rsid w:val="000464DD"/>
    <w:rsid w:val="00046594"/>
    <w:rsid w:val="00046B46"/>
    <w:rsid w:val="00046B95"/>
    <w:rsid w:val="00046BD2"/>
    <w:rsid w:val="00046E83"/>
    <w:rsid w:val="00046F12"/>
    <w:rsid w:val="00047048"/>
    <w:rsid w:val="0004719A"/>
    <w:rsid w:val="0004731A"/>
    <w:rsid w:val="000473FE"/>
    <w:rsid w:val="000474A0"/>
    <w:rsid w:val="000474AD"/>
    <w:rsid w:val="000474C1"/>
    <w:rsid w:val="00047582"/>
    <w:rsid w:val="000478C0"/>
    <w:rsid w:val="00047943"/>
    <w:rsid w:val="00047B87"/>
    <w:rsid w:val="00047BFB"/>
    <w:rsid w:val="00047CBD"/>
    <w:rsid w:val="00050208"/>
    <w:rsid w:val="000504FA"/>
    <w:rsid w:val="00050514"/>
    <w:rsid w:val="0005068F"/>
    <w:rsid w:val="000506F1"/>
    <w:rsid w:val="0005078E"/>
    <w:rsid w:val="000507F4"/>
    <w:rsid w:val="00050805"/>
    <w:rsid w:val="0005096C"/>
    <w:rsid w:val="00050A84"/>
    <w:rsid w:val="00050AA0"/>
    <w:rsid w:val="00050B6C"/>
    <w:rsid w:val="00050E9D"/>
    <w:rsid w:val="00050F97"/>
    <w:rsid w:val="00050FF7"/>
    <w:rsid w:val="0005113C"/>
    <w:rsid w:val="00051211"/>
    <w:rsid w:val="000513C2"/>
    <w:rsid w:val="0005144C"/>
    <w:rsid w:val="00051748"/>
    <w:rsid w:val="00051926"/>
    <w:rsid w:val="000519AC"/>
    <w:rsid w:val="000519D8"/>
    <w:rsid w:val="00051A32"/>
    <w:rsid w:val="00051AEF"/>
    <w:rsid w:val="00051C0F"/>
    <w:rsid w:val="00051C1C"/>
    <w:rsid w:val="00051E64"/>
    <w:rsid w:val="000520B9"/>
    <w:rsid w:val="0005224E"/>
    <w:rsid w:val="00052347"/>
    <w:rsid w:val="000523BE"/>
    <w:rsid w:val="00052716"/>
    <w:rsid w:val="00052A38"/>
    <w:rsid w:val="00052B59"/>
    <w:rsid w:val="00052B97"/>
    <w:rsid w:val="00052CA2"/>
    <w:rsid w:val="00052E02"/>
    <w:rsid w:val="00052EA5"/>
    <w:rsid w:val="000530B6"/>
    <w:rsid w:val="000531F1"/>
    <w:rsid w:val="00053225"/>
    <w:rsid w:val="0005322F"/>
    <w:rsid w:val="00053406"/>
    <w:rsid w:val="00053524"/>
    <w:rsid w:val="000535D1"/>
    <w:rsid w:val="00053A1A"/>
    <w:rsid w:val="00053ACF"/>
    <w:rsid w:val="00053C0A"/>
    <w:rsid w:val="00053C33"/>
    <w:rsid w:val="00054039"/>
    <w:rsid w:val="00054141"/>
    <w:rsid w:val="00054173"/>
    <w:rsid w:val="000543AA"/>
    <w:rsid w:val="000545E0"/>
    <w:rsid w:val="00054877"/>
    <w:rsid w:val="00054898"/>
    <w:rsid w:val="000549D5"/>
    <w:rsid w:val="00054B5C"/>
    <w:rsid w:val="00054C13"/>
    <w:rsid w:val="00054D20"/>
    <w:rsid w:val="00054D7A"/>
    <w:rsid w:val="00054EBF"/>
    <w:rsid w:val="0005504B"/>
    <w:rsid w:val="00055112"/>
    <w:rsid w:val="0005513A"/>
    <w:rsid w:val="00055340"/>
    <w:rsid w:val="0005534F"/>
    <w:rsid w:val="000553F6"/>
    <w:rsid w:val="000554C5"/>
    <w:rsid w:val="00055579"/>
    <w:rsid w:val="00055634"/>
    <w:rsid w:val="00055B6E"/>
    <w:rsid w:val="00055BAF"/>
    <w:rsid w:val="00055C8B"/>
    <w:rsid w:val="00055E15"/>
    <w:rsid w:val="00055E3F"/>
    <w:rsid w:val="000567AB"/>
    <w:rsid w:val="000567E0"/>
    <w:rsid w:val="000569AA"/>
    <w:rsid w:val="000569C7"/>
    <w:rsid w:val="00056CA9"/>
    <w:rsid w:val="0005701B"/>
    <w:rsid w:val="00057719"/>
    <w:rsid w:val="00057761"/>
    <w:rsid w:val="00057986"/>
    <w:rsid w:val="00057B16"/>
    <w:rsid w:val="00057D2A"/>
    <w:rsid w:val="00057D33"/>
    <w:rsid w:val="00057EBF"/>
    <w:rsid w:val="00057F1C"/>
    <w:rsid w:val="000601CB"/>
    <w:rsid w:val="00060327"/>
    <w:rsid w:val="000603C5"/>
    <w:rsid w:val="000603E0"/>
    <w:rsid w:val="0006048C"/>
    <w:rsid w:val="00060558"/>
    <w:rsid w:val="000607FB"/>
    <w:rsid w:val="00060888"/>
    <w:rsid w:val="0006097F"/>
    <w:rsid w:val="00060B61"/>
    <w:rsid w:val="00060B84"/>
    <w:rsid w:val="00060BB0"/>
    <w:rsid w:val="00060D86"/>
    <w:rsid w:val="00060EE4"/>
    <w:rsid w:val="00060F33"/>
    <w:rsid w:val="0006105C"/>
    <w:rsid w:val="00061177"/>
    <w:rsid w:val="000611FA"/>
    <w:rsid w:val="0006145B"/>
    <w:rsid w:val="000616FA"/>
    <w:rsid w:val="00061713"/>
    <w:rsid w:val="000617BC"/>
    <w:rsid w:val="000619E0"/>
    <w:rsid w:val="00061B57"/>
    <w:rsid w:val="00061B6E"/>
    <w:rsid w:val="00061DEB"/>
    <w:rsid w:val="00061E18"/>
    <w:rsid w:val="00061E31"/>
    <w:rsid w:val="00061EF0"/>
    <w:rsid w:val="000620D2"/>
    <w:rsid w:val="00062124"/>
    <w:rsid w:val="000625B5"/>
    <w:rsid w:val="00062742"/>
    <w:rsid w:val="000627BB"/>
    <w:rsid w:val="000627C3"/>
    <w:rsid w:val="000629E1"/>
    <w:rsid w:val="00062C8B"/>
    <w:rsid w:val="00062EEE"/>
    <w:rsid w:val="0006313B"/>
    <w:rsid w:val="000633E3"/>
    <w:rsid w:val="000636AF"/>
    <w:rsid w:val="000636D6"/>
    <w:rsid w:val="000637B6"/>
    <w:rsid w:val="000639C3"/>
    <w:rsid w:val="00063A7C"/>
    <w:rsid w:val="00063C2A"/>
    <w:rsid w:val="00063CC4"/>
    <w:rsid w:val="00063E6F"/>
    <w:rsid w:val="000640F2"/>
    <w:rsid w:val="000641EB"/>
    <w:rsid w:val="000642B7"/>
    <w:rsid w:val="0006433F"/>
    <w:rsid w:val="00064353"/>
    <w:rsid w:val="000643B9"/>
    <w:rsid w:val="0006448C"/>
    <w:rsid w:val="0006448E"/>
    <w:rsid w:val="000645F4"/>
    <w:rsid w:val="00064620"/>
    <w:rsid w:val="000646FE"/>
    <w:rsid w:val="00064745"/>
    <w:rsid w:val="00064931"/>
    <w:rsid w:val="00064BBE"/>
    <w:rsid w:val="00064F69"/>
    <w:rsid w:val="00065135"/>
    <w:rsid w:val="00065297"/>
    <w:rsid w:val="00065363"/>
    <w:rsid w:val="0006544C"/>
    <w:rsid w:val="000658DA"/>
    <w:rsid w:val="00065AA4"/>
    <w:rsid w:val="00065EF6"/>
    <w:rsid w:val="000660ED"/>
    <w:rsid w:val="000663F9"/>
    <w:rsid w:val="00066516"/>
    <w:rsid w:val="0006668A"/>
    <w:rsid w:val="00066A62"/>
    <w:rsid w:val="00066A88"/>
    <w:rsid w:val="00066D3B"/>
    <w:rsid w:val="00066D4B"/>
    <w:rsid w:val="00066E27"/>
    <w:rsid w:val="00066E3F"/>
    <w:rsid w:val="00066F44"/>
    <w:rsid w:val="00066FE3"/>
    <w:rsid w:val="00067093"/>
    <w:rsid w:val="000670D8"/>
    <w:rsid w:val="000670F2"/>
    <w:rsid w:val="0006733F"/>
    <w:rsid w:val="000673E4"/>
    <w:rsid w:val="000675AF"/>
    <w:rsid w:val="000675D0"/>
    <w:rsid w:val="00067677"/>
    <w:rsid w:val="00067706"/>
    <w:rsid w:val="000678D4"/>
    <w:rsid w:val="0006792F"/>
    <w:rsid w:val="0006798C"/>
    <w:rsid w:val="00067A4B"/>
    <w:rsid w:val="00067AD6"/>
    <w:rsid w:val="00067B11"/>
    <w:rsid w:val="00067C7C"/>
    <w:rsid w:val="000700FC"/>
    <w:rsid w:val="00070486"/>
    <w:rsid w:val="000704E2"/>
    <w:rsid w:val="00070524"/>
    <w:rsid w:val="000705F7"/>
    <w:rsid w:val="000706C6"/>
    <w:rsid w:val="00070916"/>
    <w:rsid w:val="00070CC3"/>
    <w:rsid w:val="00070E6E"/>
    <w:rsid w:val="00070F34"/>
    <w:rsid w:val="00070F46"/>
    <w:rsid w:val="00070F86"/>
    <w:rsid w:val="00071105"/>
    <w:rsid w:val="0007122F"/>
    <w:rsid w:val="00071598"/>
    <w:rsid w:val="000715D4"/>
    <w:rsid w:val="00071708"/>
    <w:rsid w:val="0007171C"/>
    <w:rsid w:val="000718FC"/>
    <w:rsid w:val="00071C3D"/>
    <w:rsid w:val="00072039"/>
    <w:rsid w:val="0007209F"/>
    <w:rsid w:val="0007222C"/>
    <w:rsid w:val="000722BC"/>
    <w:rsid w:val="000722CF"/>
    <w:rsid w:val="000722D3"/>
    <w:rsid w:val="00072815"/>
    <w:rsid w:val="00072A79"/>
    <w:rsid w:val="00072CE8"/>
    <w:rsid w:val="00072E83"/>
    <w:rsid w:val="00072F0F"/>
    <w:rsid w:val="00072F72"/>
    <w:rsid w:val="00073045"/>
    <w:rsid w:val="000731F6"/>
    <w:rsid w:val="0007326A"/>
    <w:rsid w:val="00073343"/>
    <w:rsid w:val="0007371B"/>
    <w:rsid w:val="00073751"/>
    <w:rsid w:val="0007380C"/>
    <w:rsid w:val="00073855"/>
    <w:rsid w:val="0007389E"/>
    <w:rsid w:val="00073925"/>
    <w:rsid w:val="00073E9C"/>
    <w:rsid w:val="00073FE3"/>
    <w:rsid w:val="0007404C"/>
    <w:rsid w:val="000740EE"/>
    <w:rsid w:val="00074161"/>
    <w:rsid w:val="000742BF"/>
    <w:rsid w:val="0007432F"/>
    <w:rsid w:val="00074354"/>
    <w:rsid w:val="000746D1"/>
    <w:rsid w:val="000746E2"/>
    <w:rsid w:val="00074723"/>
    <w:rsid w:val="0007472B"/>
    <w:rsid w:val="00074977"/>
    <w:rsid w:val="00074B73"/>
    <w:rsid w:val="00074BDB"/>
    <w:rsid w:val="00074C62"/>
    <w:rsid w:val="00074C84"/>
    <w:rsid w:val="00074D11"/>
    <w:rsid w:val="00074E0C"/>
    <w:rsid w:val="00074EE2"/>
    <w:rsid w:val="00074F59"/>
    <w:rsid w:val="0007515F"/>
    <w:rsid w:val="0007527F"/>
    <w:rsid w:val="000753DB"/>
    <w:rsid w:val="00075589"/>
    <w:rsid w:val="000756DC"/>
    <w:rsid w:val="00075894"/>
    <w:rsid w:val="00075ACC"/>
    <w:rsid w:val="00075E1F"/>
    <w:rsid w:val="00075F34"/>
    <w:rsid w:val="00075FC3"/>
    <w:rsid w:val="0007603D"/>
    <w:rsid w:val="00076069"/>
    <w:rsid w:val="00076189"/>
    <w:rsid w:val="0007629A"/>
    <w:rsid w:val="00076346"/>
    <w:rsid w:val="000763A3"/>
    <w:rsid w:val="0007658D"/>
    <w:rsid w:val="00076620"/>
    <w:rsid w:val="000767A9"/>
    <w:rsid w:val="00076AD2"/>
    <w:rsid w:val="00076F92"/>
    <w:rsid w:val="00076F97"/>
    <w:rsid w:val="00077675"/>
    <w:rsid w:val="000776A7"/>
    <w:rsid w:val="0007798F"/>
    <w:rsid w:val="000779E4"/>
    <w:rsid w:val="00077B1B"/>
    <w:rsid w:val="00077B3C"/>
    <w:rsid w:val="00077BA1"/>
    <w:rsid w:val="00077E2E"/>
    <w:rsid w:val="00077F64"/>
    <w:rsid w:val="0008011B"/>
    <w:rsid w:val="00080250"/>
    <w:rsid w:val="0008036A"/>
    <w:rsid w:val="0008051A"/>
    <w:rsid w:val="0008062C"/>
    <w:rsid w:val="00080657"/>
    <w:rsid w:val="0008097E"/>
    <w:rsid w:val="00080AD2"/>
    <w:rsid w:val="00080E04"/>
    <w:rsid w:val="00080E20"/>
    <w:rsid w:val="00080FA4"/>
    <w:rsid w:val="000810A2"/>
    <w:rsid w:val="0008197E"/>
    <w:rsid w:val="0008198D"/>
    <w:rsid w:val="00081AF0"/>
    <w:rsid w:val="00081AFE"/>
    <w:rsid w:val="00081D5E"/>
    <w:rsid w:val="00081E5F"/>
    <w:rsid w:val="00081FD8"/>
    <w:rsid w:val="0008206A"/>
    <w:rsid w:val="00082106"/>
    <w:rsid w:val="000821C5"/>
    <w:rsid w:val="0008221A"/>
    <w:rsid w:val="000823AB"/>
    <w:rsid w:val="0008246B"/>
    <w:rsid w:val="000827BA"/>
    <w:rsid w:val="00082959"/>
    <w:rsid w:val="00082AE0"/>
    <w:rsid w:val="00082CD3"/>
    <w:rsid w:val="00082D9B"/>
    <w:rsid w:val="00082EA8"/>
    <w:rsid w:val="000832A8"/>
    <w:rsid w:val="000832C6"/>
    <w:rsid w:val="00083377"/>
    <w:rsid w:val="000833A5"/>
    <w:rsid w:val="00083510"/>
    <w:rsid w:val="0008362A"/>
    <w:rsid w:val="00083722"/>
    <w:rsid w:val="000837EF"/>
    <w:rsid w:val="00083A17"/>
    <w:rsid w:val="00083B20"/>
    <w:rsid w:val="00083B80"/>
    <w:rsid w:val="00083C14"/>
    <w:rsid w:val="00083C4A"/>
    <w:rsid w:val="00083CCA"/>
    <w:rsid w:val="00083D98"/>
    <w:rsid w:val="00083F94"/>
    <w:rsid w:val="00084242"/>
    <w:rsid w:val="0008428C"/>
    <w:rsid w:val="000842D1"/>
    <w:rsid w:val="000842FD"/>
    <w:rsid w:val="0008456E"/>
    <w:rsid w:val="0008473F"/>
    <w:rsid w:val="000848E3"/>
    <w:rsid w:val="000848F6"/>
    <w:rsid w:val="00084A59"/>
    <w:rsid w:val="00084BFF"/>
    <w:rsid w:val="00084CDE"/>
    <w:rsid w:val="00085089"/>
    <w:rsid w:val="000851A5"/>
    <w:rsid w:val="00085235"/>
    <w:rsid w:val="00085281"/>
    <w:rsid w:val="000855C7"/>
    <w:rsid w:val="000855CD"/>
    <w:rsid w:val="00085604"/>
    <w:rsid w:val="0008561D"/>
    <w:rsid w:val="00085664"/>
    <w:rsid w:val="00085833"/>
    <w:rsid w:val="00085B88"/>
    <w:rsid w:val="00085BDF"/>
    <w:rsid w:val="00085CB7"/>
    <w:rsid w:val="00085EC9"/>
    <w:rsid w:val="00085EE0"/>
    <w:rsid w:val="00085F69"/>
    <w:rsid w:val="00086559"/>
    <w:rsid w:val="00086580"/>
    <w:rsid w:val="000865B1"/>
    <w:rsid w:val="000867FA"/>
    <w:rsid w:val="00086B54"/>
    <w:rsid w:val="00086C2E"/>
    <w:rsid w:val="00086C2F"/>
    <w:rsid w:val="00086C4B"/>
    <w:rsid w:val="00086DBA"/>
    <w:rsid w:val="00086F33"/>
    <w:rsid w:val="0008735C"/>
    <w:rsid w:val="000874E8"/>
    <w:rsid w:val="00087A00"/>
    <w:rsid w:val="00087D08"/>
    <w:rsid w:val="00087D29"/>
    <w:rsid w:val="00087DBD"/>
    <w:rsid w:val="00087E19"/>
    <w:rsid w:val="00087EE3"/>
    <w:rsid w:val="00087F74"/>
    <w:rsid w:val="0009003F"/>
    <w:rsid w:val="00090176"/>
    <w:rsid w:val="00090269"/>
    <w:rsid w:val="00090420"/>
    <w:rsid w:val="00090614"/>
    <w:rsid w:val="000907F2"/>
    <w:rsid w:val="00090964"/>
    <w:rsid w:val="00090A9B"/>
    <w:rsid w:val="00090BE5"/>
    <w:rsid w:val="00090CF8"/>
    <w:rsid w:val="00090E84"/>
    <w:rsid w:val="00090FA6"/>
    <w:rsid w:val="0009113C"/>
    <w:rsid w:val="0009115F"/>
    <w:rsid w:val="000911FC"/>
    <w:rsid w:val="00091675"/>
    <w:rsid w:val="00091698"/>
    <w:rsid w:val="00091992"/>
    <w:rsid w:val="00091A23"/>
    <w:rsid w:val="00091C88"/>
    <w:rsid w:val="00092057"/>
    <w:rsid w:val="00092602"/>
    <w:rsid w:val="00092828"/>
    <w:rsid w:val="0009285A"/>
    <w:rsid w:val="00092941"/>
    <w:rsid w:val="000929F1"/>
    <w:rsid w:val="00092AA7"/>
    <w:rsid w:val="00092B70"/>
    <w:rsid w:val="00092DCD"/>
    <w:rsid w:val="00093132"/>
    <w:rsid w:val="000932CA"/>
    <w:rsid w:val="0009348A"/>
    <w:rsid w:val="000936F1"/>
    <w:rsid w:val="00093726"/>
    <w:rsid w:val="00093747"/>
    <w:rsid w:val="0009374F"/>
    <w:rsid w:val="00093905"/>
    <w:rsid w:val="00093AC2"/>
    <w:rsid w:val="00093CB4"/>
    <w:rsid w:val="00093CE7"/>
    <w:rsid w:val="00093DB4"/>
    <w:rsid w:val="000941D8"/>
    <w:rsid w:val="000942AE"/>
    <w:rsid w:val="000942E7"/>
    <w:rsid w:val="00094390"/>
    <w:rsid w:val="000943F9"/>
    <w:rsid w:val="0009442D"/>
    <w:rsid w:val="00094528"/>
    <w:rsid w:val="000947A6"/>
    <w:rsid w:val="000947AF"/>
    <w:rsid w:val="00094861"/>
    <w:rsid w:val="000949F6"/>
    <w:rsid w:val="00094A6F"/>
    <w:rsid w:val="00094B83"/>
    <w:rsid w:val="00094BAD"/>
    <w:rsid w:val="00094D13"/>
    <w:rsid w:val="00094F3F"/>
    <w:rsid w:val="00094FBB"/>
    <w:rsid w:val="00095022"/>
    <w:rsid w:val="00095162"/>
    <w:rsid w:val="0009520D"/>
    <w:rsid w:val="000952E1"/>
    <w:rsid w:val="000952E2"/>
    <w:rsid w:val="000953B9"/>
    <w:rsid w:val="00095401"/>
    <w:rsid w:val="0009544F"/>
    <w:rsid w:val="000954C6"/>
    <w:rsid w:val="00095515"/>
    <w:rsid w:val="00095617"/>
    <w:rsid w:val="00095626"/>
    <w:rsid w:val="00095705"/>
    <w:rsid w:val="000958BA"/>
    <w:rsid w:val="000959AA"/>
    <w:rsid w:val="00095B69"/>
    <w:rsid w:val="00095E59"/>
    <w:rsid w:val="00095ECE"/>
    <w:rsid w:val="00096035"/>
    <w:rsid w:val="00096106"/>
    <w:rsid w:val="0009630B"/>
    <w:rsid w:val="0009640E"/>
    <w:rsid w:val="000964CF"/>
    <w:rsid w:val="00096688"/>
    <w:rsid w:val="000966C4"/>
    <w:rsid w:val="000967CA"/>
    <w:rsid w:val="00096A77"/>
    <w:rsid w:val="00096A78"/>
    <w:rsid w:val="00096CFE"/>
    <w:rsid w:val="00096E0F"/>
    <w:rsid w:val="00096E57"/>
    <w:rsid w:val="00096EF5"/>
    <w:rsid w:val="00096FFE"/>
    <w:rsid w:val="0009700E"/>
    <w:rsid w:val="00097068"/>
    <w:rsid w:val="000970AD"/>
    <w:rsid w:val="000971A6"/>
    <w:rsid w:val="000972BA"/>
    <w:rsid w:val="000974EA"/>
    <w:rsid w:val="00097503"/>
    <w:rsid w:val="00097519"/>
    <w:rsid w:val="00097571"/>
    <w:rsid w:val="0009766D"/>
    <w:rsid w:val="000976D5"/>
    <w:rsid w:val="0009777A"/>
    <w:rsid w:val="000977D8"/>
    <w:rsid w:val="0009782D"/>
    <w:rsid w:val="0009787B"/>
    <w:rsid w:val="0009795D"/>
    <w:rsid w:val="00097C7B"/>
    <w:rsid w:val="00097DFA"/>
    <w:rsid w:val="00097F8D"/>
    <w:rsid w:val="00097F98"/>
    <w:rsid w:val="000A0049"/>
    <w:rsid w:val="000A0174"/>
    <w:rsid w:val="000A0258"/>
    <w:rsid w:val="000A0493"/>
    <w:rsid w:val="000A0518"/>
    <w:rsid w:val="000A06EA"/>
    <w:rsid w:val="000A09E9"/>
    <w:rsid w:val="000A0B17"/>
    <w:rsid w:val="000A0B2F"/>
    <w:rsid w:val="000A0D05"/>
    <w:rsid w:val="000A0D78"/>
    <w:rsid w:val="000A1008"/>
    <w:rsid w:val="000A11F9"/>
    <w:rsid w:val="000A187B"/>
    <w:rsid w:val="000A193B"/>
    <w:rsid w:val="000A1A86"/>
    <w:rsid w:val="000A1ACE"/>
    <w:rsid w:val="000A1E78"/>
    <w:rsid w:val="000A1F47"/>
    <w:rsid w:val="000A20A5"/>
    <w:rsid w:val="000A2101"/>
    <w:rsid w:val="000A251A"/>
    <w:rsid w:val="000A257C"/>
    <w:rsid w:val="000A2606"/>
    <w:rsid w:val="000A26A4"/>
    <w:rsid w:val="000A276C"/>
    <w:rsid w:val="000A2832"/>
    <w:rsid w:val="000A294B"/>
    <w:rsid w:val="000A2AEE"/>
    <w:rsid w:val="000A2D02"/>
    <w:rsid w:val="000A2D27"/>
    <w:rsid w:val="000A2DD7"/>
    <w:rsid w:val="000A2E1C"/>
    <w:rsid w:val="000A2E34"/>
    <w:rsid w:val="000A2FED"/>
    <w:rsid w:val="000A31E8"/>
    <w:rsid w:val="000A3219"/>
    <w:rsid w:val="000A3267"/>
    <w:rsid w:val="000A34A7"/>
    <w:rsid w:val="000A3554"/>
    <w:rsid w:val="000A36AF"/>
    <w:rsid w:val="000A3B21"/>
    <w:rsid w:val="000A3CEE"/>
    <w:rsid w:val="000A3D3E"/>
    <w:rsid w:val="000A3D87"/>
    <w:rsid w:val="000A44FA"/>
    <w:rsid w:val="000A46CE"/>
    <w:rsid w:val="000A499B"/>
    <w:rsid w:val="000A4C68"/>
    <w:rsid w:val="000A4CF3"/>
    <w:rsid w:val="000A4EA2"/>
    <w:rsid w:val="000A4F19"/>
    <w:rsid w:val="000A4F79"/>
    <w:rsid w:val="000A50FA"/>
    <w:rsid w:val="000A5238"/>
    <w:rsid w:val="000A541F"/>
    <w:rsid w:val="000A54DD"/>
    <w:rsid w:val="000A57A2"/>
    <w:rsid w:val="000A57C6"/>
    <w:rsid w:val="000A5821"/>
    <w:rsid w:val="000A5A3E"/>
    <w:rsid w:val="000A5A88"/>
    <w:rsid w:val="000A5B8E"/>
    <w:rsid w:val="000A5BD2"/>
    <w:rsid w:val="000A5C17"/>
    <w:rsid w:val="000A5E1C"/>
    <w:rsid w:val="000A5F48"/>
    <w:rsid w:val="000A60A1"/>
    <w:rsid w:val="000A60D9"/>
    <w:rsid w:val="000A62B0"/>
    <w:rsid w:val="000A650A"/>
    <w:rsid w:val="000A66B8"/>
    <w:rsid w:val="000A692C"/>
    <w:rsid w:val="000A6987"/>
    <w:rsid w:val="000A751F"/>
    <w:rsid w:val="000A7542"/>
    <w:rsid w:val="000A7624"/>
    <w:rsid w:val="000A76AD"/>
    <w:rsid w:val="000A76B4"/>
    <w:rsid w:val="000A77BD"/>
    <w:rsid w:val="000A781E"/>
    <w:rsid w:val="000A7842"/>
    <w:rsid w:val="000A78A8"/>
    <w:rsid w:val="000A7D12"/>
    <w:rsid w:val="000B003D"/>
    <w:rsid w:val="000B00A1"/>
    <w:rsid w:val="000B02D7"/>
    <w:rsid w:val="000B0363"/>
    <w:rsid w:val="000B05A2"/>
    <w:rsid w:val="000B0600"/>
    <w:rsid w:val="000B06B8"/>
    <w:rsid w:val="000B0A85"/>
    <w:rsid w:val="000B0A95"/>
    <w:rsid w:val="000B11A1"/>
    <w:rsid w:val="000B11E4"/>
    <w:rsid w:val="000B1332"/>
    <w:rsid w:val="000B1398"/>
    <w:rsid w:val="000B13A8"/>
    <w:rsid w:val="000B1486"/>
    <w:rsid w:val="000B16F5"/>
    <w:rsid w:val="000B1720"/>
    <w:rsid w:val="000B192D"/>
    <w:rsid w:val="000B19BB"/>
    <w:rsid w:val="000B1C30"/>
    <w:rsid w:val="000B1D83"/>
    <w:rsid w:val="000B1DC1"/>
    <w:rsid w:val="000B1F0D"/>
    <w:rsid w:val="000B21D5"/>
    <w:rsid w:val="000B2275"/>
    <w:rsid w:val="000B22A2"/>
    <w:rsid w:val="000B22CB"/>
    <w:rsid w:val="000B2470"/>
    <w:rsid w:val="000B2490"/>
    <w:rsid w:val="000B249E"/>
    <w:rsid w:val="000B24D1"/>
    <w:rsid w:val="000B25A9"/>
    <w:rsid w:val="000B26D6"/>
    <w:rsid w:val="000B2878"/>
    <w:rsid w:val="000B293A"/>
    <w:rsid w:val="000B29EC"/>
    <w:rsid w:val="000B2B2F"/>
    <w:rsid w:val="000B2CDC"/>
    <w:rsid w:val="000B2E86"/>
    <w:rsid w:val="000B317F"/>
    <w:rsid w:val="000B36BB"/>
    <w:rsid w:val="000B387B"/>
    <w:rsid w:val="000B3B04"/>
    <w:rsid w:val="000B3B96"/>
    <w:rsid w:val="000B3CA9"/>
    <w:rsid w:val="000B3CE9"/>
    <w:rsid w:val="000B3D64"/>
    <w:rsid w:val="000B3F25"/>
    <w:rsid w:val="000B40B8"/>
    <w:rsid w:val="000B43E5"/>
    <w:rsid w:val="000B441F"/>
    <w:rsid w:val="000B44D9"/>
    <w:rsid w:val="000B4918"/>
    <w:rsid w:val="000B4A00"/>
    <w:rsid w:val="000B4B97"/>
    <w:rsid w:val="000B4C8C"/>
    <w:rsid w:val="000B4D14"/>
    <w:rsid w:val="000B4EA9"/>
    <w:rsid w:val="000B4EFA"/>
    <w:rsid w:val="000B502F"/>
    <w:rsid w:val="000B52AC"/>
    <w:rsid w:val="000B54EE"/>
    <w:rsid w:val="000B5BD8"/>
    <w:rsid w:val="000B5FF7"/>
    <w:rsid w:val="000B616E"/>
    <w:rsid w:val="000B6245"/>
    <w:rsid w:val="000B6276"/>
    <w:rsid w:val="000B648B"/>
    <w:rsid w:val="000B6657"/>
    <w:rsid w:val="000B67F9"/>
    <w:rsid w:val="000B6A59"/>
    <w:rsid w:val="000B6AA5"/>
    <w:rsid w:val="000B75D6"/>
    <w:rsid w:val="000B760B"/>
    <w:rsid w:val="000B77F8"/>
    <w:rsid w:val="000B7A80"/>
    <w:rsid w:val="000B7BBA"/>
    <w:rsid w:val="000C005A"/>
    <w:rsid w:val="000C022B"/>
    <w:rsid w:val="000C04D1"/>
    <w:rsid w:val="000C04F8"/>
    <w:rsid w:val="000C062B"/>
    <w:rsid w:val="000C0959"/>
    <w:rsid w:val="000C0A0E"/>
    <w:rsid w:val="000C0A50"/>
    <w:rsid w:val="000C0CC3"/>
    <w:rsid w:val="000C0D13"/>
    <w:rsid w:val="000C0D24"/>
    <w:rsid w:val="000C0D7B"/>
    <w:rsid w:val="000C0E81"/>
    <w:rsid w:val="000C0E8D"/>
    <w:rsid w:val="000C0F3E"/>
    <w:rsid w:val="000C1255"/>
    <w:rsid w:val="000C1577"/>
    <w:rsid w:val="000C17A5"/>
    <w:rsid w:val="000C1893"/>
    <w:rsid w:val="000C18DD"/>
    <w:rsid w:val="000C19CD"/>
    <w:rsid w:val="000C1BCF"/>
    <w:rsid w:val="000C1D16"/>
    <w:rsid w:val="000C1F6D"/>
    <w:rsid w:val="000C1FAC"/>
    <w:rsid w:val="000C20B4"/>
    <w:rsid w:val="000C2141"/>
    <w:rsid w:val="000C22BF"/>
    <w:rsid w:val="000C2447"/>
    <w:rsid w:val="000C2606"/>
    <w:rsid w:val="000C2802"/>
    <w:rsid w:val="000C2D6D"/>
    <w:rsid w:val="000C2DDA"/>
    <w:rsid w:val="000C30FD"/>
    <w:rsid w:val="000C312C"/>
    <w:rsid w:val="000C319E"/>
    <w:rsid w:val="000C31E7"/>
    <w:rsid w:val="000C33AF"/>
    <w:rsid w:val="000C33E3"/>
    <w:rsid w:val="000C36AC"/>
    <w:rsid w:val="000C36EE"/>
    <w:rsid w:val="000C3A15"/>
    <w:rsid w:val="000C3B12"/>
    <w:rsid w:val="000C3BC0"/>
    <w:rsid w:val="000C3D54"/>
    <w:rsid w:val="000C3E91"/>
    <w:rsid w:val="000C3EAA"/>
    <w:rsid w:val="000C3F4C"/>
    <w:rsid w:val="000C4039"/>
    <w:rsid w:val="000C409A"/>
    <w:rsid w:val="000C41E9"/>
    <w:rsid w:val="000C421E"/>
    <w:rsid w:val="000C4273"/>
    <w:rsid w:val="000C42D7"/>
    <w:rsid w:val="000C444E"/>
    <w:rsid w:val="000C471B"/>
    <w:rsid w:val="000C4925"/>
    <w:rsid w:val="000C4987"/>
    <w:rsid w:val="000C4AAB"/>
    <w:rsid w:val="000C4B88"/>
    <w:rsid w:val="000C4D17"/>
    <w:rsid w:val="000C4E6E"/>
    <w:rsid w:val="000C4EAD"/>
    <w:rsid w:val="000C4F7E"/>
    <w:rsid w:val="000C50DD"/>
    <w:rsid w:val="000C50EC"/>
    <w:rsid w:val="000C5612"/>
    <w:rsid w:val="000C56EE"/>
    <w:rsid w:val="000C571E"/>
    <w:rsid w:val="000C5845"/>
    <w:rsid w:val="000C59E0"/>
    <w:rsid w:val="000C5C07"/>
    <w:rsid w:val="000C5C88"/>
    <w:rsid w:val="000C5D04"/>
    <w:rsid w:val="000C6252"/>
    <w:rsid w:val="000C6735"/>
    <w:rsid w:val="000C673A"/>
    <w:rsid w:val="000C67EA"/>
    <w:rsid w:val="000C69F3"/>
    <w:rsid w:val="000C6AD2"/>
    <w:rsid w:val="000C6C3E"/>
    <w:rsid w:val="000C6CBE"/>
    <w:rsid w:val="000C6E22"/>
    <w:rsid w:val="000C6E3D"/>
    <w:rsid w:val="000C6F46"/>
    <w:rsid w:val="000C6FE8"/>
    <w:rsid w:val="000C7090"/>
    <w:rsid w:val="000C723F"/>
    <w:rsid w:val="000C73E4"/>
    <w:rsid w:val="000C7533"/>
    <w:rsid w:val="000C754B"/>
    <w:rsid w:val="000C75A9"/>
    <w:rsid w:val="000C7A83"/>
    <w:rsid w:val="000C7C94"/>
    <w:rsid w:val="000C7D7A"/>
    <w:rsid w:val="000D004E"/>
    <w:rsid w:val="000D01C3"/>
    <w:rsid w:val="000D02D1"/>
    <w:rsid w:val="000D039C"/>
    <w:rsid w:val="000D03F8"/>
    <w:rsid w:val="000D05A4"/>
    <w:rsid w:val="000D05FD"/>
    <w:rsid w:val="000D0802"/>
    <w:rsid w:val="000D09F7"/>
    <w:rsid w:val="000D0BCC"/>
    <w:rsid w:val="000D0C2B"/>
    <w:rsid w:val="000D0C2F"/>
    <w:rsid w:val="000D0CC4"/>
    <w:rsid w:val="000D0CC6"/>
    <w:rsid w:val="000D0D9D"/>
    <w:rsid w:val="000D0FA7"/>
    <w:rsid w:val="000D1114"/>
    <w:rsid w:val="000D11B8"/>
    <w:rsid w:val="000D135D"/>
    <w:rsid w:val="000D13A6"/>
    <w:rsid w:val="000D1409"/>
    <w:rsid w:val="000D15D8"/>
    <w:rsid w:val="000D1886"/>
    <w:rsid w:val="000D1A97"/>
    <w:rsid w:val="000D1AAA"/>
    <w:rsid w:val="000D1AAC"/>
    <w:rsid w:val="000D221E"/>
    <w:rsid w:val="000D25DE"/>
    <w:rsid w:val="000D2768"/>
    <w:rsid w:val="000D297E"/>
    <w:rsid w:val="000D2A24"/>
    <w:rsid w:val="000D2BBB"/>
    <w:rsid w:val="000D2C05"/>
    <w:rsid w:val="000D2C3E"/>
    <w:rsid w:val="000D2CE3"/>
    <w:rsid w:val="000D2E7F"/>
    <w:rsid w:val="000D30F3"/>
    <w:rsid w:val="000D3415"/>
    <w:rsid w:val="000D3435"/>
    <w:rsid w:val="000D3464"/>
    <w:rsid w:val="000D3553"/>
    <w:rsid w:val="000D360F"/>
    <w:rsid w:val="000D382D"/>
    <w:rsid w:val="000D383D"/>
    <w:rsid w:val="000D39AD"/>
    <w:rsid w:val="000D39AE"/>
    <w:rsid w:val="000D3AB4"/>
    <w:rsid w:val="000D3CC0"/>
    <w:rsid w:val="000D42A3"/>
    <w:rsid w:val="000D430E"/>
    <w:rsid w:val="000D434F"/>
    <w:rsid w:val="000D43D3"/>
    <w:rsid w:val="000D440F"/>
    <w:rsid w:val="000D47E4"/>
    <w:rsid w:val="000D4949"/>
    <w:rsid w:val="000D49C2"/>
    <w:rsid w:val="000D4A29"/>
    <w:rsid w:val="000D4A98"/>
    <w:rsid w:val="000D4CDF"/>
    <w:rsid w:val="000D4EE0"/>
    <w:rsid w:val="000D507C"/>
    <w:rsid w:val="000D519F"/>
    <w:rsid w:val="000D5233"/>
    <w:rsid w:val="000D5396"/>
    <w:rsid w:val="000D53B7"/>
    <w:rsid w:val="000D56C1"/>
    <w:rsid w:val="000D5F1B"/>
    <w:rsid w:val="000D5FDF"/>
    <w:rsid w:val="000D60EE"/>
    <w:rsid w:val="000D6117"/>
    <w:rsid w:val="000D612C"/>
    <w:rsid w:val="000D6187"/>
    <w:rsid w:val="000D6272"/>
    <w:rsid w:val="000D629E"/>
    <w:rsid w:val="000D6308"/>
    <w:rsid w:val="000D6327"/>
    <w:rsid w:val="000D6568"/>
    <w:rsid w:val="000D66FF"/>
    <w:rsid w:val="000D6AAA"/>
    <w:rsid w:val="000D6ACB"/>
    <w:rsid w:val="000D6EEA"/>
    <w:rsid w:val="000D7068"/>
    <w:rsid w:val="000D711D"/>
    <w:rsid w:val="000D7275"/>
    <w:rsid w:val="000D72BF"/>
    <w:rsid w:val="000D7307"/>
    <w:rsid w:val="000D73D9"/>
    <w:rsid w:val="000D7495"/>
    <w:rsid w:val="000D7775"/>
    <w:rsid w:val="000D7900"/>
    <w:rsid w:val="000D795B"/>
    <w:rsid w:val="000D79F5"/>
    <w:rsid w:val="000D7BD2"/>
    <w:rsid w:val="000D7C43"/>
    <w:rsid w:val="000D7DBE"/>
    <w:rsid w:val="000E02A5"/>
    <w:rsid w:val="000E03E7"/>
    <w:rsid w:val="000E0641"/>
    <w:rsid w:val="000E06DF"/>
    <w:rsid w:val="000E08F2"/>
    <w:rsid w:val="000E0974"/>
    <w:rsid w:val="000E0A62"/>
    <w:rsid w:val="000E0BE1"/>
    <w:rsid w:val="000E0C62"/>
    <w:rsid w:val="000E0D11"/>
    <w:rsid w:val="000E0D35"/>
    <w:rsid w:val="000E0E59"/>
    <w:rsid w:val="000E0F13"/>
    <w:rsid w:val="000E138D"/>
    <w:rsid w:val="000E1517"/>
    <w:rsid w:val="000E1996"/>
    <w:rsid w:val="000E1A82"/>
    <w:rsid w:val="000E1C89"/>
    <w:rsid w:val="000E1D44"/>
    <w:rsid w:val="000E1FAB"/>
    <w:rsid w:val="000E2229"/>
    <w:rsid w:val="000E2267"/>
    <w:rsid w:val="000E232E"/>
    <w:rsid w:val="000E2564"/>
    <w:rsid w:val="000E2678"/>
    <w:rsid w:val="000E2765"/>
    <w:rsid w:val="000E29E8"/>
    <w:rsid w:val="000E2C36"/>
    <w:rsid w:val="000E2DA3"/>
    <w:rsid w:val="000E2DEC"/>
    <w:rsid w:val="000E2F2C"/>
    <w:rsid w:val="000E2F9B"/>
    <w:rsid w:val="000E2FCC"/>
    <w:rsid w:val="000E3066"/>
    <w:rsid w:val="000E30FC"/>
    <w:rsid w:val="000E3118"/>
    <w:rsid w:val="000E32CD"/>
    <w:rsid w:val="000E35F6"/>
    <w:rsid w:val="000E370E"/>
    <w:rsid w:val="000E3A4F"/>
    <w:rsid w:val="000E408E"/>
    <w:rsid w:val="000E4131"/>
    <w:rsid w:val="000E418D"/>
    <w:rsid w:val="000E42E6"/>
    <w:rsid w:val="000E4362"/>
    <w:rsid w:val="000E445E"/>
    <w:rsid w:val="000E4557"/>
    <w:rsid w:val="000E4572"/>
    <w:rsid w:val="000E4666"/>
    <w:rsid w:val="000E4671"/>
    <w:rsid w:val="000E469E"/>
    <w:rsid w:val="000E4886"/>
    <w:rsid w:val="000E4951"/>
    <w:rsid w:val="000E495D"/>
    <w:rsid w:val="000E4995"/>
    <w:rsid w:val="000E4FB3"/>
    <w:rsid w:val="000E51F3"/>
    <w:rsid w:val="000E5226"/>
    <w:rsid w:val="000E53B4"/>
    <w:rsid w:val="000E545C"/>
    <w:rsid w:val="000E54E7"/>
    <w:rsid w:val="000E57F3"/>
    <w:rsid w:val="000E5864"/>
    <w:rsid w:val="000E58D1"/>
    <w:rsid w:val="000E5B8D"/>
    <w:rsid w:val="000E5C03"/>
    <w:rsid w:val="000E5DDA"/>
    <w:rsid w:val="000E5FD3"/>
    <w:rsid w:val="000E617E"/>
    <w:rsid w:val="000E624D"/>
    <w:rsid w:val="000E6311"/>
    <w:rsid w:val="000E664B"/>
    <w:rsid w:val="000E69EC"/>
    <w:rsid w:val="000E6C5B"/>
    <w:rsid w:val="000E6D5B"/>
    <w:rsid w:val="000E6D64"/>
    <w:rsid w:val="000E6DEB"/>
    <w:rsid w:val="000E6DFB"/>
    <w:rsid w:val="000E70D6"/>
    <w:rsid w:val="000E714C"/>
    <w:rsid w:val="000E716F"/>
    <w:rsid w:val="000E721E"/>
    <w:rsid w:val="000E72B7"/>
    <w:rsid w:val="000E73C5"/>
    <w:rsid w:val="000E74A9"/>
    <w:rsid w:val="000E7697"/>
    <w:rsid w:val="000E7708"/>
    <w:rsid w:val="000E7736"/>
    <w:rsid w:val="000E787D"/>
    <w:rsid w:val="000E788E"/>
    <w:rsid w:val="000E7898"/>
    <w:rsid w:val="000E79E3"/>
    <w:rsid w:val="000E7CC7"/>
    <w:rsid w:val="000E7D54"/>
    <w:rsid w:val="000F0043"/>
    <w:rsid w:val="000F012D"/>
    <w:rsid w:val="000F017E"/>
    <w:rsid w:val="000F01BA"/>
    <w:rsid w:val="000F01F8"/>
    <w:rsid w:val="000F0337"/>
    <w:rsid w:val="000F061F"/>
    <w:rsid w:val="000F062B"/>
    <w:rsid w:val="000F0834"/>
    <w:rsid w:val="000F0AB5"/>
    <w:rsid w:val="000F0BBC"/>
    <w:rsid w:val="000F0FA5"/>
    <w:rsid w:val="000F0FF8"/>
    <w:rsid w:val="000F1172"/>
    <w:rsid w:val="000F1251"/>
    <w:rsid w:val="000F1442"/>
    <w:rsid w:val="000F144F"/>
    <w:rsid w:val="000F159B"/>
    <w:rsid w:val="000F165B"/>
    <w:rsid w:val="000F169C"/>
    <w:rsid w:val="000F16F3"/>
    <w:rsid w:val="000F16F4"/>
    <w:rsid w:val="000F175F"/>
    <w:rsid w:val="000F1818"/>
    <w:rsid w:val="000F1826"/>
    <w:rsid w:val="000F1842"/>
    <w:rsid w:val="000F18E6"/>
    <w:rsid w:val="000F1A2D"/>
    <w:rsid w:val="000F1ACF"/>
    <w:rsid w:val="000F1DBB"/>
    <w:rsid w:val="000F1E8E"/>
    <w:rsid w:val="000F1FFD"/>
    <w:rsid w:val="000F2143"/>
    <w:rsid w:val="000F2179"/>
    <w:rsid w:val="000F2428"/>
    <w:rsid w:val="000F25C9"/>
    <w:rsid w:val="000F2683"/>
    <w:rsid w:val="000F2751"/>
    <w:rsid w:val="000F27A9"/>
    <w:rsid w:val="000F285B"/>
    <w:rsid w:val="000F2BB5"/>
    <w:rsid w:val="000F2BDA"/>
    <w:rsid w:val="000F2CAC"/>
    <w:rsid w:val="000F2EB3"/>
    <w:rsid w:val="000F2F3C"/>
    <w:rsid w:val="000F2F7C"/>
    <w:rsid w:val="000F3127"/>
    <w:rsid w:val="000F31F9"/>
    <w:rsid w:val="000F32C6"/>
    <w:rsid w:val="000F343E"/>
    <w:rsid w:val="000F3A45"/>
    <w:rsid w:val="000F3A96"/>
    <w:rsid w:val="000F3B1C"/>
    <w:rsid w:val="000F3C5D"/>
    <w:rsid w:val="000F3C85"/>
    <w:rsid w:val="000F3D5B"/>
    <w:rsid w:val="000F3DAD"/>
    <w:rsid w:val="000F3F3B"/>
    <w:rsid w:val="000F3F97"/>
    <w:rsid w:val="000F3FAF"/>
    <w:rsid w:val="000F409A"/>
    <w:rsid w:val="000F40E2"/>
    <w:rsid w:val="000F4100"/>
    <w:rsid w:val="000F425E"/>
    <w:rsid w:val="000F4385"/>
    <w:rsid w:val="000F438F"/>
    <w:rsid w:val="000F476D"/>
    <w:rsid w:val="000F47D9"/>
    <w:rsid w:val="000F4AED"/>
    <w:rsid w:val="000F4CE1"/>
    <w:rsid w:val="000F4E34"/>
    <w:rsid w:val="000F4E3F"/>
    <w:rsid w:val="000F4EE4"/>
    <w:rsid w:val="000F4F01"/>
    <w:rsid w:val="000F4F26"/>
    <w:rsid w:val="000F5370"/>
    <w:rsid w:val="000F5419"/>
    <w:rsid w:val="000F5428"/>
    <w:rsid w:val="000F55E5"/>
    <w:rsid w:val="000F5766"/>
    <w:rsid w:val="000F5837"/>
    <w:rsid w:val="000F5ACA"/>
    <w:rsid w:val="000F5B00"/>
    <w:rsid w:val="000F5C01"/>
    <w:rsid w:val="000F5DA2"/>
    <w:rsid w:val="000F5F77"/>
    <w:rsid w:val="000F5FD4"/>
    <w:rsid w:val="000F6214"/>
    <w:rsid w:val="000F62B7"/>
    <w:rsid w:val="000F6559"/>
    <w:rsid w:val="000F6763"/>
    <w:rsid w:val="000F678D"/>
    <w:rsid w:val="000F681D"/>
    <w:rsid w:val="000F681F"/>
    <w:rsid w:val="000F69BD"/>
    <w:rsid w:val="000F6AB1"/>
    <w:rsid w:val="000F6AD8"/>
    <w:rsid w:val="000F6B1A"/>
    <w:rsid w:val="000F6B60"/>
    <w:rsid w:val="000F6BDE"/>
    <w:rsid w:val="000F6D2F"/>
    <w:rsid w:val="000F6EB0"/>
    <w:rsid w:val="000F6F6D"/>
    <w:rsid w:val="000F6FC3"/>
    <w:rsid w:val="000F707D"/>
    <w:rsid w:val="000F7290"/>
    <w:rsid w:val="000F729F"/>
    <w:rsid w:val="000F737B"/>
    <w:rsid w:val="000F73A6"/>
    <w:rsid w:val="000F7529"/>
    <w:rsid w:val="000F7736"/>
    <w:rsid w:val="000F78FE"/>
    <w:rsid w:val="000F7955"/>
    <w:rsid w:val="000F799A"/>
    <w:rsid w:val="000F7A35"/>
    <w:rsid w:val="000F7B71"/>
    <w:rsid w:val="000F7CA0"/>
    <w:rsid w:val="000F7DC7"/>
    <w:rsid w:val="000F7DF5"/>
    <w:rsid w:val="000F7F3A"/>
    <w:rsid w:val="000F7F6A"/>
    <w:rsid w:val="00100413"/>
    <w:rsid w:val="00100626"/>
    <w:rsid w:val="0010069E"/>
    <w:rsid w:val="00100A1F"/>
    <w:rsid w:val="00100B08"/>
    <w:rsid w:val="00100F3F"/>
    <w:rsid w:val="00100F61"/>
    <w:rsid w:val="00100FEE"/>
    <w:rsid w:val="001011C6"/>
    <w:rsid w:val="0010136B"/>
    <w:rsid w:val="0010146E"/>
    <w:rsid w:val="00101480"/>
    <w:rsid w:val="00101833"/>
    <w:rsid w:val="00101A0A"/>
    <w:rsid w:val="00101A0D"/>
    <w:rsid w:val="00101AF1"/>
    <w:rsid w:val="00101BCE"/>
    <w:rsid w:val="00101CA5"/>
    <w:rsid w:val="00101D78"/>
    <w:rsid w:val="00101E96"/>
    <w:rsid w:val="00101FD0"/>
    <w:rsid w:val="00101FDC"/>
    <w:rsid w:val="001020F7"/>
    <w:rsid w:val="001021FA"/>
    <w:rsid w:val="00102282"/>
    <w:rsid w:val="0010234A"/>
    <w:rsid w:val="00102461"/>
    <w:rsid w:val="00102466"/>
    <w:rsid w:val="0010250D"/>
    <w:rsid w:val="00102593"/>
    <w:rsid w:val="001028EC"/>
    <w:rsid w:val="001029CE"/>
    <w:rsid w:val="00102A30"/>
    <w:rsid w:val="00102BA9"/>
    <w:rsid w:val="00102C3D"/>
    <w:rsid w:val="00102D34"/>
    <w:rsid w:val="00102F0B"/>
    <w:rsid w:val="00102F67"/>
    <w:rsid w:val="00102F89"/>
    <w:rsid w:val="00102FDB"/>
    <w:rsid w:val="00103030"/>
    <w:rsid w:val="001031C8"/>
    <w:rsid w:val="001032E4"/>
    <w:rsid w:val="0010339D"/>
    <w:rsid w:val="001035AD"/>
    <w:rsid w:val="001035FC"/>
    <w:rsid w:val="001036C3"/>
    <w:rsid w:val="001036E5"/>
    <w:rsid w:val="00103780"/>
    <w:rsid w:val="001037DD"/>
    <w:rsid w:val="001037EE"/>
    <w:rsid w:val="001037FD"/>
    <w:rsid w:val="00103859"/>
    <w:rsid w:val="0010388D"/>
    <w:rsid w:val="001039FA"/>
    <w:rsid w:val="00103C23"/>
    <w:rsid w:val="00103E79"/>
    <w:rsid w:val="00103E9E"/>
    <w:rsid w:val="001040B5"/>
    <w:rsid w:val="001040B7"/>
    <w:rsid w:val="001041DC"/>
    <w:rsid w:val="001043AD"/>
    <w:rsid w:val="0010462A"/>
    <w:rsid w:val="00104734"/>
    <w:rsid w:val="00104767"/>
    <w:rsid w:val="001047E0"/>
    <w:rsid w:val="0010492A"/>
    <w:rsid w:val="00104C04"/>
    <w:rsid w:val="00104C4C"/>
    <w:rsid w:val="00104E8E"/>
    <w:rsid w:val="0010544E"/>
    <w:rsid w:val="00105675"/>
    <w:rsid w:val="001056EF"/>
    <w:rsid w:val="001056FC"/>
    <w:rsid w:val="00105B1C"/>
    <w:rsid w:val="00105B91"/>
    <w:rsid w:val="00105BF5"/>
    <w:rsid w:val="00105FD0"/>
    <w:rsid w:val="00106024"/>
    <w:rsid w:val="00106215"/>
    <w:rsid w:val="00106225"/>
    <w:rsid w:val="001062DE"/>
    <w:rsid w:val="00106356"/>
    <w:rsid w:val="0010645C"/>
    <w:rsid w:val="0010665A"/>
    <w:rsid w:val="001066B1"/>
    <w:rsid w:val="0010680A"/>
    <w:rsid w:val="0010681B"/>
    <w:rsid w:val="001068C9"/>
    <w:rsid w:val="001068CA"/>
    <w:rsid w:val="001068FD"/>
    <w:rsid w:val="0010693F"/>
    <w:rsid w:val="00106984"/>
    <w:rsid w:val="00106A41"/>
    <w:rsid w:val="00106B97"/>
    <w:rsid w:val="00106CE8"/>
    <w:rsid w:val="00106DC3"/>
    <w:rsid w:val="00106E3A"/>
    <w:rsid w:val="00106EEE"/>
    <w:rsid w:val="00106FFF"/>
    <w:rsid w:val="0010709D"/>
    <w:rsid w:val="00107166"/>
    <w:rsid w:val="001072D2"/>
    <w:rsid w:val="00107340"/>
    <w:rsid w:val="001073CF"/>
    <w:rsid w:val="001074B5"/>
    <w:rsid w:val="0010759D"/>
    <w:rsid w:val="001076C9"/>
    <w:rsid w:val="001079BD"/>
    <w:rsid w:val="00107A5B"/>
    <w:rsid w:val="00107DFD"/>
    <w:rsid w:val="00107E3A"/>
    <w:rsid w:val="00107F42"/>
    <w:rsid w:val="00110149"/>
    <w:rsid w:val="001101EE"/>
    <w:rsid w:val="00110236"/>
    <w:rsid w:val="0011037C"/>
    <w:rsid w:val="00110426"/>
    <w:rsid w:val="001105F9"/>
    <w:rsid w:val="0011072D"/>
    <w:rsid w:val="001108E6"/>
    <w:rsid w:val="00110C19"/>
    <w:rsid w:val="00110D7A"/>
    <w:rsid w:val="00110E8A"/>
    <w:rsid w:val="00110EED"/>
    <w:rsid w:val="00110F62"/>
    <w:rsid w:val="00110FFA"/>
    <w:rsid w:val="00111304"/>
    <w:rsid w:val="00111328"/>
    <w:rsid w:val="00111669"/>
    <w:rsid w:val="00111750"/>
    <w:rsid w:val="001117EC"/>
    <w:rsid w:val="00111AD8"/>
    <w:rsid w:val="00111C50"/>
    <w:rsid w:val="00111CA3"/>
    <w:rsid w:val="0011216C"/>
    <w:rsid w:val="001121BC"/>
    <w:rsid w:val="001121F2"/>
    <w:rsid w:val="00112273"/>
    <w:rsid w:val="00112329"/>
    <w:rsid w:val="0011244D"/>
    <w:rsid w:val="00112830"/>
    <w:rsid w:val="001128EE"/>
    <w:rsid w:val="00112901"/>
    <w:rsid w:val="00112980"/>
    <w:rsid w:val="00112A87"/>
    <w:rsid w:val="00112D35"/>
    <w:rsid w:val="001130C8"/>
    <w:rsid w:val="00113667"/>
    <w:rsid w:val="0011376C"/>
    <w:rsid w:val="001137D7"/>
    <w:rsid w:val="001137F7"/>
    <w:rsid w:val="0011382F"/>
    <w:rsid w:val="00113855"/>
    <w:rsid w:val="001138EF"/>
    <w:rsid w:val="001139EE"/>
    <w:rsid w:val="00113BDF"/>
    <w:rsid w:val="00113C39"/>
    <w:rsid w:val="00113C7C"/>
    <w:rsid w:val="00113CD3"/>
    <w:rsid w:val="00113D64"/>
    <w:rsid w:val="00113E63"/>
    <w:rsid w:val="00113F60"/>
    <w:rsid w:val="00113F64"/>
    <w:rsid w:val="00114242"/>
    <w:rsid w:val="00114387"/>
    <w:rsid w:val="0011461C"/>
    <w:rsid w:val="00114907"/>
    <w:rsid w:val="0011497F"/>
    <w:rsid w:val="00114B7E"/>
    <w:rsid w:val="00114C0B"/>
    <w:rsid w:val="00114E0B"/>
    <w:rsid w:val="00114E29"/>
    <w:rsid w:val="00114FCF"/>
    <w:rsid w:val="001150A4"/>
    <w:rsid w:val="001150C7"/>
    <w:rsid w:val="001151B5"/>
    <w:rsid w:val="00115417"/>
    <w:rsid w:val="00115471"/>
    <w:rsid w:val="001155AA"/>
    <w:rsid w:val="001155DE"/>
    <w:rsid w:val="001155F6"/>
    <w:rsid w:val="00115716"/>
    <w:rsid w:val="0011585A"/>
    <w:rsid w:val="00115861"/>
    <w:rsid w:val="00115AD8"/>
    <w:rsid w:val="00115BEC"/>
    <w:rsid w:val="00115E8A"/>
    <w:rsid w:val="00116143"/>
    <w:rsid w:val="00116160"/>
    <w:rsid w:val="0011637E"/>
    <w:rsid w:val="001164C6"/>
    <w:rsid w:val="001165A1"/>
    <w:rsid w:val="00116839"/>
    <w:rsid w:val="001169EF"/>
    <w:rsid w:val="00116B0C"/>
    <w:rsid w:val="00116B58"/>
    <w:rsid w:val="00116E08"/>
    <w:rsid w:val="00116E37"/>
    <w:rsid w:val="00116FFE"/>
    <w:rsid w:val="0011724E"/>
    <w:rsid w:val="001174FD"/>
    <w:rsid w:val="0011752A"/>
    <w:rsid w:val="001176BD"/>
    <w:rsid w:val="001177EC"/>
    <w:rsid w:val="0011788B"/>
    <w:rsid w:val="00117BDC"/>
    <w:rsid w:val="00117C99"/>
    <w:rsid w:val="00117DB5"/>
    <w:rsid w:val="0012031A"/>
    <w:rsid w:val="00120436"/>
    <w:rsid w:val="001207AD"/>
    <w:rsid w:val="00120A71"/>
    <w:rsid w:val="00120C37"/>
    <w:rsid w:val="00120D30"/>
    <w:rsid w:val="00120E9C"/>
    <w:rsid w:val="00120F65"/>
    <w:rsid w:val="00121072"/>
    <w:rsid w:val="0012127E"/>
    <w:rsid w:val="00121388"/>
    <w:rsid w:val="0012168E"/>
    <w:rsid w:val="00121888"/>
    <w:rsid w:val="0012198C"/>
    <w:rsid w:val="0012198F"/>
    <w:rsid w:val="00121A6F"/>
    <w:rsid w:val="00121AFA"/>
    <w:rsid w:val="00121C62"/>
    <w:rsid w:val="001223CC"/>
    <w:rsid w:val="001224B5"/>
    <w:rsid w:val="001226C0"/>
    <w:rsid w:val="001227C8"/>
    <w:rsid w:val="001228F4"/>
    <w:rsid w:val="00122DEC"/>
    <w:rsid w:val="0012318E"/>
    <w:rsid w:val="001232D9"/>
    <w:rsid w:val="0012332A"/>
    <w:rsid w:val="00123483"/>
    <w:rsid w:val="00123556"/>
    <w:rsid w:val="001239B7"/>
    <w:rsid w:val="00123B29"/>
    <w:rsid w:val="00123CB3"/>
    <w:rsid w:val="00123D85"/>
    <w:rsid w:val="00123D86"/>
    <w:rsid w:val="00123E4E"/>
    <w:rsid w:val="00123EC1"/>
    <w:rsid w:val="001241DA"/>
    <w:rsid w:val="0012425F"/>
    <w:rsid w:val="00124380"/>
    <w:rsid w:val="00124469"/>
    <w:rsid w:val="0012455C"/>
    <w:rsid w:val="00124633"/>
    <w:rsid w:val="00124650"/>
    <w:rsid w:val="0012471D"/>
    <w:rsid w:val="001249C8"/>
    <w:rsid w:val="00124B7C"/>
    <w:rsid w:val="00124DAE"/>
    <w:rsid w:val="00124DB4"/>
    <w:rsid w:val="00124E14"/>
    <w:rsid w:val="00124EF3"/>
    <w:rsid w:val="00124F9F"/>
    <w:rsid w:val="00124FC5"/>
    <w:rsid w:val="00124FF6"/>
    <w:rsid w:val="00125169"/>
    <w:rsid w:val="001251CC"/>
    <w:rsid w:val="0012526D"/>
    <w:rsid w:val="001252C8"/>
    <w:rsid w:val="00125341"/>
    <w:rsid w:val="001254B9"/>
    <w:rsid w:val="0012552F"/>
    <w:rsid w:val="00125727"/>
    <w:rsid w:val="0012578D"/>
    <w:rsid w:val="00125841"/>
    <w:rsid w:val="00125A30"/>
    <w:rsid w:val="00125A7D"/>
    <w:rsid w:val="00125D5D"/>
    <w:rsid w:val="00125E5F"/>
    <w:rsid w:val="00125F67"/>
    <w:rsid w:val="00125F71"/>
    <w:rsid w:val="00125FFA"/>
    <w:rsid w:val="0012600D"/>
    <w:rsid w:val="001260DD"/>
    <w:rsid w:val="00126147"/>
    <w:rsid w:val="00126354"/>
    <w:rsid w:val="00126786"/>
    <w:rsid w:val="00126A46"/>
    <w:rsid w:val="00126A9B"/>
    <w:rsid w:val="00126ABF"/>
    <w:rsid w:val="00126D45"/>
    <w:rsid w:val="00126D9B"/>
    <w:rsid w:val="001272F9"/>
    <w:rsid w:val="0012735D"/>
    <w:rsid w:val="00127453"/>
    <w:rsid w:val="00127542"/>
    <w:rsid w:val="00127BF3"/>
    <w:rsid w:val="00127E2D"/>
    <w:rsid w:val="00127F2B"/>
    <w:rsid w:val="001300FF"/>
    <w:rsid w:val="0013013C"/>
    <w:rsid w:val="0013023D"/>
    <w:rsid w:val="0013033D"/>
    <w:rsid w:val="00130379"/>
    <w:rsid w:val="00130AEB"/>
    <w:rsid w:val="00130B1D"/>
    <w:rsid w:val="00130B69"/>
    <w:rsid w:val="00130BBC"/>
    <w:rsid w:val="00130DF0"/>
    <w:rsid w:val="00130EF9"/>
    <w:rsid w:val="00130FCC"/>
    <w:rsid w:val="00131319"/>
    <w:rsid w:val="00131512"/>
    <w:rsid w:val="0013177D"/>
    <w:rsid w:val="00131976"/>
    <w:rsid w:val="00131F5F"/>
    <w:rsid w:val="00132304"/>
    <w:rsid w:val="001323E3"/>
    <w:rsid w:val="0013251E"/>
    <w:rsid w:val="00132593"/>
    <w:rsid w:val="0013285F"/>
    <w:rsid w:val="001329E6"/>
    <w:rsid w:val="00132E8E"/>
    <w:rsid w:val="00132F72"/>
    <w:rsid w:val="0013314C"/>
    <w:rsid w:val="00133169"/>
    <w:rsid w:val="001331C9"/>
    <w:rsid w:val="001333E3"/>
    <w:rsid w:val="001333F8"/>
    <w:rsid w:val="00133548"/>
    <w:rsid w:val="00133569"/>
    <w:rsid w:val="00133761"/>
    <w:rsid w:val="001337FB"/>
    <w:rsid w:val="00133844"/>
    <w:rsid w:val="001338A4"/>
    <w:rsid w:val="00133A45"/>
    <w:rsid w:val="00133CAE"/>
    <w:rsid w:val="00133D83"/>
    <w:rsid w:val="00133E11"/>
    <w:rsid w:val="001341BB"/>
    <w:rsid w:val="00134213"/>
    <w:rsid w:val="001342E0"/>
    <w:rsid w:val="00134523"/>
    <w:rsid w:val="00134597"/>
    <w:rsid w:val="001345A0"/>
    <w:rsid w:val="001345CF"/>
    <w:rsid w:val="001345EF"/>
    <w:rsid w:val="00134649"/>
    <w:rsid w:val="00134746"/>
    <w:rsid w:val="001348D2"/>
    <w:rsid w:val="00134948"/>
    <w:rsid w:val="00134968"/>
    <w:rsid w:val="00134A23"/>
    <w:rsid w:val="00134D48"/>
    <w:rsid w:val="00134D78"/>
    <w:rsid w:val="00135094"/>
    <w:rsid w:val="00135606"/>
    <w:rsid w:val="0013579C"/>
    <w:rsid w:val="001357D7"/>
    <w:rsid w:val="00135A72"/>
    <w:rsid w:val="00135ADE"/>
    <w:rsid w:val="00135C15"/>
    <w:rsid w:val="00135CAB"/>
    <w:rsid w:val="00135EF1"/>
    <w:rsid w:val="00135F05"/>
    <w:rsid w:val="00136057"/>
    <w:rsid w:val="001361A8"/>
    <w:rsid w:val="0013636B"/>
    <w:rsid w:val="00136667"/>
    <w:rsid w:val="001366E2"/>
    <w:rsid w:val="00136904"/>
    <w:rsid w:val="00136905"/>
    <w:rsid w:val="00136BD2"/>
    <w:rsid w:val="00136CA9"/>
    <w:rsid w:val="00136DDD"/>
    <w:rsid w:val="00136E54"/>
    <w:rsid w:val="00136E7C"/>
    <w:rsid w:val="00136F3A"/>
    <w:rsid w:val="00137036"/>
    <w:rsid w:val="001371C0"/>
    <w:rsid w:val="001371E8"/>
    <w:rsid w:val="001371FE"/>
    <w:rsid w:val="00137221"/>
    <w:rsid w:val="0013744F"/>
    <w:rsid w:val="001374DF"/>
    <w:rsid w:val="00137566"/>
    <w:rsid w:val="00137758"/>
    <w:rsid w:val="00137850"/>
    <w:rsid w:val="0013796F"/>
    <w:rsid w:val="00137DC0"/>
    <w:rsid w:val="00137E60"/>
    <w:rsid w:val="00137ECB"/>
    <w:rsid w:val="00140070"/>
    <w:rsid w:val="001400C7"/>
    <w:rsid w:val="001402B5"/>
    <w:rsid w:val="00140537"/>
    <w:rsid w:val="00140871"/>
    <w:rsid w:val="00140B30"/>
    <w:rsid w:val="00140C5B"/>
    <w:rsid w:val="00140D4A"/>
    <w:rsid w:val="00141043"/>
    <w:rsid w:val="00141122"/>
    <w:rsid w:val="00141174"/>
    <w:rsid w:val="001411DA"/>
    <w:rsid w:val="0014121F"/>
    <w:rsid w:val="00141769"/>
    <w:rsid w:val="001417B2"/>
    <w:rsid w:val="001417F0"/>
    <w:rsid w:val="001419B2"/>
    <w:rsid w:val="00141E85"/>
    <w:rsid w:val="0014215E"/>
    <w:rsid w:val="001422ED"/>
    <w:rsid w:val="00142398"/>
    <w:rsid w:val="001426B1"/>
    <w:rsid w:val="001427A2"/>
    <w:rsid w:val="001428A5"/>
    <w:rsid w:val="001428F8"/>
    <w:rsid w:val="001429C9"/>
    <w:rsid w:val="00142A77"/>
    <w:rsid w:val="00142B10"/>
    <w:rsid w:val="00142B96"/>
    <w:rsid w:val="00142BD8"/>
    <w:rsid w:val="00142CC5"/>
    <w:rsid w:val="00142D4A"/>
    <w:rsid w:val="00142EAA"/>
    <w:rsid w:val="00142EC6"/>
    <w:rsid w:val="00142FCC"/>
    <w:rsid w:val="00143280"/>
    <w:rsid w:val="00143352"/>
    <w:rsid w:val="00143600"/>
    <w:rsid w:val="0014366A"/>
    <w:rsid w:val="001436CB"/>
    <w:rsid w:val="001438AD"/>
    <w:rsid w:val="00143B6D"/>
    <w:rsid w:val="00143B7C"/>
    <w:rsid w:val="00143DB0"/>
    <w:rsid w:val="00143E42"/>
    <w:rsid w:val="00143FEC"/>
    <w:rsid w:val="00144126"/>
    <w:rsid w:val="001443A1"/>
    <w:rsid w:val="001443BB"/>
    <w:rsid w:val="00144442"/>
    <w:rsid w:val="001445C1"/>
    <w:rsid w:val="001446E0"/>
    <w:rsid w:val="001447A4"/>
    <w:rsid w:val="001448CA"/>
    <w:rsid w:val="0014494A"/>
    <w:rsid w:val="001449AF"/>
    <w:rsid w:val="00144AEC"/>
    <w:rsid w:val="00144D45"/>
    <w:rsid w:val="00144D78"/>
    <w:rsid w:val="00144EE1"/>
    <w:rsid w:val="00144F38"/>
    <w:rsid w:val="00144FDA"/>
    <w:rsid w:val="001453D4"/>
    <w:rsid w:val="0014550D"/>
    <w:rsid w:val="001456DA"/>
    <w:rsid w:val="0014590D"/>
    <w:rsid w:val="0014599B"/>
    <w:rsid w:val="001459B5"/>
    <w:rsid w:val="00145B1C"/>
    <w:rsid w:val="00145B6C"/>
    <w:rsid w:val="00145E68"/>
    <w:rsid w:val="00145EEB"/>
    <w:rsid w:val="00145EF3"/>
    <w:rsid w:val="0014609F"/>
    <w:rsid w:val="001464C2"/>
    <w:rsid w:val="00146560"/>
    <w:rsid w:val="00146756"/>
    <w:rsid w:val="0014686F"/>
    <w:rsid w:val="00146AE7"/>
    <w:rsid w:val="00146D8F"/>
    <w:rsid w:val="00147532"/>
    <w:rsid w:val="00147572"/>
    <w:rsid w:val="0014763B"/>
    <w:rsid w:val="00147679"/>
    <w:rsid w:val="0014776C"/>
    <w:rsid w:val="00147835"/>
    <w:rsid w:val="00147BA3"/>
    <w:rsid w:val="00147CCB"/>
    <w:rsid w:val="00147D38"/>
    <w:rsid w:val="00147EEC"/>
    <w:rsid w:val="0015002E"/>
    <w:rsid w:val="00150166"/>
    <w:rsid w:val="0015034B"/>
    <w:rsid w:val="00150377"/>
    <w:rsid w:val="001503BC"/>
    <w:rsid w:val="001503DD"/>
    <w:rsid w:val="00150430"/>
    <w:rsid w:val="0015049C"/>
    <w:rsid w:val="001504C7"/>
    <w:rsid w:val="00150620"/>
    <w:rsid w:val="00150675"/>
    <w:rsid w:val="001506FA"/>
    <w:rsid w:val="00150756"/>
    <w:rsid w:val="001507C3"/>
    <w:rsid w:val="001508E5"/>
    <w:rsid w:val="00150A18"/>
    <w:rsid w:val="00150ADD"/>
    <w:rsid w:val="00150CD4"/>
    <w:rsid w:val="00150D69"/>
    <w:rsid w:val="00150EF2"/>
    <w:rsid w:val="00150EF5"/>
    <w:rsid w:val="00150FF7"/>
    <w:rsid w:val="0015112D"/>
    <w:rsid w:val="001512B4"/>
    <w:rsid w:val="001512CD"/>
    <w:rsid w:val="00151433"/>
    <w:rsid w:val="00151494"/>
    <w:rsid w:val="0015167F"/>
    <w:rsid w:val="001517F4"/>
    <w:rsid w:val="00151A0C"/>
    <w:rsid w:val="00151B05"/>
    <w:rsid w:val="00151FE9"/>
    <w:rsid w:val="00152038"/>
    <w:rsid w:val="0015211A"/>
    <w:rsid w:val="00152140"/>
    <w:rsid w:val="00152330"/>
    <w:rsid w:val="00152801"/>
    <w:rsid w:val="0015285D"/>
    <w:rsid w:val="0015286E"/>
    <w:rsid w:val="001528B9"/>
    <w:rsid w:val="0015293E"/>
    <w:rsid w:val="0015294C"/>
    <w:rsid w:val="00152A67"/>
    <w:rsid w:val="001530FE"/>
    <w:rsid w:val="001532E5"/>
    <w:rsid w:val="0015341E"/>
    <w:rsid w:val="001534E3"/>
    <w:rsid w:val="001536A1"/>
    <w:rsid w:val="0015370F"/>
    <w:rsid w:val="0015378C"/>
    <w:rsid w:val="001539B4"/>
    <w:rsid w:val="00153CBE"/>
    <w:rsid w:val="00153CD9"/>
    <w:rsid w:val="00153D1D"/>
    <w:rsid w:val="00153F2D"/>
    <w:rsid w:val="00153F92"/>
    <w:rsid w:val="00154142"/>
    <w:rsid w:val="0015442C"/>
    <w:rsid w:val="00154BF8"/>
    <w:rsid w:val="00154DB4"/>
    <w:rsid w:val="00154DC5"/>
    <w:rsid w:val="00154E96"/>
    <w:rsid w:val="00154F87"/>
    <w:rsid w:val="00155097"/>
    <w:rsid w:val="001550FA"/>
    <w:rsid w:val="001553E6"/>
    <w:rsid w:val="0015548F"/>
    <w:rsid w:val="001556CB"/>
    <w:rsid w:val="00155747"/>
    <w:rsid w:val="00155757"/>
    <w:rsid w:val="00155765"/>
    <w:rsid w:val="001557A6"/>
    <w:rsid w:val="00155D67"/>
    <w:rsid w:val="00155D83"/>
    <w:rsid w:val="001560A0"/>
    <w:rsid w:val="00156365"/>
    <w:rsid w:val="0015642E"/>
    <w:rsid w:val="00156620"/>
    <w:rsid w:val="00156720"/>
    <w:rsid w:val="00156849"/>
    <w:rsid w:val="00156994"/>
    <w:rsid w:val="00156B00"/>
    <w:rsid w:val="00156E93"/>
    <w:rsid w:val="00156F77"/>
    <w:rsid w:val="00156FA6"/>
    <w:rsid w:val="001570FC"/>
    <w:rsid w:val="001572D3"/>
    <w:rsid w:val="0015731E"/>
    <w:rsid w:val="00157525"/>
    <w:rsid w:val="00157662"/>
    <w:rsid w:val="0015768B"/>
    <w:rsid w:val="001578C6"/>
    <w:rsid w:val="00157A52"/>
    <w:rsid w:val="00157C07"/>
    <w:rsid w:val="00157D7D"/>
    <w:rsid w:val="00157EA2"/>
    <w:rsid w:val="00157EC9"/>
    <w:rsid w:val="00157F68"/>
    <w:rsid w:val="00157FC9"/>
    <w:rsid w:val="0016017D"/>
    <w:rsid w:val="00160677"/>
    <w:rsid w:val="0016067D"/>
    <w:rsid w:val="0016069E"/>
    <w:rsid w:val="0016084D"/>
    <w:rsid w:val="001608D3"/>
    <w:rsid w:val="00160C25"/>
    <w:rsid w:val="00160CD1"/>
    <w:rsid w:val="00160E52"/>
    <w:rsid w:val="00161243"/>
    <w:rsid w:val="0016129B"/>
    <w:rsid w:val="0016147F"/>
    <w:rsid w:val="0016157E"/>
    <w:rsid w:val="001617EF"/>
    <w:rsid w:val="00161832"/>
    <w:rsid w:val="001618FB"/>
    <w:rsid w:val="001619C3"/>
    <w:rsid w:val="00161B58"/>
    <w:rsid w:val="00161DFE"/>
    <w:rsid w:val="00161F19"/>
    <w:rsid w:val="001621A7"/>
    <w:rsid w:val="00162240"/>
    <w:rsid w:val="001625B5"/>
    <w:rsid w:val="001626DA"/>
    <w:rsid w:val="001626DD"/>
    <w:rsid w:val="00162C17"/>
    <w:rsid w:val="00162D37"/>
    <w:rsid w:val="00162DE1"/>
    <w:rsid w:val="00162F4E"/>
    <w:rsid w:val="0016307A"/>
    <w:rsid w:val="0016307F"/>
    <w:rsid w:val="001630D2"/>
    <w:rsid w:val="001631B8"/>
    <w:rsid w:val="0016327D"/>
    <w:rsid w:val="00163308"/>
    <w:rsid w:val="001634F5"/>
    <w:rsid w:val="001635F9"/>
    <w:rsid w:val="001636A5"/>
    <w:rsid w:val="0016372B"/>
    <w:rsid w:val="00163937"/>
    <w:rsid w:val="0016393E"/>
    <w:rsid w:val="00163C5F"/>
    <w:rsid w:val="00163C71"/>
    <w:rsid w:val="00163D88"/>
    <w:rsid w:val="00163D8F"/>
    <w:rsid w:val="00163E47"/>
    <w:rsid w:val="00163E7E"/>
    <w:rsid w:val="00163F31"/>
    <w:rsid w:val="0016406C"/>
    <w:rsid w:val="001640D1"/>
    <w:rsid w:val="001642AD"/>
    <w:rsid w:val="0016434B"/>
    <w:rsid w:val="0016442C"/>
    <w:rsid w:val="0016493D"/>
    <w:rsid w:val="00164B8B"/>
    <w:rsid w:val="00164BA4"/>
    <w:rsid w:val="00164C75"/>
    <w:rsid w:val="00164CEC"/>
    <w:rsid w:val="00164F3B"/>
    <w:rsid w:val="00164F8F"/>
    <w:rsid w:val="00165047"/>
    <w:rsid w:val="001650E7"/>
    <w:rsid w:val="00165358"/>
    <w:rsid w:val="00165494"/>
    <w:rsid w:val="001656EB"/>
    <w:rsid w:val="00165790"/>
    <w:rsid w:val="00165849"/>
    <w:rsid w:val="00165880"/>
    <w:rsid w:val="00165903"/>
    <w:rsid w:val="00165934"/>
    <w:rsid w:val="0016596A"/>
    <w:rsid w:val="00165B6B"/>
    <w:rsid w:val="00165C39"/>
    <w:rsid w:val="00165F28"/>
    <w:rsid w:val="00165FB8"/>
    <w:rsid w:val="00166079"/>
    <w:rsid w:val="00166107"/>
    <w:rsid w:val="0016618E"/>
    <w:rsid w:val="0016636C"/>
    <w:rsid w:val="001663F2"/>
    <w:rsid w:val="001666D3"/>
    <w:rsid w:val="001667B4"/>
    <w:rsid w:val="001667B7"/>
    <w:rsid w:val="00166A0A"/>
    <w:rsid w:val="00166C72"/>
    <w:rsid w:val="00166ED5"/>
    <w:rsid w:val="00166EE7"/>
    <w:rsid w:val="00166FC4"/>
    <w:rsid w:val="00167001"/>
    <w:rsid w:val="001670D9"/>
    <w:rsid w:val="001670E4"/>
    <w:rsid w:val="00167110"/>
    <w:rsid w:val="0016719A"/>
    <w:rsid w:val="001674EF"/>
    <w:rsid w:val="0016765D"/>
    <w:rsid w:val="0016796E"/>
    <w:rsid w:val="001679BB"/>
    <w:rsid w:val="00167DAD"/>
    <w:rsid w:val="00167F90"/>
    <w:rsid w:val="0017008E"/>
    <w:rsid w:val="00170108"/>
    <w:rsid w:val="00170116"/>
    <w:rsid w:val="00170122"/>
    <w:rsid w:val="001704C5"/>
    <w:rsid w:val="0017069E"/>
    <w:rsid w:val="001706D9"/>
    <w:rsid w:val="001707B9"/>
    <w:rsid w:val="0017087E"/>
    <w:rsid w:val="001709FF"/>
    <w:rsid w:val="00170A76"/>
    <w:rsid w:val="00170BD2"/>
    <w:rsid w:val="00170E47"/>
    <w:rsid w:val="00170F2A"/>
    <w:rsid w:val="00170F9B"/>
    <w:rsid w:val="0017106C"/>
    <w:rsid w:val="00171077"/>
    <w:rsid w:val="001712BB"/>
    <w:rsid w:val="0017146A"/>
    <w:rsid w:val="001716C3"/>
    <w:rsid w:val="001716FA"/>
    <w:rsid w:val="001719A5"/>
    <w:rsid w:val="00171E85"/>
    <w:rsid w:val="00171F19"/>
    <w:rsid w:val="001720E9"/>
    <w:rsid w:val="0017244A"/>
    <w:rsid w:val="001725D0"/>
    <w:rsid w:val="00172798"/>
    <w:rsid w:val="001727CC"/>
    <w:rsid w:val="0017297A"/>
    <w:rsid w:val="00172A5C"/>
    <w:rsid w:val="00172B0A"/>
    <w:rsid w:val="00172B30"/>
    <w:rsid w:val="00172C09"/>
    <w:rsid w:val="00173081"/>
    <w:rsid w:val="001730CA"/>
    <w:rsid w:val="001731A0"/>
    <w:rsid w:val="001731DE"/>
    <w:rsid w:val="00173358"/>
    <w:rsid w:val="00173585"/>
    <w:rsid w:val="00173646"/>
    <w:rsid w:val="0017393A"/>
    <w:rsid w:val="00173AAC"/>
    <w:rsid w:val="00173E8A"/>
    <w:rsid w:val="00173ED6"/>
    <w:rsid w:val="0017406A"/>
    <w:rsid w:val="001741BE"/>
    <w:rsid w:val="001744F9"/>
    <w:rsid w:val="00174550"/>
    <w:rsid w:val="001747DD"/>
    <w:rsid w:val="00174977"/>
    <w:rsid w:val="00174F37"/>
    <w:rsid w:val="00174FAF"/>
    <w:rsid w:val="001750EB"/>
    <w:rsid w:val="00175314"/>
    <w:rsid w:val="00175414"/>
    <w:rsid w:val="00175444"/>
    <w:rsid w:val="00175490"/>
    <w:rsid w:val="001756C1"/>
    <w:rsid w:val="001757C7"/>
    <w:rsid w:val="001757E2"/>
    <w:rsid w:val="00175888"/>
    <w:rsid w:val="001758BD"/>
    <w:rsid w:val="00175AE5"/>
    <w:rsid w:val="00175D1F"/>
    <w:rsid w:val="00175E29"/>
    <w:rsid w:val="00175EAC"/>
    <w:rsid w:val="00175F68"/>
    <w:rsid w:val="00175FE4"/>
    <w:rsid w:val="00176026"/>
    <w:rsid w:val="001763C3"/>
    <w:rsid w:val="0017644A"/>
    <w:rsid w:val="001765C9"/>
    <w:rsid w:val="00176615"/>
    <w:rsid w:val="00176AA1"/>
    <w:rsid w:val="00176B9D"/>
    <w:rsid w:val="00176C70"/>
    <w:rsid w:val="00176CA7"/>
    <w:rsid w:val="00176CBB"/>
    <w:rsid w:val="00176DCB"/>
    <w:rsid w:val="00176F1C"/>
    <w:rsid w:val="001772F3"/>
    <w:rsid w:val="00177371"/>
    <w:rsid w:val="001773A4"/>
    <w:rsid w:val="001773D8"/>
    <w:rsid w:val="00177533"/>
    <w:rsid w:val="001775CB"/>
    <w:rsid w:val="00177961"/>
    <w:rsid w:val="00177AEE"/>
    <w:rsid w:val="00177CDD"/>
    <w:rsid w:val="00177FB1"/>
    <w:rsid w:val="0018001A"/>
    <w:rsid w:val="00180085"/>
    <w:rsid w:val="001800E0"/>
    <w:rsid w:val="001804BE"/>
    <w:rsid w:val="0018072B"/>
    <w:rsid w:val="0018094D"/>
    <w:rsid w:val="00180996"/>
    <w:rsid w:val="001809FA"/>
    <w:rsid w:val="00180C8E"/>
    <w:rsid w:val="00180C9F"/>
    <w:rsid w:val="00180CA9"/>
    <w:rsid w:val="00180FF4"/>
    <w:rsid w:val="001810C2"/>
    <w:rsid w:val="00181320"/>
    <w:rsid w:val="0018142F"/>
    <w:rsid w:val="00181509"/>
    <w:rsid w:val="00181510"/>
    <w:rsid w:val="001816F9"/>
    <w:rsid w:val="00181827"/>
    <w:rsid w:val="00181A4D"/>
    <w:rsid w:val="00181CEA"/>
    <w:rsid w:val="00181F6C"/>
    <w:rsid w:val="00181F81"/>
    <w:rsid w:val="00182035"/>
    <w:rsid w:val="001820B9"/>
    <w:rsid w:val="001822DA"/>
    <w:rsid w:val="00182453"/>
    <w:rsid w:val="0018248D"/>
    <w:rsid w:val="00182527"/>
    <w:rsid w:val="00182547"/>
    <w:rsid w:val="00182905"/>
    <w:rsid w:val="0018293F"/>
    <w:rsid w:val="00182A48"/>
    <w:rsid w:val="00182BE8"/>
    <w:rsid w:val="00182C45"/>
    <w:rsid w:val="00182FDA"/>
    <w:rsid w:val="00183075"/>
    <w:rsid w:val="00183192"/>
    <w:rsid w:val="001831DE"/>
    <w:rsid w:val="001832E4"/>
    <w:rsid w:val="001833A4"/>
    <w:rsid w:val="001833A6"/>
    <w:rsid w:val="00183631"/>
    <w:rsid w:val="00183695"/>
    <w:rsid w:val="001836FD"/>
    <w:rsid w:val="00183B99"/>
    <w:rsid w:val="00183C86"/>
    <w:rsid w:val="00183D3C"/>
    <w:rsid w:val="00183DA2"/>
    <w:rsid w:val="00183FC7"/>
    <w:rsid w:val="00184018"/>
    <w:rsid w:val="00184031"/>
    <w:rsid w:val="0018406B"/>
    <w:rsid w:val="00184372"/>
    <w:rsid w:val="001846DF"/>
    <w:rsid w:val="001847F1"/>
    <w:rsid w:val="001848D3"/>
    <w:rsid w:val="0018490F"/>
    <w:rsid w:val="001849A2"/>
    <w:rsid w:val="001849B6"/>
    <w:rsid w:val="00184A99"/>
    <w:rsid w:val="00184B45"/>
    <w:rsid w:val="00184B9D"/>
    <w:rsid w:val="00184CB7"/>
    <w:rsid w:val="00184D71"/>
    <w:rsid w:val="00184D7E"/>
    <w:rsid w:val="00185145"/>
    <w:rsid w:val="001852D4"/>
    <w:rsid w:val="00185494"/>
    <w:rsid w:val="001856C0"/>
    <w:rsid w:val="00185707"/>
    <w:rsid w:val="0018581E"/>
    <w:rsid w:val="00185D68"/>
    <w:rsid w:val="00185E1F"/>
    <w:rsid w:val="00185F3B"/>
    <w:rsid w:val="00186186"/>
    <w:rsid w:val="001865DC"/>
    <w:rsid w:val="001866B6"/>
    <w:rsid w:val="0018673C"/>
    <w:rsid w:val="001868E9"/>
    <w:rsid w:val="00186EE4"/>
    <w:rsid w:val="00186F41"/>
    <w:rsid w:val="001873BD"/>
    <w:rsid w:val="00187526"/>
    <w:rsid w:val="00187554"/>
    <w:rsid w:val="001875E1"/>
    <w:rsid w:val="0018779D"/>
    <w:rsid w:val="001878AA"/>
    <w:rsid w:val="00187954"/>
    <w:rsid w:val="00187C5B"/>
    <w:rsid w:val="00187C63"/>
    <w:rsid w:val="00187CFF"/>
    <w:rsid w:val="00187E48"/>
    <w:rsid w:val="00187E8D"/>
    <w:rsid w:val="00187F3B"/>
    <w:rsid w:val="001901E7"/>
    <w:rsid w:val="001902FE"/>
    <w:rsid w:val="001904CF"/>
    <w:rsid w:val="0019054D"/>
    <w:rsid w:val="00190600"/>
    <w:rsid w:val="00190757"/>
    <w:rsid w:val="00190CAD"/>
    <w:rsid w:val="00190CE8"/>
    <w:rsid w:val="00190D5C"/>
    <w:rsid w:val="00190FC5"/>
    <w:rsid w:val="00191093"/>
    <w:rsid w:val="001912BD"/>
    <w:rsid w:val="00191386"/>
    <w:rsid w:val="001914D8"/>
    <w:rsid w:val="001915B8"/>
    <w:rsid w:val="00191671"/>
    <w:rsid w:val="00191AB6"/>
    <w:rsid w:val="00191AC0"/>
    <w:rsid w:val="00191C8C"/>
    <w:rsid w:val="00191CB4"/>
    <w:rsid w:val="00191DA7"/>
    <w:rsid w:val="00191F8C"/>
    <w:rsid w:val="00191FC6"/>
    <w:rsid w:val="00192198"/>
    <w:rsid w:val="00192353"/>
    <w:rsid w:val="001923A6"/>
    <w:rsid w:val="0019246C"/>
    <w:rsid w:val="001924FF"/>
    <w:rsid w:val="001927EA"/>
    <w:rsid w:val="00192865"/>
    <w:rsid w:val="00192978"/>
    <w:rsid w:val="00192B4A"/>
    <w:rsid w:val="00192BF2"/>
    <w:rsid w:val="00192DCF"/>
    <w:rsid w:val="00192E7E"/>
    <w:rsid w:val="00192EC2"/>
    <w:rsid w:val="0019338A"/>
    <w:rsid w:val="00193450"/>
    <w:rsid w:val="001936F2"/>
    <w:rsid w:val="001936F3"/>
    <w:rsid w:val="001937F3"/>
    <w:rsid w:val="00193B69"/>
    <w:rsid w:val="00193C21"/>
    <w:rsid w:val="00193C7D"/>
    <w:rsid w:val="00193DC1"/>
    <w:rsid w:val="00193FB2"/>
    <w:rsid w:val="00194250"/>
    <w:rsid w:val="001942B6"/>
    <w:rsid w:val="0019443E"/>
    <w:rsid w:val="001946FD"/>
    <w:rsid w:val="00194718"/>
    <w:rsid w:val="0019473E"/>
    <w:rsid w:val="0019478E"/>
    <w:rsid w:val="00194C8B"/>
    <w:rsid w:val="00194CB6"/>
    <w:rsid w:val="001951B8"/>
    <w:rsid w:val="0019528D"/>
    <w:rsid w:val="0019547B"/>
    <w:rsid w:val="00195480"/>
    <w:rsid w:val="00195704"/>
    <w:rsid w:val="0019581E"/>
    <w:rsid w:val="001958F8"/>
    <w:rsid w:val="00195995"/>
    <w:rsid w:val="00195A05"/>
    <w:rsid w:val="00195B25"/>
    <w:rsid w:val="00195C53"/>
    <w:rsid w:val="00195E21"/>
    <w:rsid w:val="001960E3"/>
    <w:rsid w:val="00196256"/>
    <w:rsid w:val="0019628F"/>
    <w:rsid w:val="00196506"/>
    <w:rsid w:val="001965D8"/>
    <w:rsid w:val="00196714"/>
    <w:rsid w:val="00196847"/>
    <w:rsid w:val="00196966"/>
    <w:rsid w:val="00196AC9"/>
    <w:rsid w:val="00196D5E"/>
    <w:rsid w:val="00196F43"/>
    <w:rsid w:val="00196F70"/>
    <w:rsid w:val="001970F8"/>
    <w:rsid w:val="001971E4"/>
    <w:rsid w:val="00197320"/>
    <w:rsid w:val="0019750F"/>
    <w:rsid w:val="00197529"/>
    <w:rsid w:val="001976AE"/>
    <w:rsid w:val="001978F8"/>
    <w:rsid w:val="00197A3A"/>
    <w:rsid w:val="00197A4B"/>
    <w:rsid w:val="00197AC6"/>
    <w:rsid w:val="00197BDA"/>
    <w:rsid w:val="00197D91"/>
    <w:rsid w:val="00197E68"/>
    <w:rsid w:val="00197EFE"/>
    <w:rsid w:val="00197F1D"/>
    <w:rsid w:val="00197F3E"/>
    <w:rsid w:val="001A00BA"/>
    <w:rsid w:val="001A0189"/>
    <w:rsid w:val="001A0679"/>
    <w:rsid w:val="001A071B"/>
    <w:rsid w:val="001A07B8"/>
    <w:rsid w:val="001A0BC7"/>
    <w:rsid w:val="001A0E66"/>
    <w:rsid w:val="001A0F3B"/>
    <w:rsid w:val="001A1060"/>
    <w:rsid w:val="001A1292"/>
    <w:rsid w:val="001A13AD"/>
    <w:rsid w:val="001A144C"/>
    <w:rsid w:val="001A1583"/>
    <w:rsid w:val="001A160C"/>
    <w:rsid w:val="001A1639"/>
    <w:rsid w:val="001A1701"/>
    <w:rsid w:val="001A17BF"/>
    <w:rsid w:val="001A17DB"/>
    <w:rsid w:val="001A17EA"/>
    <w:rsid w:val="001A1AB8"/>
    <w:rsid w:val="001A1EBC"/>
    <w:rsid w:val="001A1EFB"/>
    <w:rsid w:val="001A2005"/>
    <w:rsid w:val="001A2182"/>
    <w:rsid w:val="001A23A7"/>
    <w:rsid w:val="001A250A"/>
    <w:rsid w:val="001A25DA"/>
    <w:rsid w:val="001A25E5"/>
    <w:rsid w:val="001A278B"/>
    <w:rsid w:val="001A2902"/>
    <w:rsid w:val="001A2B21"/>
    <w:rsid w:val="001A327F"/>
    <w:rsid w:val="001A34AC"/>
    <w:rsid w:val="001A34BF"/>
    <w:rsid w:val="001A3610"/>
    <w:rsid w:val="001A3690"/>
    <w:rsid w:val="001A3758"/>
    <w:rsid w:val="001A3971"/>
    <w:rsid w:val="001A39D2"/>
    <w:rsid w:val="001A3A2A"/>
    <w:rsid w:val="001A3BF6"/>
    <w:rsid w:val="001A3C0D"/>
    <w:rsid w:val="001A3CC8"/>
    <w:rsid w:val="001A3D20"/>
    <w:rsid w:val="001A3E03"/>
    <w:rsid w:val="001A41A2"/>
    <w:rsid w:val="001A427D"/>
    <w:rsid w:val="001A4292"/>
    <w:rsid w:val="001A4366"/>
    <w:rsid w:val="001A4411"/>
    <w:rsid w:val="001A4449"/>
    <w:rsid w:val="001A457C"/>
    <w:rsid w:val="001A45C8"/>
    <w:rsid w:val="001A4908"/>
    <w:rsid w:val="001A4967"/>
    <w:rsid w:val="001A4A12"/>
    <w:rsid w:val="001A4B73"/>
    <w:rsid w:val="001A4BAC"/>
    <w:rsid w:val="001A5217"/>
    <w:rsid w:val="001A5242"/>
    <w:rsid w:val="001A5473"/>
    <w:rsid w:val="001A5529"/>
    <w:rsid w:val="001A6023"/>
    <w:rsid w:val="001A63DE"/>
    <w:rsid w:val="001A6697"/>
    <w:rsid w:val="001A679A"/>
    <w:rsid w:val="001A6BE8"/>
    <w:rsid w:val="001A6F2C"/>
    <w:rsid w:val="001A7076"/>
    <w:rsid w:val="001A70EB"/>
    <w:rsid w:val="001A7207"/>
    <w:rsid w:val="001A74C6"/>
    <w:rsid w:val="001A75BB"/>
    <w:rsid w:val="001A75E0"/>
    <w:rsid w:val="001A773E"/>
    <w:rsid w:val="001A79B0"/>
    <w:rsid w:val="001A7A03"/>
    <w:rsid w:val="001A7ACD"/>
    <w:rsid w:val="001A7B4D"/>
    <w:rsid w:val="001A7E9F"/>
    <w:rsid w:val="001A7ED5"/>
    <w:rsid w:val="001B0237"/>
    <w:rsid w:val="001B02B5"/>
    <w:rsid w:val="001B04E9"/>
    <w:rsid w:val="001B04FD"/>
    <w:rsid w:val="001B0642"/>
    <w:rsid w:val="001B08BD"/>
    <w:rsid w:val="001B090E"/>
    <w:rsid w:val="001B09D1"/>
    <w:rsid w:val="001B09D2"/>
    <w:rsid w:val="001B0BAC"/>
    <w:rsid w:val="001B0C6A"/>
    <w:rsid w:val="001B0CFC"/>
    <w:rsid w:val="001B0F09"/>
    <w:rsid w:val="001B10B2"/>
    <w:rsid w:val="001B1179"/>
    <w:rsid w:val="001B123F"/>
    <w:rsid w:val="001B136C"/>
    <w:rsid w:val="001B14BF"/>
    <w:rsid w:val="001B1692"/>
    <w:rsid w:val="001B16BA"/>
    <w:rsid w:val="001B16C3"/>
    <w:rsid w:val="001B175E"/>
    <w:rsid w:val="001B177E"/>
    <w:rsid w:val="001B1869"/>
    <w:rsid w:val="001B1F1F"/>
    <w:rsid w:val="001B2116"/>
    <w:rsid w:val="001B2193"/>
    <w:rsid w:val="001B2249"/>
    <w:rsid w:val="001B23BB"/>
    <w:rsid w:val="001B24EA"/>
    <w:rsid w:val="001B2522"/>
    <w:rsid w:val="001B2734"/>
    <w:rsid w:val="001B28E4"/>
    <w:rsid w:val="001B28F2"/>
    <w:rsid w:val="001B29B9"/>
    <w:rsid w:val="001B2A01"/>
    <w:rsid w:val="001B2B8C"/>
    <w:rsid w:val="001B2DE2"/>
    <w:rsid w:val="001B2EDA"/>
    <w:rsid w:val="001B2F1C"/>
    <w:rsid w:val="001B2F3A"/>
    <w:rsid w:val="001B2F53"/>
    <w:rsid w:val="001B3082"/>
    <w:rsid w:val="001B3161"/>
    <w:rsid w:val="001B3194"/>
    <w:rsid w:val="001B31B3"/>
    <w:rsid w:val="001B32BC"/>
    <w:rsid w:val="001B360B"/>
    <w:rsid w:val="001B367F"/>
    <w:rsid w:val="001B3748"/>
    <w:rsid w:val="001B3826"/>
    <w:rsid w:val="001B392B"/>
    <w:rsid w:val="001B3935"/>
    <w:rsid w:val="001B399F"/>
    <w:rsid w:val="001B3A22"/>
    <w:rsid w:val="001B3A76"/>
    <w:rsid w:val="001B3B50"/>
    <w:rsid w:val="001B3BF7"/>
    <w:rsid w:val="001B3F3C"/>
    <w:rsid w:val="001B3FAE"/>
    <w:rsid w:val="001B4004"/>
    <w:rsid w:val="001B41E2"/>
    <w:rsid w:val="001B4330"/>
    <w:rsid w:val="001B43EA"/>
    <w:rsid w:val="001B43EC"/>
    <w:rsid w:val="001B4551"/>
    <w:rsid w:val="001B45CA"/>
    <w:rsid w:val="001B4861"/>
    <w:rsid w:val="001B488C"/>
    <w:rsid w:val="001B4C08"/>
    <w:rsid w:val="001B4D71"/>
    <w:rsid w:val="001B4E89"/>
    <w:rsid w:val="001B4ECB"/>
    <w:rsid w:val="001B50D4"/>
    <w:rsid w:val="001B52D5"/>
    <w:rsid w:val="001B5732"/>
    <w:rsid w:val="001B575B"/>
    <w:rsid w:val="001B5785"/>
    <w:rsid w:val="001B58A1"/>
    <w:rsid w:val="001B5A18"/>
    <w:rsid w:val="001B5A80"/>
    <w:rsid w:val="001B5B02"/>
    <w:rsid w:val="001B5C27"/>
    <w:rsid w:val="001B5DF5"/>
    <w:rsid w:val="001B5E4A"/>
    <w:rsid w:val="001B60A3"/>
    <w:rsid w:val="001B60E9"/>
    <w:rsid w:val="001B625D"/>
    <w:rsid w:val="001B62A3"/>
    <w:rsid w:val="001B62CD"/>
    <w:rsid w:val="001B652C"/>
    <w:rsid w:val="001B655A"/>
    <w:rsid w:val="001B6567"/>
    <w:rsid w:val="001B66B4"/>
    <w:rsid w:val="001B6758"/>
    <w:rsid w:val="001B6938"/>
    <w:rsid w:val="001B6A40"/>
    <w:rsid w:val="001B6AA8"/>
    <w:rsid w:val="001B6B04"/>
    <w:rsid w:val="001B6EAC"/>
    <w:rsid w:val="001B7075"/>
    <w:rsid w:val="001B7210"/>
    <w:rsid w:val="001B7215"/>
    <w:rsid w:val="001B722C"/>
    <w:rsid w:val="001B72D8"/>
    <w:rsid w:val="001B75D3"/>
    <w:rsid w:val="001B77D5"/>
    <w:rsid w:val="001B7873"/>
    <w:rsid w:val="001B78E5"/>
    <w:rsid w:val="001B78FC"/>
    <w:rsid w:val="001B7910"/>
    <w:rsid w:val="001B792F"/>
    <w:rsid w:val="001B7963"/>
    <w:rsid w:val="001B797E"/>
    <w:rsid w:val="001B7A78"/>
    <w:rsid w:val="001B7B3E"/>
    <w:rsid w:val="001B7CDC"/>
    <w:rsid w:val="001B7EB5"/>
    <w:rsid w:val="001B7F12"/>
    <w:rsid w:val="001C00C2"/>
    <w:rsid w:val="001C014F"/>
    <w:rsid w:val="001C0256"/>
    <w:rsid w:val="001C04B3"/>
    <w:rsid w:val="001C04F3"/>
    <w:rsid w:val="001C059F"/>
    <w:rsid w:val="001C0744"/>
    <w:rsid w:val="001C0891"/>
    <w:rsid w:val="001C0B34"/>
    <w:rsid w:val="001C0BFD"/>
    <w:rsid w:val="001C0D2F"/>
    <w:rsid w:val="001C1306"/>
    <w:rsid w:val="001C141E"/>
    <w:rsid w:val="001C15B7"/>
    <w:rsid w:val="001C1738"/>
    <w:rsid w:val="001C179C"/>
    <w:rsid w:val="001C18BC"/>
    <w:rsid w:val="001C1DAD"/>
    <w:rsid w:val="001C1DC9"/>
    <w:rsid w:val="001C1EE1"/>
    <w:rsid w:val="001C1F7C"/>
    <w:rsid w:val="001C205B"/>
    <w:rsid w:val="001C209C"/>
    <w:rsid w:val="001C2205"/>
    <w:rsid w:val="001C2523"/>
    <w:rsid w:val="001C260A"/>
    <w:rsid w:val="001C26AC"/>
    <w:rsid w:val="001C27B4"/>
    <w:rsid w:val="001C2918"/>
    <w:rsid w:val="001C297D"/>
    <w:rsid w:val="001C2A6E"/>
    <w:rsid w:val="001C2BC4"/>
    <w:rsid w:val="001C2CE8"/>
    <w:rsid w:val="001C2F2F"/>
    <w:rsid w:val="001C2F84"/>
    <w:rsid w:val="001C2FA7"/>
    <w:rsid w:val="001C307C"/>
    <w:rsid w:val="001C3144"/>
    <w:rsid w:val="001C31FC"/>
    <w:rsid w:val="001C3372"/>
    <w:rsid w:val="001C3545"/>
    <w:rsid w:val="001C3A12"/>
    <w:rsid w:val="001C3A1B"/>
    <w:rsid w:val="001C3AFF"/>
    <w:rsid w:val="001C3C3E"/>
    <w:rsid w:val="001C3C94"/>
    <w:rsid w:val="001C417A"/>
    <w:rsid w:val="001C4304"/>
    <w:rsid w:val="001C4405"/>
    <w:rsid w:val="001C4453"/>
    <w:rsid w:val="001C44E1"/>
    <w:rsid w:val="001C451C"/>
    <w:rsid w:val="001C45BE"/>
    <w:rsid w:val="001C4630"/>
    <w:rsid w:val="001C4736"/>
    <w:rsid w:val="001C473E"/>
    <w:rsid w:val="001C4838"/>
    <w:rsid w:val="001C49F3"/>
    <w:rsid w:val="001C4A45"/>
    <w:rsid w:val="001C4B53"/>
    <w:rsid w:val="001C4D6E"/>
    <w:rsid w:val="001C4E78"/>
    <w:rsid w:val="001C50D7"/>
    <w:rsid w:val="001C515A"/>
    <w:rsid w:val="001C5174"/>
    <w:rsid w:val="001C5358"/>
    <w:rsid w:val="001C5433"/>
    <w:rsid w:val="001C54F3"/>
    <w:rsid w:val="001C55F4"/>
    <w:rsid w:val="001C5604"/>
    <w:rsid w:val="001C561F"/>
    <w:rsid w:val="001C5664"/>
    <w:rsid w:val="001C5796"/>
    <w:rsid w:val="001C57EA"/>
    <w:rsid w:val="001C58E9"/>
    <w:rsid w:val="001C5C1E"/>
    <w:rsid w:val="001C6125"/>
    <w:rsid w:val="001C62CE"/>
    <w:rsid w:val="001C62E6"/>
    <w:rsid w:val="001C6528"/>
    <w:rsid w:val="001C65A3"/>
    <w:rsid w:val="001C6986"/>
    <w:rsid w:val="001C6990"/>
    <w:rsid w:val="001C69F1"/>
    <w:rsid w:val="001C6B32"/>
    <w:rsid w:val="001C6BC7"/>
    <w:rsid w:val="001C6DA7"/>
    <w:rsid w:val="001C6F58"/>
    <w:rsid w:val="001C6F8A"/>
    <w:rsid w:val="001C709A"/>
    <w:rsid w:val="001C71ED"/>
    <w:rsid w:val="001C7233"/>
    <w:rsid w:val="001C76D9"/>
    <w:rsid w:val="001C77F8"/>
    <w:rsid w:val="001C77FC"/>
    <w:rsid w:val="001C785B"/>
    <w:rsid w:val="001C78C0"/>
    <w:rsid w:val="001C7908"/>
    <w:rsid w:val="001C7A89"/>
    <w:rsid w:val="001C7E1B"/>
    <w:rsid w:val="001C7E7B"/>
    <w:rsid w:val="001C7EFC"/>
    <w:rsid w:val="001C7F8D"/>
    <w:rsid w:val="001D010F"/>
    <w:rsid w:val="001D01FB"/>
    <w:rsid w:val="001D020B"/>
    <w:rsid w:val="001D0284"/>
    <w:rsid w:val="001D0336"/>
    <w:rsid w:val="001D0380"/>
    <w:rsid w:val="001D0532"/>
    <w:rsid w:val="001D055D"/>
    <w:rsid w:val="001D0599"/>
    <w:rsid w:val="001D070B"/>
    <w:rsid w:val="001D08C5"/>
    <w:rsid w:val="001D09A4"/>
    <w:rsid w:val="001D09C2"/>
    <w:rsid w:val="001D09C7"/>
    <w:rsid w:val="001D0AA1"/>
    <w:rsid w:val="001D0B0B"/>
    <w:rsid w:val="001D0B1E"/>
    <w:rsid w:val="001D0B9F"/>
    <w:rsid w:val="001D0BB3"/>
    <w:rsid w:val="001D0CF7"/>
    <w:rsid w:val="001D0D18"/>
    <w:rsid w:val="001D0DC7"/>
    <w:rsid w:val="001D0E20"/>
    <w:rsid w:val="001D0FE1"/>
    <w:rsid w:val="001D100A"/>
    <w:rsid w:val="001D1090"/>
    <w:rsid w:val="001D11DD"/>
    <w:rsid w:val="001D129B"/>
    <w:rsid w:val="001D1A01"/>
    <w:rsid w:val="001D1B33"/>
    <w:rsid w:val="001D1BE3"/>
    <w:rsid w:val="001D1C26"/>
    <w:rsid w:val="001D1C70"/>
    <w:rsid w:val="001D1E5E"/>
    <w:rsid w:val="001D1EC9"/>
    <w:rsid w:val="001D1EF5"/>
    <w:rsid w:val="001D1FD2"/>
    <w:rsid w:val="001D20D1"/>
    <w:rsid w:val="001D2284"/>
    <w:rsid w:val="001D22E7"/>
    <w:rsid w:val="001D232B"/>
    <w:rsid w:val="001D2375"/>
    <w:rsid w:val="001D24BC"/>
    <w:rsid w:val="001D2682"/>
    <w:rsid w:val="001D2686"/>
    <w:rsid w:val="001D2999"/>
    <w:rsid w:val="001D2B38"/>
    <w:rsid w:val="001D2B97"/>
    <w:rsid w:val="001D2DDD"/>
    <w:rsid w:val="001D2E8D"/>
    <w:rsid w:val="001D2F99"/>
    <w:rsid w:val="001D2FB1"/>
    <w:rsid w:val="001D2FB7"/>
    <w:rsid w:val="001D3009"/>
    <w:rsid w:val="001D30BE"/>
    <w:rsid w:val="001D3115"/>
    <w:rsid w:val="001D31E8"/>
    <w:rsid w:val="001D3705"/>
    <w:rsid w:val="001D38B1"/>
    <w:rsid w:val="001D399D"/>
    <w:rsid w:val="001D3A64"/>
    <w:rsid w:val="001D3ACE"/>
    <w:rsid w:val="001D3B3D"/>
    <w:rsid w:val="001D3B41"/>
    <w:rsid w:val="001D3D71"/>
    <w:rsid w:val="001D3DBA"/>
    <w:rsid w:val="001D3E62"/>
    <w:rsid w:val="001D3FB1"/>
    <w:rsid w:val="001D4024"/>
    <w:rsid w:val="001D424C"/>
    <w:rsid w:val="001D4370"/>
    <w:rsid w:val="001D4379"/>
    <w:rsid w:val="001D43D1"/>
    <w:rsid w:val="001D44C9"/>
    <w:rsid w:val="001D45CF"/>
    <w:rsid w:val="001D4648"/>
    <w:rsid w:val="001D4684"/>
    <w:rsid w:val="001D485B"/>
    <w:rsid w:val="001D4940"/>
    <w:rsid w:val="001D4C41"/>
    <w:rsid w:val="001D4CCA"/>
    <w:rsid w:val="001D4D55"/>
    <w:rsid w:val="001D4D9B"/>
    <w:rsid w:val="001D4EA4"/>
    <w:rsid w:val="001D4F29"/>
    <w:rsid w:val="001D4F5E"/>
    <w:rsid w:val="001D5093"/>
    <w:rsid w:val="001D52DA"/>
    <w:rsid w:val="001D5663"/>
    <w:rsid w:val="001D570F"/>
    <w:rsid w:val="001D5813"/>
    <w:rsid w:val="001D5C2B"/>
    <w:rsid w:val="001D6049"/>
    <w:rsid w:val="001D60A9"/>
    <w:rsid w:val="001D631E"/>
    <w:rsid w:val="001D69EC"/>
    <w:rsid w:val="001D6BAE"/>
    <w:rsid w:val="001D6BE9"/>
    <w:rsid w:val="001D7184"/>
    <w:rsid w:val="001D728D"/>
    <w:rsid w:val="001D72B0"/>
    <w:rsid w:val="001D72B4"/>
    <w:rsid w:val="001D73CC"/>
    <w:rsid w:val="001D73F3"/>
    <w:rsid w:val="001D7439"/>
    <w:rsid w:val="001D7472"/>
    <w:rsid w:val="001D789F"/>
    <w:rsid w:val="001D78CF"/>
    <w:rsid w:val="001D790F"/>
    <w:rsid w:val="001D795A"/>
    <w:rsid w:val="001D79BE"/>
    <w:rsid w:val="001D7A32"/>
    <w:rsid w:val="001D7B50"/>
    <w:rsid w:val="001D7D34"/>
    <w:rsid w:val="001D7DB4"/>
    <w:rsid w:val="001E01FB"/>
    <w:rsid w:val="001E045D"/>
    <w:rsid w:val="001E052B"/>
    <w:rsid w:val="001E05D0"/>
    <w:rsid w:val="001E06AE"/>
    <w:rsid w:val="001E072C"/>
    <w:rsid w:val="001E0735"/>
    <w:rsid w:val="001E0806"/>
    <w:rsid w:val="001E0B11"/>
    <w:rsid w:val="001E0C47"/>
    <w:rsid w:val="001E0FD4"/>
    <w:rsid w:val="001E1121"/>
    <w:rsid w:val="001E12C7"/>
    <w:rsid w:val="001E1319"/>
    <w:rsid w:val="001E1344"/>
    <w:rsid w:val="001E1459"/>
    <w:rsid w:val="001E16E4"/>
    <w:rsid w:val="001E171B"/>
    <w:rsid w:val="001E1735"/>
    <w:rsid w:val="001E1765"/>
    <w:rsid w:val="001E1869"/>
    <w:rsid w:val="001E1D02"/>
    <w:rsid w:val="001E1E61"/>
    <w:rsid w:val="001E20AB"/>
    <w:rsid w:val="001E20F7"/>
    <w:rsid w:val="001E2150"/>
    <w:rsid w:val="001E2162"/>
    <w:rsid w:val="001E22A7"/>
    <w:rsid w:val="001E22E3"/>
    <w:rsid w:val="001E23DF"/>
    <w:rsid w:val="001E2491"/>
    <w:rsid w:val="001E2603"/>
    <w:rsid w:val="001E27D3"/>
    <w:rsid w:val="001E2ACF"/>
    <w:rsid w:val="001E2B4B"/>
    <w:rsid w:val="001E2B92"/>
    <w:rsid w:val="001E2C4E"/>
    <w:rsid w:val="001E2DC6"/>
    <w:rsid w:val="001E2E0A"/>
    <w:rsid w:val="001E2EBB"/>
    <w:rsid w:val="001E2EDB"/>
    <w:rsid w:val="001E30BC"/>
    <w:rsid w:val="001E317E"/>
    <w:rsid w:val="001E31B4"/>
    <w:rsid w:val="001E33F6"/>
    <w:rsid w:val="001E341F"/>
    <w:rsid w:val="001E36FB"/>
    <w:rsid w:val="001E396C"/>
    <w:rsid w:val="001E39AB"/>
    <w:rsid w:val="001E39DA"/>
    <w:rsid w:val="001E3B1E"/>
    <w:rsid w:val="001E3C2A"/>
    <w:rsid w:val="001E3CB1"/>
    <w:rsid w:val="001E3E17"/>
    <w:rsid w:val="001E3E51"/>
    <w:rsid w:val="001E401E"/>
    <w:rsid w:val="001E4111"/>
    <w:rsid w:val="001E4250"/>
    <w:rsid w:val="001E4296"/>
    <w:rsid w:val="001E42BC"/>
    <w:rsid w:val="001E44F8"/>
    <w:rsid w:val="001E46E0"/>
    <w:rsid w:val="001E49ED"/>
    <w:rsid w:val="001E4A08"/>
    <w:rsid w:val="001E4AC6"/>
    <w:rsid w:val="001E4CBA"/>
    <w:rsid w:val="001E4CD5"/>
    <w:rsid w:val="001E4E7C"/>
    <w:rsid w:val="001E4E9A"/>
    <w:rsid w:val="001E4FF0"/>
    <w:rsid w:val="001E5002"/>
    <w:rsid w:val="001E52E6"/>
    <w:rsid w:val="001E5412"/>
    <w:rsid w:val="001E5552"/>
    <w:rsid w:val="001E58D8"/>
    <w:rsid w:val="001E5A5B"/>
    <w:rsid w:val="001E5BCF"/>
    <w:rsid w:val="001E5F04"/>
    <w:rsid w:val="001E5FA3"/>
    <w:rsid w:val="001E6265"/>
    <w:rsid w:val="001E6281"/>
    <w:rsid w:val="001E63A6"/>
    <w:rsid w:val="001E640B"/>
    <w:rsid w:val="001E6523"/>
    <w:rsid w:val="001E6630"/>
    <w:rsid w:val="001E663C"/>
    <w:rsid w:val="001E66A0"/>
    <w:rsid w:val="001E6B4B"/>
    <w:rsid w:val="001E6CA9"/>
    <w:rsid w:val="001E6DEC"/>
    <w:rsid w:val="001E6E62"/>
    <w:rsid w:val="001E7164"/>
    <w:rsid w:val="001E716C"/>
    <w:rsid w:val="001E72CB"/>
    <w:rsid w:val="001E73BC"/>
    <w:rsid w:val="001E743A"/>
    <w:rsid w:val="001E74F3"/>
    <w:rsid w:val="001E75A6"/>
    <w:rsid w:val="001E75D2"/>
    <w:rsid w:val="001E7659"/>
    <w:rsid w:val="001E76E7"/>
    <w:rsid w:val="001E783D"/>
    <w:rsid w:val="001E7883"/>
    <w:rsid w:val="001E7C4A"/>
    <w:rsid w:val="001F005F"/>
    <w:rsid w:val="001F00A8"/>
    <w:rsid w:val="001F0285"/>
    <w:rsid w:val="001F040D"/>
    <w:rsid w:val="001F0B2A"/>
    <w:rsid w:val="001F0D01"/>
    <w:rsid w:val="001F10C4"/>
    <w:rsid w:val="001F12EF"/>
    <w:rsid w:val="001F1403"/>
    <w:rsid w:val="001F141E"/>
    <w:rsid w:val="001F18D9"/>
    <w:rsid w:val="001F1C1C"/>
    <w:rsid w:val="001F1C2E"/>
    <w:rsid w:val="001F1E1A"/>
    <w:rsid w:val="001F1EE9"/>
    <w:rsid w:val="001F1FAF"/>
    <w:rsid w:val="001F21F7"/>
    <w:rsid w:val="001F2282"/>
    <w:rsid w:val="001F2395"/>
    <w:rsid w:val="001F2453"/>
    <w:rsid w:val="001F25F6"/>
    <w:rsid w:val="001F27B6"/>
    <w:rsid w:val="001F2938"/>
    <w:rsid w:val="001F2AD0"/>
    <w:rsid w:val="001F2C1D"/>
    <w:rsid w:val="001F2D25"/>
    <w:rsid w:val="001F2D79"/>
    <w:rsid w:val="001F2D7E"/>
    <w:rsid w:val="001F2DE9"/>
    <w:rsid w:val="001F3097"/>
    <w:rsid w:val="001F30CF"/>
    <w:rsid w:val="001F31FB"/>
    <w:rsid w:val="001F33D6"/>
    <w:rsid w:val="001F35F3"/>
    <w:rsid w:val="001F3601"/>
    <w:rsid w:val="001F36D4"/>
    <w:rsid w:val="001F37D3"/>
    <w:rsid w:val="001F37D6"/>
    <w:rsid w:val="001F381B"/>
    <w:rsid w:val="001F3960"/>
    <w:rsid w:val="001F397A"/>
    <w:rsid w:val="001F3C19"/>
    <w:rsid w:val="001F3CB5"/>
    <w:rsid w:val="001F3D0E"/>
    <w:rsid w:val="001F3F17"/>
    <w:rsid w:val="001F3F76"/>
    <w:rsid w:val="001F3FAD"/>
    <w:rsid w:val="001F3FC9"/>
    <w:rsid w:val="001F40FE"/>
    <w:rsid w:val="001F413E"/>
    <w:rsid w:val="001F417D"/>
    <w:rsid w:val="001F43F1"/>
    <w:rsid w:val="001F4440"/>
    <w:rsid w:val="001F446C"/>
    <w:rsid w:val="001F46D2"/>
    <w:rsid w:val="001F46DC"/>
    <w:rsid w:val="001F473D"/>
    <w:rsid w:val="001F4899"/>
    <w:rsid w:val="001F4949"/>
    <w:rsid w:val="001F4B1C"/>
    <w:rsid w:val="001F50FA"/>
    <w:rsid w:val="001F5413"/>
    <w:rsid w:val="001F5572"/>
    <w:rsid w:val="001F562E"/>
    <w:rsid w:val="001F584B"/>
    <w:rsid w:val="001F586A"/>
    <w:rsid w:val="001F58E6"/>
    <w:rsid w:val="001F5A04"/>
    <w:rsid w:val="001F5BAC"/>
    <w:rsid w:val="001F5F7C"/>
    <w:rsid w:val="001F5FA5"/>
    <w:rsid w:val="001F6191"/>
    <w:rsid w:val="001F6769"/>
    <w:rsid w:val="001F68E5"/>
    <w:rsid w:val="001F699B"/>
    <w:rsid w:val="001F69C7"/>
    <w:rsid w:val="001F6C69"/>
    <w:rsid w:val="001F6CA1"/>
    <w:rsid w:val="001F6CA9"/>
    <w:rsid w:val="001F6CFB"/>
    <w:rsid w:val="001F6EB6"/>
    <w:rsid w:val="001F6F21"/>
    <w:rsid w:val="001F7021"/>
    <w:rsid w:val="001F702C"/>
    <w:rsid w:val="001F7135"/>
    <w:rsid w:val="001F724C"/>
    <w:rsid w:val="001F7341"/>
    <w:rsid w:val="001F74C1"/>
    <w:rsid w:val="001F7622"/>
    <w:rsid w:val="001F7ACF"/>
    <w:rsid w:val="001F7BAD"/>
    <w:rsid w:val="001F7D91"/>
    <w:rsid w:val="001F7F70"/>
    <w:rsid w:val="002000CC"/>
    <w:rsid w:val="00200137"/>
    <w:rsid w:val="00200368"/>
    <w:rsid w:val="002003F5"/>
    <w:rsid w:val="00200612"/>
    <w:rsid w:val="002007E6"/>
    <w:rsid w:val="002008B7"/>
    <w:rsid w:val="002008F1"/>
    <w:rsid w:val="00200E4A"/>
    <w:rsid w:val="002010EB"/>
    <w:rsid w:val="002011E4"/>
    <w:rsid w:val="00201352"/>
    <w:rsid w:val="00201634"/>
    <w:rsid w:val="0020185C"/>
    <w:rsid w:val="002019AC"/>
    <w:rsid w:val="002019C5"/>
    <w:rsid w:val="00201A37"/>
    <w:rsid w:val="00201AD8"/>
    <w:rsid w:val="00201B2E"/>
    <w:rsid w:val="00201B92"/>
    <w:rsid w:val="00201C64"/>
    <w:rsid w:val="00201C82"/>
    <w:rsid w:val="00201D32"/>
    <w:rsid w:val="00201EA5"/>
    <w:rsid w:val="00201EFB"/>
    <w:rsid w:val="0020210F"/>
    <w:rsid w:val="00202171"/>
    <w:rsid w:val="00202676"/>
    <w:rsid w:val="00202703"/>
    <w:rsid w:val="0020295C"/>
    <w:rsid w:val="00202DEC"/>
    <w:rsid w:val="00203004"/>
    <w:rsid w:val="002032EE"/>
    <w:rsid w:val="002034A7"/>
    <w:rsid w:val="0020364D"/>
    <w:rsid w:val="00203858"/>
    <w:rsid w:val="00203A4D"/>
    <w:rsid w:val="00203B14"/>
    <w:rsid w:val="00203C51"/>
    <w:rsid w:val="00203D67"/>
    <w:rsid w:val="002041D3"/>
    <w:rsid w:val="0020439E"/>
    <w:rsid w:val="00204427"/>
    <w:rsid w:val="0020442B"/>
    <w:rsid w:val="0020446D"/>
    <w:rsid w:val="002044C2"/>
    <w:rsid w:val="0020459D"/>
    <w:rsid w:val="00204623"/>
    <w:rsid w:val="00204810"/>
    <w:rsid w:val="0020495D"/>
    <w:rsid w:val="00204DB2"/>
    <w:rsid w:val="002050EE"/>
    <w:rsid w:val="002051C4"/>
    <w:rsid w:val="00205458"/>
    <w:rsid w:val="002054B9"/>
    <w:rsid w:val="002054FC"/>
    <w:rsid w:val="00205513"/>
    <w:rsid w:val="00205624"/>
    <w:rsid w:val="0020587C"/>
    <w:rsid w:val="00205A9A"/>
    <w:rsid w:val="00205A9F"/>
    <w:rsid w:val="00205B11"/>
    <w:rsid w:val="00205CCD"/>
    <w:rsid w:val="00205D19"/>
    <w:rsid w:val="00205DCB"/>
    <w:rsid w:val="00205F4B"/>
    <w:rsid w:val="00205FF4"/>
    <w:rsid w:val="00206014"/>
    <w:rsid w:val="00206083"/>
    <w:rsid w:val="002060E5"/>
    <w:rsid w:val="00206353"/>
    <w:rsid w:val="002065A5"/>
    <w:rsid w:val="00206751"/>
    <w:rsid w:val="00206865"/>
    <w:rsid w:val="00206A0A"/>
    <w:rsid w:val="00206CB1"/>
    <w:rsid w:val="00206D29"/>
    <w:rsid w:val="00206DAA"/>
    <w:rsid w:val="002073D0"/>
    <w:rsid w:val="002073F4"/>
    <w:rsid w:val="002074C3"/>
    <w:rsid w:val="00207A18"/>
    <w:rsid w:val="00207B5C"/>
    <w:rsid w:val="00207C3C"/>
    <w:rsid w:val="00207FC1"/>
    <w:rsid w:val="00210053"/>
    <w:rsid w:val="00210128"/>
    <w:rsid w:val="002102CE"/>
    <w:rsid w:val="00210609"/>
    <w:rsid w:val="00210865"/>
    <w:rsid w:val="00210939"/>
    <w:rsid w:val="00210BD8"/>
    <w:rsid w:val="0021104E"/>
    <w:rsid w:val="002117F2"/>
    <w:rsid w:val="00211A74"/>
    <w:rsid w:val="00211B40"/>
    <w:rsid w:val="00211CF6"/>
    <w:rsid w:val="00211D5B"/>
    <w:rsid w:val="00211D5E"/>
    <w:rsid w:val="002120EF"/>
    <w:rsid w:val="002122CB"/>
    <w:rsid w:val="002124F1"/>
    <w:rsid w:val="002124FC"/>
    <w:rsid w:val="00212539"/>
    <w:rsid w:val="0021259E"/>
    <w:rsid w:val="00212746"/>
    <w:rsid w:val="002127B7"/>
    <w:rsid w:val="002127D3"/>
    <w:rsid w:val="00212A49"/>
    <w:rsid w:val="00212BA7"/>
    <w:rsid w:val="00212C14"/>
    <w:rsid w:val="00212D7D"/>
    <w:rsid w:val="00212EA7"/>
    <w:rsid w:val="00213045"/>
    <w:rsid w:val="00213658"/>
    <w:rsid w:val="00213871"/>
    <w:rsid w:val="00213919"/>
    <w:rsid w:val="002139DD"/>
    <w:rsid w:val="002139E1"/>
    <w:rsid w:val="00213A09"/>
    <w:rsid w:val="00213C80"/>
    <w:rsid w:val="00213DB1"/>
    <w:rsid w:val="00213E61"/>
    <w:rsid w:val="00214228"/>
    <w:rsid w:val="002143FC"/>
    <w:rsid w:val="00214485"/>
    <w:rsid w:val="002144EF"/>
    <w:rsid w:val="00214693"/>
    <w:rsid w:val="002146C9"/>
    <w:rsid w:val="00214795"/>
    <w:rsid w:val="00214867"/>
    <w:rsid w:val="00214897"/>
    <w:rsid w:val="00214AB8"/>
    <w:rsid w:val="00214F8D"/>
    <w:rsid w:val="00215069"/>
    <w:rsid w:val="00215437"/>
    <w:rsid w:val="00215490"/>
    <w:rsid w:val="00215569"/>
    <w:rsid w:val="002155F9"/>
    <w:rsid w:val="00215616"/>
    <w:rsid w:val="0021569D"/>
    <w:rsid w:val="0021573F"/>
    <w:rsid w:val="00215BAC"/>
    <w:rsid w:val="00215C44"/>
    <w:rsid w:val="00215C9E"/>
    <w:rsid w:val="00215CDB"/>
    <w:rsid w:val="00215D83"/>
    <w:rsid w:val="00215FB2"/>
    <w:rsid w:val="00216006"/>
    <w:rsid w:val="0021602E"/>
    <w:rsid w:val="0021619F"/>
    <w:rsid w:val="0021658D"/>
    <w:rsid w:val="002167D4"/>
    <w:rsid w:val="00216D06"/>
    <w:rsid w:val="00216DB2"/>
    <w:rsid w:val="00216E6F"/>
    <w:rsid w:val="00216F04"/>
    <w:rsid w:val="00216F7B"/>
    <w:rsid w:val="00217148"/>
    <w:rsid w:val="002172DF"/>
    <w:rsid w:val="00217468"/>
    <w:rsid w:val="002175B0"/>
    <w:rsid w:val="0021761C"/>
    <w:rsid w:val="002176A9"/>
    <w:rsid w:val="0021770F"/>
    <w:rsid w:val="0021799F"/>
    <w:rsid w:val="002179C9"/>
    <w:rsid w:val="00217D00"/>
    <w:rsid w:val="00217E72"/>
    <w:rsid w:val="00217EAC"/>
    <w:rsid w:val="00217EE2"/>
    <w:rsid w:val="00217FA5"/>
    <w:rsid w:val="00220058"/>
    <w:rsid w:val="00220223"/>
    <w:rsid w:val="0022024D"/>
    <w:rsid w:val="00220386"/>
    <w:rsid w:val="002204D7"/>
    <w:rsid w:val="00220542"/>
    <w:rsid w:val="002205BA"/>
    <w:rsid w:val="002205C8"/>
    <w:rsid w:val="0022065F"/>
    <w:rsid w:val="002206B7"/>
    <w:rsid w:val="00220764"/>
    <w:rsid w:val="00220BE6"/>
    <w:rsid w:val="00220C76"/>
    <w:rsid w:val="00220C8E"/>
    <w:rsid w:val="00220F1A"/>
    <w:rsid w:val="002210FE"/>
    <w:rsid w:val="00221180"/>
    <w:rsid w:val="00221329"/>
    <w:rsid w:val="002215AB"/>
    <w:rsid w:val="00221620"/>
    <w:rsid w:val="00221632"/>
    <w:rsid w:val="00221647"/>
    <w:rsid w:val="00221877"/>
    <w:rsid w:val="00221960"/>
    <w:rsid w:val="00221B7D"/>
    <w:rsid w:val="00221EE1"/>
    <w:rsid w:val="002222A2"/>
    <w:rsid w:val="002225D2"/>
    <w:rsid w:val="00222759"/>
    <w:rsid w:val="0022283E"/>
    <w:rsid w:val="0022286C"/>
    <w:rsid w:val="00222972"/>
    <w:rsid w:val="00222C50"/>
    <w:rsid w:val="00222E8C"/>
    <w:rsid w:val="0022321D"/>
    <w:rsid w:val="00223299"/>
    <w:rsid w:val="00223463"/>
    <w:rsid w:val="00223767"/>
    <w:rsid w:val="0022382C"/>
    <w:rsid w:val="002238E9"/>
    <w:rsid w:val="00223BB2"/>
    <w:rsid w:val="00223BD9"/>
    <w:rsid w:val="00223C6C"/>
    <w:rsid w:val="00223CAB"/>
    <w:rsid w:val="00223E52"/>
    <w:rsid w:val="00223F46"/>
    <w:rsid w:val="00224017"/>
    <w:rsid w:val="00224133"/>
    <w:rsid w:val="002242AF"/>
    <w:rsid w:val="002243C9"/>
    <w:rsid w:val="002245FA"/>
    <w:rsid w:val="00224609"/>
    <w:rsid w:val="00224746"/>
    <w:rsid w:val="0022491F"/>
    <w:rsid w:val="00224A0B"/>
    <w:rsid w:val="00224B93"/>
    <w:rsid w:val="00224C38"/>
    <w:rsid w:val="00224CA1"/>
    <w:rsid w:val="00224D26"/>
    <w:rsid w:val="00224F11"/>
    <w:rsid w:val="00224FA8"/>
    <w:rsid w:val="00225023"/>
    <w:rsid w:val="0022509A"/>
    <w:rsid w:val="002252B7"/>
    <w:rsid w:val="002253E7"/>
    <w:rsid w:val="00225545"/>
    <w:rsid w:val="002255D1"/>
    <w:rsid w:val="002256FC"/>
    <w:rsid w:val="00225AAB"/>
    <w:rsid w:val="00225B53"/>
    <w:rsid w:val="00225B58"/>
    <w:rsid w:val="00225D41"/>
    <w:rsid w:val="00225DB0"/>
    <w:rsid w:val="00225EC4"/>
    <w:rsid w:val="00226051"/>
    <w:rsid w:val="002265A1"/>
    <w:rsid w:val="00226752"/>
    <w:rsid w:val="002267EB"/>
    <w:rsid w:val="00226A27"/>
    <w:rsid w:val="00226A82"/>
    <w:rsid w:val="00226B14"/>
    <w:rsid w:val="00226C56"/>
    <w:rsid w:val="00226D3D"/>
    <w:rsid w:val="00226EBA"/>
    <w:rsid w:val="00226F21"/>
    <w:rsid w:val="002272F8"/>
    <w:rsid w:val="002276E3"/>
    <w:rsid w:val="00227720"/>
    <w:rsid w:val="002278A0"/>
    <w:rsid w:val="002278F9"/>
    <w:rsid w:val="0022791E"/>
    <w:rsid w:val="00227965"/>
    <w:rsid w:val="002279ED"/>
    <w:rsid w:val="00227A06"/>
    <w:rsid w:val="00227F54"/>
    <w:rsid w:val="0023006C"/>
    <w:rsid w:val="002302A4"/>
    <w:rsid w:val="002302E6"/>
    <w:rsid w:val="00230321"/>
    <w:rsid w:val="0023061F"/>
    <w:rsid w:val="00230961"/>
    <w:rsid w:val="00230966"/>
    <w:rsid w:val="00230ACA"/>
    <w:rsid w:val="00230B1B"/>
    <w:rsid w:val="00230C32"/>
    <w:rsid w:val="00230CB5"/>
    <w:rsid w:val="00230DEA"/>
    <w:rsid w:val="00230E88"/>
    <w:rsid w:val="00230E8C"/>
    <w:rsid w:val="00230EDE"/>
    <w:rsid w:val="00230FB0"/>
    <w:rsid w:val="00230FCE"/>
    <w:rsid w:val="0023128B"/>
    <w:rsid w:val="00231403"/>
    <w:rsid w:val="00231771"/>
    <w:rsid w:val="00231E1A"/>
    <w:rsid w:val="00231E59"/>
    <w:rsid w:val="00232125"/>
    <w:rsid w:val="00232267"/>
    <w:rsid w:val="0023229C"/>
    <w:rsid w:val="0023256D"/>
    <w:rsid w:val="002325C4"/>
    <w:rsid w:val="002327A6"/>
    <w:rsid w:val="0023299D"/>
    <w:rsid w:val="002329AC"/>
    <w:rsid w:val="00232C4E"/>
    <w:rsid w:val="00232C5F"/>
    <w:rsid w:val="00232C73"/>
    <w:rsid w:val="00232DFD"/>
    <w:rsid w:val="00233301"/>
    <w:rsid w:val="002333DC"/>
    <w:rsid w:val="0023388D"/>
    <w:rsid w:val="002338B9"/>
    <w:rsid w:val="00233E70"/>
    <w:rsid w:val="00233FFE"/>
    <w:rsid w:val="002340B4"/>
    <w:rsid w:val="00234130"/>
    <w:rsid w:val="002341DC"/>
    <w:rsid w:val="00234245"/>
    <w:rsid w:val="00234274"/>
    <w:rsid w:val="0023443E"/>
    <w:rsid w:val="00234586"/>
    <w:rsid w:val="002345C7"/>
    <w:rsid w:val="002347A5"/>
    <w:rsid w:val="002347D3"/>
    <w:rsid w:val="00234891"/>
    <w:rsid w:val="0023496C"/>
    <w:rsid w:val="00234BD0"/>
    <w:rsid w:val="00234C94"/>
    <w:rsid w:val="00234E8F"/>
    <w:rsid w:val="00234F10"/>
    <w:rsid w:val="00234FFD"/>
    <w:rsid w:val="0023501E"/>
    <w:rsid w:val="00235125"/>
    <w:rsid w:val="00235152"/>
    <w:rsid w:val="00235183"/>
    <w:rsid w:val="002351AA"/>
    <w:rsid w:val="002351C8"/>
    <w:rsid w:val="002351F7"/>
    <w:rsid w:val="00235202"/>
    <w:rsid w:val="002352B4"/>
    <w:rsid w:val="002352F6"/>
    <w:rsid w:val="00235586"/>
    <w:rsid w:val="002357A1"/>
    <w:rsid w:val="002357D9"/>
    <w:rsid w:val="002358D9"/>
    <w:rsid w:val="002359FE"/>
    <w:rsid w:val="00235A0A"/>
    <w:rsid w:val="00235A13"/>
    <w:rsid w:val="00235A61"/>
    <w:rsid w:val="00235A8B"/>
    <w:rsid w:val="00235D98"/>
    <w:rsid w:val="00235F16"/>
    <w:rsid w:val="00236026"/>
    <w:rsid w:val="0023613E"/>
    <w:rsid w:val="002361E7"/>
    <w:rsid w:val="00236344"/>
    <w:rsid w:val="002363A9"/>
    <w:rsid w:val="00236558"/>
    <w:rsid w:val="0023655C"/>
    <w:rsid w:val="00236623"/>
    <w:rsid w:val="00236716"/>
    <w:rsid w:val="00236795"/>
    <w:rsid w:val="0023682D"/>
    <w:rsid w:val="0023714D"/>
    <w:rsid w:val="00237353"/>
    <w:rsid w:val="002376D7"/>
    <w:rsid w:val="002377D4"/>
    <w:rsid w:val="00237813"/>
    <w:rsid w:val="00237862"/>
    <w:rsid w:val="002378FA"/>
    <w:rsid w:val="00237A37"/>
    <w:rsid w:val="00237D95"/>
    <w:rsid w:val="00237F08"/>
    <w:rsid w:val="00237F42"/>
    <w:rsid w:val="0024008B"/>
    <w:rsid w:val="00240559"/>
    <w:rsid w:val="00240749"/>
    <w:rsid w:val="0024089C"/>
    <w:rsid w:val="002408E5"/>
    <w:rsid w:val="00240A07"/>
    <w:rsid w:val="00240AF6"/>
    <w:rsid w:val="00240C86"/>
    <w:rsid w:val="00240CF4"/>
    <w:rsid w:val="00240D99"/>
    <w:rsid w:val="00240E7A"/>
    <w:rsid w:val="00241039"/>
    <w:rsid w:val="00241048"/>
    <w:rsid w:val="002411A4"/>
    <w:rsid w:val="0024123B"/>
    <w:rsid w:val="002412D3"/>
    <w:rsid w:val="00241613"/>
    <w:rsid w:val="00241757"/>
    <w:rsid w:val="002418BF"/>
    <w:rsid w:val="002418EB"/>
    <w:rsid w:val="00241C20"/>
    <w:rsid w:val="00241D66"/>
    <w:rsid w:val="00241D91"/>
    <w:rsid w:val="00241F4D"/>
    <w:rsid w:val="0024207D"/>
    <w:rsid w:val="002420F9"/>
    <w:rsid w:val="002422BF"/>
    <w:rsid w:val="0024266C"/>
    <w:rsid w:val="00242953"/>
    <w:rsid w:val="00242B87"/>
    <w:rsid w:val="00242CFD"/>
    <w:rsid w:val="00242D70"/>
    <w:rsid w:val="0024316E"/>
    <w:rsid w:val="0024320F"/>
    <w:rsid w:val="00243592"/>
    <w:rsid w:val="0024365C"/>
    <w:rsid w:val="0024380C"/>
    <w:rsid w:val="002439D9"/>
    <w:rsid w:val="00243AA1"/>
    <w:rsid w:val="00243AED"/>
    <w:rsid w:val="00243CCB"/>
    <w:rsid w:val="00243DD4"/>
    <w:rsid w:val="00243E58"/>
    <w:rsid w:val="00243E65"/>
    <w:rsid w:val="00243F62"/>
    <w:rsid w:val="00244001"/>
    <w:rsid w:val="00244026"/>
    <w:rsid w:val="00244468"/>
    <w:rsid w:val="002444D3"/>
    <w:rsid w:val="0024457C"/>
    <w:rsid w:val="002446F9"/>
    <w:rsid w:val="00244816"/>
    <w:rsid w:val="00244B61"/>
    <w:rsid w:val="00244DF6"/>
    <w:rsid w:val="00244E44"/>
    <w:rsid w:val="00244E65"/>
    <w:rsid w:val="00244E9A"/>
    <w:rsid w:val="00244FB0"/>
    <w:rsid w:val="00245008"/>
    <w:rsid w:val="002451D1"/>
    <w:rsid w:val="0024524D"/>
    <w:rsid w:val="0024537E"/>
    <w:rsid w:val="00245537"/>
    <w:rsid w:val="002458B8"/>
    <w:rsid w:val="00245D92"/>
    <w:rsid w:val="00245DD8"/>
    <w:rsid w:val="002460D5"/>
    <w:rsid w:val="00246515"/>
    <w:rsid w:val="00246578"/>
    <w:rsid w:val="00246761"/>
    <w:rsid w:val="002468B4"/>
    <w:rsid w:val="00246BC9"/>
    <w:rsid w:val="00246CB7"/>
    <w:rsid w:val="00246DFA"/>
    <w:rsid w:val="00246E7A"/>
    <w:rsid w:val="00246F06"/>
    <w:rsid w:val="00246F37"/>
    <w:rsid w:val="00247233"/>
    <w:rsid w:val="00247317"/>
    <w:rsid w:val="0024731A"/>
    <w:rsid w:val="00247333"/>
    <w:rsid w:val="00247367"/>
    <w:rsid w:val="002473EE"/>
    <w:rsid w:val="00247411"/>
    <w:rsid w:val="00247562"/>
    <w:rsid w:val="0024756D"/>
    <w:rsid w:val="0024768A"/>
    <w:rsid w:val="00247B54"/>
    <w:rsid w:val="00247B71"/>
    <w:rsid w:val="00247B94"/>
    <w:rsid w:val="00247EFF"/>
    <w:rsid w:val="0025001E"/>
    <w:rsid w:val="0025028C"/>
    <w:rsid w:val="002502E8"/>
    <w:rsid w:val="002504FF"/>
    <w:rsid w:val="0025061B"/>
    <w:rsid w:val="002506A6"/>
    <w:rsid w:val="002506B7"/>
    <w:rsid w:val="00250778"/>
    <w:rsid w:val="0025099D"/>
    <w:rsid w:val="00250A76"/>
    <w:rsid w:val="00250CE7"/>
    <w:rsid w:val="00250F5B"/>
    <w:rsid w:val="00250FF4"/>
    <w:rsid w:val="0025119E"/>
    <w:rsid w:val="00251558"/>
    <w:rsid w:val="0025157E"/>
    <w:rsid w:val="00251656"/>
    <w:rsid w:val="00251774"/>
    <w:rsid w:val="002517C7"/>
    <w:rsid w:val="002517F5"/>
    <w:rsid w:val="00251A00"/>
    <w:rsid w:val="00251B5B"/>
    <w:rsid w:val="00251B5F"/>
    <w:rsid w:val="00251C90"/>
    <w:rsid w:val="00251EA1"/>
    <w:rsid w:val="00251EBC"/>
    <w:rsid w:val="00252097"/>
    <w:rsid w:val="002521D3"/>
    <w:rsid w:val="0025227D"/>
    <w:rsid w:val="002522E3"/>
    <w:rsid w:val="002524A7"/>
    <w:rsid w:val="00252615"/>
    <w:rsid w:val="002527D4"/>
    <w:rsid w:val="00252880"/>
    <w:rsid w:val="00252931"/>
    <w:rsid w:val="00252A4B"/>
    <w:rsid w:val="00252BD2"/>
    <w:rsid w:val="00252DD9"/>
    <w:rsid w:val="00252F2A"/>
    <w:rsid w:val="00252FE0"/>
    <w:rsid w:val="002534E3"/>
    <w:rsid w:val="0025351A"/>
    <w:rsid w:val="0025358B"/>
    <w:rsid w:val="002535FA"/>
    <w:rsid w:val="002536AC"/>
    <w:rsid w:val="00253A89"/>
    <w:rsid w:val="00253B89"/>
    <w:rsid w:val="00253CFA"/>
    <w:rsid w:val="00253E0D"/>
    <w:rsid w:val="00253E55"/>
    <w:rsid w:val="00254098"/>
    <w:rsid w:val="00254252"/>
    <w:rsid w:val="00254287"/>
    <w:rsid w:val="0025470A"/>
    <w:rsid w:val="00254739"/>
    <w:rsid w:val="00254D81"/>
    <w:rsid w:val="00254E86"/>
    <w:rsid w:val="002550E7"/>
    <w:rsid w:val="002556B5"/>
    <w:rsid w:val="002556C3"/>
    <w:rsid w:val="00255851"/>
    <w:rsid w:val="00255987"/>
    <w:rsid w:val="002559C3"/>
    <w:rsid w:val="00255AE7"/>
    <w:rsid w:val="00255E3C"/>
    <w:rsid w:val="00255EA7"/>
    <w:rsid w:val="00255F37"/>
    <w:rsid w:val="00256018"/>
    <w:rsid w:val="00256264"/>
    <w:rsid w:val="00256363"/>
    <w:rsid w:val="00256374"/>
    <w:rsid w:val="00256398"/>
    <w:rsid w:val="002564E3"/>
    <w:rsid w:val="002565B7"/>
    <w:rsid w:val="002566B0"/>
    <w:rsid w:val="002568CF"/>
    <w:rsid w:val="00256953"/>
    <w:rsid w:val="00256A07"/>
    <w:rsid w:val="00256A97"/>
    <w:rsid w:val="00256BCC"/>
    <w:rsid w:val="00256C8B"/>
    <w:rsid w:val="00256FC0"/>
    <w:rsid w:val="00256FEF"/>
    <w:rsid w:val="00257017"/>
    <w:rsid w:val="0025706D"/>
    <w:rsid w:val="00257073"/>
    <w:rsid w:val="002570E3"/>
    <w:rsid w:val="00257101"/>
    <w:rsid w:val="00257129"/>
    <w:rsid w:val="00257177"/>
    <w:rsid w:val="00257223"/>
    <w:rsid w:val="002572EF"/>
    <w:rsid w:val="00257312"/>
    <w:rsid w:val="0025741F"/>
    <w:rsid w:val="00257577"/>
    <w:rsid w:val="00257947"/>
    <w:rsid w:val="00257A71"/>
    <w:rsid w:val="00257B13"/>
    <w:rsid w:val="00257C9F"/>
    <w:rsid w:val="00257F5C"/>
    <w:rsid w:val="0026017B"/>
    <w:rsid w:val="00260381"/>
    <w:rsid w:val="0026040F"/>
    <w:rsid w:val="002606A4"/>
    <w:rsid w:val="002609BC"/>
    <w:rsid w:val="00260B1D"/>
    <w:rsid w:val="00260B49"/>
    <w:rsid w:val="00260D83"/>
    <w:rsid w:val="00260DC9"/>
    <w:rsid w:val="00260F3B"/>
    <w:rsid w:val="00260FA1"/>
    <w:rsid w:val="00261359"/>
    <w:rsid w:val="002613B3"/>
    <w:rsid w:val="00261881"/>
    <w:rsid w:val="00261C5F"/>
    <w:rsid w:val="00261D29"/>
    <w:rsid w:val="00261FF4"/>
    <w:rsid w:val="00262031"/>
    <w:rsid w:val="00262088"/>
    <w:rsid w:val="00262214"/>
    <w:rsid w:val="00262405"/>
    <w:rsid w:val="00262475"/>
    <w:rsid w:val="002624C7"/>
    <w:rsid w:val="0026275D"/>
    <w:rsid w:val="0026281B"/>
    <w:rsid w:val="002629B6"/>
    <w:rsid w:val="00262A7B"/>
    <w:rsid w:val="00262DCD"/>
    <w:rsid w:val="002630A4"/>
    <w:rsid w:val="002630CB"/>
    <w:rsid w:val="002632D4"/>
    <w:rsid w:val="00263696"/>
    <w:rsid w:val="0026376D"/>
    <w:rsid w:val="0026381B"/>
    <w:rsid w:val="00263899"/>
    <w:rsid w:val="00263B1C"/>
    <w:rsid w:val="002640FB"/>
    <w:rsid w:val="002641E1"/>
    <w:rsid w:val="002642DB"/>
    <w:rsid w:val="002643F2"/>
    <w:rsid w:val="002644D2"/>
    <w:rsid w:val="00264614"/>
    <w:rsid w:val="002648C9"/>
    <w:rsid w:val="00264B15"/>
    <w:rsid w:val="00264B19"/>
    <w:rsid w:val="00264BAC"/>
    <w:rsid w:val="00264C02"/>
    <w:rsid w:val="00264D24"/>
    <w:rsid w:val="00264D8A"/>
    <w:rsid w:val="00264E84"/>
    <w:rsid w:val="00264F0A"/>
    <w:rsid w:val="00264F36"/>
    <w:rsid w:val="00265024"/>
    <w:rsid w:val="00265441"/>
    <w:rsid w:val="002656F8"/>
    <w:rsid w:val="0026579D"/>
    <w:rsid w:val="00265A23"/>
    <w:rsid w:val="00265C35"/>
    <w:rsid w:val="00265C59"/>
    <w:rsid w:val="00265CB0"/>
    <w:rsid w:val="00265D20"/>
    <w:rsid w:val="00265E12"/>
    <w:rsid w:val="00265E33"/>
    <w:rsid w:val="00265E73"/>
    <w:rsid w:val="00265F43"/>
    <w:rsid w:val="00266231"/>
    <w:rsid w:val="00266234"/>
    <w:rsid w:val="00266246"/>
    <w:rsid w:val="0026628D"/>
    <w:rsid w:val="0026631B"/>
    <w:rsid w:val="00266341"/>
    <w:rsid w:val="00266563"/>
    <w:rsid w:val="00266620"/>
    <w:rsid w:val="002667D5"/>
    <w:rsid w:val="002667F1"/>
    <w:rsid w:val="00266A5A"/>
    <w:rsid w:val="00266A5C"/>
    <w:rsid w:val="00266A8D"/>
    <w:rsid w:val="00266C0E"/>
    <w:rsid w:val="00266E78"/>
    <w:rsid w:val="00267099"/>
    <w:rsid w:val="00267371"/>
    <w:rsid w:val="002673C2"/>
    <w:rsid w:val="0026748A"/>
    <w:rsid w:val="002674B2"/>
    <w:rsid w:val="00267512"/>
    <w:rsid w:val="00267629"/>
    <w:rsid w:val="002676B3"/>
    <w:rsid w:val="00267718"/>
    <w:rsid w:val="00267974"/>
    <w:rsid w:val="00267A39"/>
    <w:rsid w:val="00267A3D"/>
    <w:rsid w:val="00267D90"/>
    <w:rsid w:val="00267DCF"/>
    <w:rsid w:val="00267EE4"/>
    <w:rsid w:val="00267F24"/>
    <w:rsid w:val="00267F36"/>
    <w:rsid w:val="00267F5D"/>
    <w:rsid w:val="00267FD2"/>
    <w:rsid w:val="002703DE"/>
    <w:rsid w:val="002704F5"/>
    <w:rsid w:val="00270543"/>
    <w:rsid w:val="002705EC"/>
    <w:rsid w:val="00270652"/>
    <w:rsid w:val="00270727"/>
    <w:rsid w:val="0027079C"/>
    <w:rsid w:val="002707F7"/>
    <w:rsid w:val="00270932"/>
    <w:rsid w:val="00270E41"/>
    <w:rsid w:val="002710F1"/>
    <w:rsid w:val="00271142"/>
    <w:rsid w:val="002714E6"/>
    <w:rsid w:val="00271647"/>
    <w:rsid w:val="00271742"/>
    <w:rsid w:val="002719B0"/>
    <w:rsid w:val="00271B77"/>
    <w:rsid w:val="00271BD1"/>
    <w:rsid w:val="00271CAD"/>
    <w:rsid w:val="00271CD4"/>
    <w:rsid w:val="00272149"/>
    <w:rsid w:val="0027214A"/>
    <w:rsid w:val="00272269"/>
    <w:rsid w:val="00272370"/>
    <w:rsid w:val="002723F2"/>
    <w:rsid w:val="00272582"/>
    <w:rsid w:val="00272CBA"/>
    <w:rsid w:val="00272CC2"/>
    <w:rsid w:val="00272CF1"/>
    <w:rsid w:val="00272D80"/>
    <w:rsid w:val="00272E21"/>
    <w:rsid w:val="00272F55"/>
    <w:rsid w:val="00273117"/>
    <w:rsid w:val="00273277"/>
    <w:rsid w:val="00273707"/>
    <w:rsid w:val="00273944"/>
    <w:rsid w:val="00274056"/>
    <w:rsid w:val="00274058"/>
    <w:rsid w:val="0027451F"/>
    <w:rsid w:val="0027470B"/>
    <w:rsid w:val="0027474C"/>
    <w:rsid w:val="00274949"/>
    <w:rsid w:val="00274BC8"/>
    <w:rsid w:val="00274D73"/>
    <w:rsid w:val="00274E91"/>
    <w:rsid w:val="00274ED3"/>
    <w:rsid w:val="00274FA9"/>
    <w:rsid w:val="00274FF8"/>
    <w:rsid w:val="002751DB"/>
    <w:rsid w:val="0027523E"/>
    <w:rsid w:val="0027531A"/>
    <w:rsid w:val="0027541D"/>
    <w:rsid w:val="0027561A"/>
    <w:rsid w:val="00275659"/>
    <w:rsid w:val="0027583E"/>
    <w:rsid w:val="00275C9E"/>
    <w:rsid w:val="00275CAA"/>
    <w:rsid w:val="00275CD5"/>
    <w:rsid w:val="00275D08"/>
    <w:rsid w:val="00275E48"/>
    <w:rsid w:val="00275EE5"/>
    <w:rsid w:val="00276049"/>
    <w:rsid w:val="002760DB"/>
    <w:rsid w:val="0027629C"/>
    <w:rsid w:val="002762E3"/>
    <w:rsid w:val="002762EF"/>
    <w:rsid w:val="00276707"/>
    <w:rsid w:val="002769E5"/>
    <w:rsid w:val="00276B8E"/>
    <w:rsid w:val="00276E43"/>
    <w:rsid w:val="00276F56"/>
    <w:rsid w:val="00276FB4"/>
    <w:rsid w:val="00277218"/>
    <w:rsid w:val="002772D0"/>
    <w:rsid w:val="0027730F"/>
    <w:rsid w:val="002774C1"/>
    <w:rsid w:val="002774FE"/>
    <w:rsid w:val="0027762C"/>
    <w:rsid w:val="00277870"/>
    <w:rsid w:val="00277946"/>
    <w:rsid w:val="00277A2E"/>
    <w:rsid w:val="00277A5B"/>
    <w:rsid w:val="00277B41"/>
    <w:rsid w:val="00277BE4"/>
    <w:rsid w:val="00277CB0"/>
    <w:rsid w:val="00277CC0"/>
    <w:rsid w:val="00277D78"/>
    <w:rsid w:val="00277FE8"/>
    <w:rsid w:val="0028025F"/>
    <w:rsid w:val="0028030E"/>
    <w:rsid w:val="0028031B"/>
    <w:rsid w:val="00280549"/>
    <w:rsid w:val="0028067C"/>
    <w:rsid w:val="0028071C"/>
    <w:rsid w:val="0028077E"/>
    <w:rsid w:val="0028085A"/>
    <w:rsid w:val="00280AE7"/>
    <w:rsid w:val="00280B6B"/>
    <w:rsid w:val="00280B75"/>
    <w:rsid w:val="00280CF5"/>
    <w:rsid w:val="00280E1A"/>
    <w:rsid w:val="0028109A"/>
    <w:rsid w:val="002810B2"/>
    <w:rsid w:val="0028110B"/>
    <w:rsid w:val="00281259"/>
    <w:rsid w:val="00281271"/>
    <w:rsid w:val="002812A3"/>
    <w:rsid w:val="002814B9"/>
    <w:rsid w:val="00281666"/>
    <w:rsid w:val="0028167E"/>
    <w:rsid w:val="002816B1"/>
    <w:rsid w:val="00281998"/>
    <w:rsid w:val="00281AED"/>
    <w:rsid w:val="00281CCD"/>
    <w:rsid w:val="00281CD5"/>
    <w:rsid w:val="00281D66"/>
    <w:rsid w:val="00281D79"/>
    <w:rsid w:val="00281E41"/>
    <w:rsid w:val="00282017"/>
    <w:rsid w:val="0028211C"/>
    <w:rsid w:val="0028224A"/>
    <w:rsid w:val="00282396"/>
    <w:rsid w:val="002824B8"/>
    <w:rsid w:val="00282919"/>
    <w:rsid w:val="00282A57"/>
    <w:rsid w:val="00282B17"/>
    <w:rsid w:val="00282B9A"/>
    <w:rsid w:val="00282BBB"/>
    <w:rsid w:val="00282BF2"/>
    <w:rsid w:val="00282F3E"/>
    <w:rsid w:val="00282F50"/>
    <w:rsid w:val="00282F5C"/>
    <w:rsid w:val="0028308C"/>
    <w:rsid w:val="002831D7"/>
    <w:rsid w:val="002831E5"/>
    <w:rsid w:val="002832F4"/>
    <w:rsid w:val="0028338D"/>
    <w:rsid w:val="00283419"/>
    <w:rsid w:val="002834C2"/>
    <w:rsid w:val="002839C7"/>
    <w:rsid w:val="002839F0"/>
    <w:rsid w:val="00283AA8"/>
    <w:rsid w:val="00283BEF"/>
    <w:rsid w:val="00283C0A"/>
    <w:rsid w:val="00283E95"/>
    <w:rsid w:val="002846EB"/>
    <w:rsid w:val="0028488F"/>
    <w:rsid w:val="002848F6"/>
    <w:rsid w:val="002849FA"/>
    <w:rsid w:val="00284A11"/>
    <w:rsid w:val="00284B33"/>
    <w:rsid w:val="00284B8B"/>
    <w:rsid w:val="00284CCA"/>
    <w:rsid w:val="00284F7F"/>
    <w:rsid w:val="00284FD5"/>
    <w:rsid w:val="002853A9"/>
    <w:rsid w:val="00285481"/>
    <w:rsid w:val="002854A4"/>
    <w:rsid w:val="00285599"/>
    <w:rsid w:val="00285804"/>
    <w:rsid w:val="00285B72"/>
    <w:rsid w:val="00285C86"/>
    <w:rsid w:val="00285CC2"/>
    <w:rsid w:val="00285DA3"/>
    <w:rsid w:val="0028618B"/>
    <w:rsid w:val="00286236"/>
    <w:rsid w:val="00286287"/>
    <w:rsid w:val="002862F9"/>
    <w:rsid w:val="002865B1"/>
    <w:rsid w:val="002866B6"/>
    <w:rsid w:val="002866BD"/>
    <w:rsid w:val="00286773"/>
    <w:rsid w:val="00286A03"/>
    <w:rsid w:val="00286A53"/>
    <w:rsid w:val="00286B44"/>
    <w:rsid w:val="00286C73"/>
    <w:rsid w:val="00286CCF"/>
    <w:rsid w:val="00286CD0"/>
    <w:rsid w:val="00286D05"/>
    <w:rsid w:val="00286D69"/>
    <w:rsid w:val="00286DFC"/>
    <w:rsid w:val="00286E24"/>
    <w:rsid w:val="00286E3C"/>
    <w:rsid w:val="00286E9F"/>
    <w:rsid w:val="00287226"/>
    <w:rsid w:val="002872A8"/>
    <w:rsid w:val="00287320"/>
    <w:rsid w:val="00287363"/>
    <w:rsid w:val="00287496"/>
    <w:rsid w:val="00287944"/>
    <w:rsid w:val="00287B0E"/>
    <w:rsid w:val="00287C76"/>
    <w:rsid w:val="00287CFF"/>
    <w:rsid w:val="00287E2F"/>
    <w:rsid w:val="00287F9D"/>
    <w:rsid w:val="00287FDF"/>
    <w:rsid w:val="002900A6"/>
    <w:rsid w:val="002900C3"/>
    <w:rsid w:val="00290205"/>
    <w:rsid w:val="00290230"/>
    <w:rsid w:val="002902D2"/>
    <w:rsid w:val="002903E1"/>
    <w:rsid w:val="00290532"/>
    <w:rsid w:val="002905DC"/>
    <w:rsid w:val="002905E4"/>
    <w:rsid w:val="00290B9B"/>
    <w:rsid w:val="00290C59"/>
    <w:rsid w:val="00290D16"/>
    <w:rsid w:val="002910FD"/>
    <w:rsid w:val="0029111F"/>
    <w:rsid w:val="002912E6"/>
    <w:rsid w:val="002913E7"/>
    <w:rsid w:val="00291451"/>
    <w:rsid w:val="0029156D"/>
    <w:rsid w:val="0029159D"/>
    <w:rsid w:val="002915A7"/>
    <w:rsid w:val="002915FE"/>
    <w:rsid w:val="00291628"/>
    <w:rsid w:val="002917CD"/>
    <w:rsid w:val="00291805"/>
    <w:rsid w:val="00291FF2"/>
    <w:rsid w:val="00292137"/>
    <w:rsid w:val="00292227"/>
    <w:rsid w:val="00292263"/>
    <w:rsid w:val="00292396"/>
    <w:rsid w:val="002923AF"/>
    <w:rsid w:val="00292412"/>
    <w:rsid w:val="002924AB"/>
    <w:rsid w:val="0029254C"/>
    <w:rsid w:val="002926AC"/>
    <w:rsid w:val="002929FE"/>
    <w:rsid w:val="00292B46"/>
    <w:rsid w:val="00292E8B"/>
    <w:rsid w:val="00292F8E"/>
    <w:rsid w:val="002930CE"/>
    <w:rsid w:val="0029314F"/>
    <w:rsid w:val="0029325C"/>
    <w:rsid w:val="0029351A"/>
    <w:rsid w:val="002936E3"/>
    <w:rsid w:val="00293747"/>
    <w:rsid w:val="002937A0"/>
    <w:rsid w:val="002938DA"/>
    <w:rsid w:val="00293AC2"/>
    <w:rsid w:val="00293B8B"/>
    <w:rsid w:val="00293D1B"/>
    <w:rsid w:val="00293D39"/>
    <w:rsid w:val="00293D42"/>
    <w:rsid w:val="00293DF5"/>
    <w:rsid w:val="002941A3"/>
    <w:rsid w:val="0029437D"/>
    <w:rsid w:val="00294469"/>
    <w:rsid w:val="00294736"/>
    <w:rsid w:val="00294877"/>
    <w:rsid w:val="0029499E"/>
    <w:rsid w:val="002949B1"/>
    <w:rsid w:val="00294A01"/>
    <w:rsid w:val="00294B68"/>
    <w:rsid w:val="00294D05"/>
    <w:rsid w:val="00294D44"/>
    <w:rsid w:val="00294E1A"/>
    <w:rsid w:val="00295104"/>
    <w:rsid w:val="0029520E"/>
    <w:rsid w:val="00295536"/>
    <w:rsid w:val="002959F1"/>
    <w:rsid w:val="00295DD9"/>
    <w:rsid w:val="00295FEE"/>
    <w:rsid w:val="00296162"/>
    <w:rsid w:val="002962D0"/>
    <w:rsid w:val="00296553"/>
    <w:rsid w:val="00296571"/>
    <w:rsid w:val="00296738"/>
    <w:rsid w:val="00296B35"/>
    <w:rsid w:val="00296B53"/>
    <w:rsid w:val="00296BFB"/>
    <w:rsid w:val="00296BFF"/>
    <w:rsid w:val="00296DF0"/>
    <w:rsid w:val="00296F5E"/>
    <w:rsid w:val="0029700D"/>
    <w:rsid w:val="0029740B"/>
    <w:rsid w:val="002974E6"/>
    <w:rsid w:val="002975F5"/>
    <w:rsid w:val="00297643"/>
    <w:rsid w:val="00297AB9"/>
    <w:rsid w:val="00297D95"/>
    <w:rsid w:val="002A005B"/>
    <w:rsid w:val="002A006B"/>
    <w:rsid w:val="002A02B2"/>
    <w:rsid w:val="002A089C"/>
    <w:rsid w:val="002A08AC"/>
    <w:rsid w:val="002A091B"/>
    <w:rsid w:val="002A091D"/>
    <w:rsid w:val="002A09B7"/>
    <w:rsid w:val="002A09BD"/>
    <w:rsid w:val="002A0BD1"/>
    <w:rsid w:val="002A0C09"/>
    <w:rsid w:val="002A0D80"/>
    <w:rsid w:val="002A0DAF"/>
    <w:rsid w:val="002A0E5A"/>
    <w:rsid w:val="002A0F55"/>
    <w:rsid w:val="002A106B"/>
    <w:rsid w:val="002A10F9"/>
    <w:rsid w:val="002A13D0"/>
    <w:rsid w:val="002A16AC"/>
    <w:rsid w:val="002A176F"/>
    <w:rsid w:val="002A17F8"/>
    <w:rsid w:val="002A1869"/>
    <w:rsid w:val="002A18EA"/>
    <w:rsid w:val="002A1915"/>
    <w:rsid w:val="002A199A"/>
    <w:rsid w:val="002A19B6"/>
    <w:rsid w:val="002A1A43"/>
    <w:rsid w:val="002A1AC8"/>
    <w:rsid w:val="002A1BBF"/>
    <w:rsid w:val="002A1C35"/>
    <w:rsid w:val="002A1F3E"/>
    <w:rsid w:val="002A1FA9"/>
    <w:rsid w:val="002A22C2"/>
    <w:rsid w:val="002A2307"/>
    <w:rsid w:val="002A26D4"/>
    <w:rsid w:val="002A2709"/>
    <w:rsid w:val="002A27A0"/>
    <w:rsid w:val="002A28B5"/>
    <w:rsid w:val="002A2AC2"/>
    <w:rsid w:val="002A3248"/>
    <w:rsid w:val="002A3472"/>
    <w:rsid w:val="002A34EC"/>
    <w:rsid w:val="002A35F7"/>
    <w:rsid w:val="002A3629"/>
    <w:rsid w:val="002A3673"/>
    <w:rsid w:val="002A3B02"/>
    <w:rsid w:val="002A3C07"/>
    <w:rsid w:val="002A3D79"/>
    <w:rsid w:val="002A3DAD"/>
    <w:rsid w:val="002A3F92"/>
    <w:rsid w:val="002A3FBF"/>
    <w:rsid w:val="002A4145"/>
    <w:rsid w:val="002A41D2"/>
    <w:rsid w:val="002A421A"/>
    <w:rsid w:val="002A4231"/>
    <w:rsid w:val="002A42D7"/>
    <w:rsid w:val="002A438A"/>
    <w:rsid w:val="002A4420"/>
    <w:rsid w:val="002A4443"/>
    <w:rsid w:val="002A456A"/>
    <w:rsid w:val="002A45F3"/>
    <w:rsid w:val="002A4762"/>
    <w:rsid w:val="002A4885"/>
    <w:rsid w:val="002A48CE"/>
    <w:rsid w:val="002A48DE"/>
    <w:rsid w:val="002A491F"/>
    <w:rsid w:val="002A497E"/>
    <w:rsid w:val="002A4A5E"/>
    <w:rsid w:val="002A4C77"/>
    <w:rsid w:val="002A4DE0"/>
    <w:rsid w:val="002A4E86"/>
    <w:rsid w:val="002A528C"/>
    <w:rsid w:val="002A5299"/>
    <w:rsid w:val="002A52BA"/>
    <w:rsid w:val="002A5436"/>
    <w:rsid w:val="002A5482"/>
    <w:rsid w:val="002A5536"/>
    <w:rsid w:val="002A58A3"/>
    <w:rsid w:val="002A5AB6"/>
    <w:rsid w:val="002A5B0B"/>
    <w:rsid w:val="002A5B6D"/>
    <w:rsid w:val="002A5CA8"/>
    <w:rsid w:val="002A5D0A"/>
    <w:rsid w:val="002A5D66"/>
    <w:rsid w:val="002A5DD1"/>
    <w:rsid w:val="002A5EDA"/>
    <w:rsid w:val="002A5FE2"/>
    <w:rsid w:val="002A60AD"/>
    <w:rsid w:val="002A611D"/>
    <w:rsid w:val="002A62C3"/>
    <w:rsid w:val="002A6306"/>
    <w:rsid w:val="002A6462"/>
    <w:rsid w:val="002A6491"/>
    <w:rsid w:val="002A65C4"/>
    <w:rsid w:val="002A6601"/>
    <w:rsid w:val="002A6ABA"/>
    <w:rsid w:val="002A6CD5"/>
    <w:rsid w:val="002A6DAE"/>
    <w:rsid w:val="002A6E20"/>
    <w:rsid w:val="002A6EBE"/>
    <w:rsid w:val="002A6F89"/>
    <w:rsid w:val="002A7060"/>
    <w:rsid w:val="002A7075"/>
    <w:rsid w:val="002A72D6"/>
    <w:rsid w:val="002A73B7"/>
    <w:rsid w:val="002A7614"/>
    <w:rsid w:val="002A7814"/>
    <w:rsid w:val="002A7826"/>
    <w:rsid w:val="002A79C6"/>
    <w:rsid w:val="002A7D66"/>
    <w:rsid w:val="002A7D83"/>
    <w:rsid w:val="002A7DAD"/>
    <w:rsid w:val="002A7E0B"/>
    <w:rsid w:val="002A7E41"/>
    <w:rsid w:val="002A7EC4"/>
    <w:rsid w:val="002A7EEB"/>
    <w:rsid w:val="002A7F93"/>
    <w:rsid w:val="002B01AE"/>
    <w:rsid w:val="002B02F6"/>
    <w:rsid w:val="002B0381"/>
    <w:rsid w:val="002B0437"/>
    <w:rsid w:val="002B0765"/>
    <w:rsid w:val="002B0952"/>
    <w:rsid w:val="002B099C"/>
    <w:rsid w:val="002B1055"/>
    <w:rsid w:val="002B11B3"/>
    <w:rsid w:val="002B15AE"/>
    <w:rsid w:val="002B1659"/>
    <w:rsid w:val="002B1848"/>
    <w:rsid w:val="002B1937"/>
    <w:rsid w:val="002B1962"/>
    <w:rsid w:val="002B19F5"/>
    <w:rsid w:val="002B1A12"/>
    <w:rsid w:val="002B1A60"/>
    <w:rsid w:val="002B1C70"/>
    <w:rsid w:val="002B1CA4"/>
    <w:rsid w:val="002B1F61"/>
    <w:rsid w:val="002B1FBD"/>
    <w:rsid w:val="002B21D1"/>
    <w:rsid w:val="002B22C9"/>
    <w:rsid w:val="002B22E6"/>
    <w:rsid w:val="002B2341"/>
    <w:rsid w:val="002B25FE"/>
    <w:rsid w:val="002B27F5"/>
    <w:rsid w:val="002B2A70"/>
    <w:rsid w:val="002B2CA2"/>
    <w:rsid w:val="002B2F9A"/>
    <w:rsid w:val="002B319C"/>
    <w:rsid w:val="002B33C8"/>
    <w:rsid w:val="002B34DA"/>
    <w:rsid w:val="002B381C"/>
    <w:rsid w:val="002B3A85"/>
    <w:rsid w:val="002B3CF9"/>
    <w:rsid w:val="002B3DB2"/>
    <w:rsid w:val="002B3DCC"/>
    <w:rsid w:val="002B3E2C"/>
    <w:rsid w:val="002B3E73"/>
    <w:rsid w:val="002B3EF0"/>
    <w:rsid w:val="002B3FE0"/>
    <w:rsid w:val="002B42BD"/>
    <w:rsid w:val="002B43E1"/>
    <w:rsid w:val="002B4B45"/>
    <w:rsid w:val="002B4BFA"/>
    <w:rsid w:val="002B4C0F"/>
    <w:rsid w:val="002B4C24"/>
    <w:rsid w:val="002B4CE4"/>
    <w:rsid w:val="002B4DA8"/>
    <w:rsid w:val="002B4EB4"/>
    <w:rsid w:val="002B4EF3"/>
    <w:rsid w:val="002B4F62"/>
    <w:rsid w:val="002B4F7C"/>
    <w:rsid w:val="002B4FA5"/>
    <w:rsid w:val="002B5060"/>
    <w:rsid w:val="002B515A"/>
    <w:rsid w:val="002B52DA"/>
    <w:rsid w:val="002B534F"/>
    <w:rsid w:val="002B53C6"/>
    <w:rsid w:val="002B5635"/>
    <w:rsid w:val="002B576E"/>
    <w:rsid w:val="002B598F"/>
    <w:rsid w:val="002B5A3B"/>
    <w:rsid w:val="002B5B1B"/>
    <w:rsid w:val="002B5CCE"/>
    <w:rsid w:val="002B607E"/>
    <w:rsid w:val="002B610A"/>
    <w:rsid w:val="002B639A"/>
    <w:rsid w:val="002B63FA"/>
    <w:rsid w:val="002B6571"/>
    <w:rsid w:val="002B65A4"/>
    <w:rsid w:val="002B678F"/>
    <w:rsid w:val="002B6848"/>
    <w:rsid w:val="002B6907"/>
    <w:rsid w:val="002B6A7F"/>
    <w:rsid w:val="002B6A80"/>
    <w:rsid w:val="002B6BD7"/>
    <w:rsid w:val="002B6C0D"/>
    <w:rsid w:val="002B6DE0"/>
    <w:rsid w:val="002B6F04"/>
    <w:rsid w:val="002B6FB5"/>
    <w:rsid w:val="002B6FC3"/>
    <w:rsid w:val="002B72C3"/>
    <w:rsid w:val="002B74B5"/>
    <w:rsid w:val="002B75E7"/>
    <w:rsid w:val="002B7930"/>
    <w:rsid w:val="002B79F8"/>
    <w:rsid w:val="002B7A5E"/>
    <w:rsid w:val="002B7AA5"/>
    <w:rsid w:val="002B7CC1"/>
    <w:rsid w:val="002C0055"/>
    <w:rsid w:val="002C01DF"/>
    <w:rsid w:val="002C0290"/>
    <w:rsid w:val="002C0413"/>
    <w:rsid w:val="002C047C"/>
    <w:rsid w:val="002C051D"/>
    <w:rsid w:val="002C0890"/>
    <w:rsid w:val="002C0A50"/>
    <w:rsid w:val="002C0C8A"/>
    <w:rsid w:val="002C0EEC"/>
    <w:rsid w:val="002C0F94"/>
    <w:rsid w:val="002C0FA1"/>
    <w:rsid w:val="002C101D"/>
    <w:rsid w:val="002C1385"/>
    <w:rsid w:val="002C1498"/>
    <w:rsid w:val="002C14C2"/>
    <w:rsid w:val="002C15D2"/>
    <w:rsid w:val="002C174D"/>
    <w:rsid w:val="002C192A"/>
    <w:rsid w:val="002C192D"/>
    <w:rsid w:val="002C1A57"/>
    <w:rsid w:val="002C1BA5"/>
    <w:rsid w:val="002C1BEF"/>
    <w:rsid w:val="002C1C8E"/>
    <w:rsid w:val="002C1F4D"/>
    <w:rsid w:val="002C24BF"/>
    <w:rsid w:val="002C2552"/>
    <w:rsid w:val="002C2688"/>
    <w:rsid w:val="002C26A0"/>
    <w:rsid w:val="002C2C18"/>
    <w:rsid w:val="002C2C2A"/>
    <w:rsid w:val="002C2C6E"/>
    <w:rsid w:val="002C2CE8"/>
    <w:rsid w:val="002C2F94"/>
    <w:rsid w:val="002C30A8"/>
    <w:rsid w:val="002C3202"/>
    <w:rsid w:val="002C3297"/>
    <w:rsid w:val="002C341A"/>
    <w:rsid w:val="002C3507"/>
    <w:rsid w:val="002C36AC"/>
    <w:rsid w:val="002C39CB"/>
    <w:rsid w:val="002C39FB"/>
    <w:rsid w:val="002C3A19"/>
    <w:rsid w:val="002C3A66"/>
    <w:rsid w:val="002C3C28"/>
    <w:rsid w:val="002C3DF4"/>
    <w:rsid w:val="002C3E51"/>
    <w:rsid w:val="002C3F01"/>
    <w:rsid w:val="002C3F9F"/>
    <w:rsid w:val="002C3FBE"/>
    <w:rsid w:val="002C42AD"/>
    <w:rsid w:val="002C42D5"/>
    <w:rsid w:val="002C4556"/>
    <w:rsid w:val="002C4612"/>
    <w:rsid w:val="002C47B4"/>
    <w:rsid w:val="002C489C"/>
    <w:rsid w:val="002C491A"/>
    <w:rsid w:val="002C4C8F"/>
    <w:rsid w:val="002C4D38"/>
    <w:rsid w:val="002C4F41"/>
    <w:rsid w:val="002C4FAA"/>
    <w:rsid w:val="002C516B"/>
    <w:rsid w:val="002C56F7"/>
    <w:rsid w:val="002C5804"/>
    <w:rsid w:val="002C584F"/>
    <w:rsid w:val="002C58C1"/>
    <w:rsid w:val="002C59BB"/>
    <w:rsid w:val="002C5ABF"/>
    <w:rsid w:val="002C5EDB"/>
    <w:rsid w:val="002C5EE5"/>
    <w:rsid w:val="002C607E"/>
    <w:rsid w:val="002C6159"/>
    <w:rsid w:val="002C632A"/>
    <w:rsid w:val="002C6472"/>
    <w:rsid w:val="002C6658"/>
    <w:rsid w:val="002C671C"/>
    <w:rsid w:val="002C6921"/>
    <w:rsid w:val="002C69D1"/>
    <w:rsid w:val="002C6AF7"/>
    <w:rsid w:val="002C6B1C"/>
    <w:rsid w:val="002C6BBF"/>
    <w:rsid w:val="002C6DE1"/>
    <w:rsid w:val="002C7196"/>
    <w:rsid w:val="002C721D"/>
    <w:rsid w:val="002C7247"/>
    <w:rsid w:val="002C72DA"/>
    <w:rsid w:val="002C7339"/>
    <w:rsid w:val="002C73F4"/>
    <w:rsid w:val="002C741D"/>
    <w:rsid w:val="002C7511"/>
    <w:rsid w:val="002C7590"/>
    <w:rsid w:val="002C7AAF"/>
    <w:rsid w:val="002C7ACE"/>
    <w:rsid w:val="002C7C14"/>
    <w:rsid w:val="002C7D62"/>
    <w:rsid w:val="002C7EB1"/>
    <w:rsid w:val="002C7FD9"/>
    <w:rsid w:val="002D005C"/>
    <w:rsid w:val="002D013A"/>
    <w:rsid w:val="002D02C2"/>
    <w:rsid w:val="002D03B3"/>
    <w:rsid w:val="002D05F3"/>
    <w:rsid w:val="002D082A"/>
    <w:rsid w:val="002D0908"/>
    <w:rsid w:val="002D098B"/>
    <w:rsid w:val="002D0A05"/>
    <w:rsid w:val="002D0A50"/>
    <w:rsid w:val="002D0EBF"/>
    <w:rsid w:val="002D0F4C"/>
    <w:rsid w:val="002D0FAD"/>
    <w:rsid w:val="002D0FB2"/>
    <w:rsid w:val="002D1089"/>
    <w:rsid w:val="002D11E4"/>
    <w:rsid w:val="002D1234"/>
    <w:rsid w:val="002D1568"/>
    <w:rsid w:val="002D156D"/>
    <w:rsid w:val="002D15EB"/>
    <w:rsid w:val="002D1636"/>
    <w:rsid w:val="002D17B5"/>
    <w:rsid w:val="002D1854"/>
    <w:rsid w:val="002D18E9"/>
    <w:rsid w:val="002D1B22"/>
    <w:rsid w:val="002D1C89"/>
    <w:rsid w:val="002D1DA3"/>
    <w:rsid w:val="002D1DDF"/>
    <w:rsid w:val="002D1F38"/>
    <w:rsid w:val="002D1FA6"/>
    <w:rsid w:val="002D20A2"/>
    <w:rsid w:val="002D220E"/>
    <w:rsid w:val="002D224F"/>
    <w:rsid w:val="002D2698"/>
    <w:rsid w:val="002D271B"/>
    <w:rsid w:val="002D2C6A"/>
    <w:rsid w:val="002D2E46"/>
    <w:rsid w:val="002D2F20"/>
    <w:rsid w:val="002D2FBE"/>
    <w:rsid w:val="002D311E"/>
    <w:rsid w:val="002D315C"/>
    <w:rsid w:val="002D31DB"/>
    <w:rsid w:val="002D334B"/>
    <w:rsid w:val="002D34BA"/>
    <w:rsid w:val="002D3664"/>
    <w:rsid w:val="002D3687"/>
    <w:rsid w:val="002D36AA"/>
    <w:rsid w:val="002D370C"/>
    <w:rsid w:val="002D3718"/>
    <w:rsid w:val="002D3A71"/>
    <w:rsid w:val="002D3CC9"/>
    <w:rsid w:val="002D3ED5"/>
    <w:rsid w:val="002D3EE6"/>
    <w:rsid w:val="002D3EFF"/>
    <w:rsid w:val="002D3F1B"/>
    <w:rsid w:val="002D3F97"/>
    <w:rsid w:val="002D4150"/>
    <w:rsid w:val="002D422B"/>
    <w:rsid w:val="002D4413"/>
    <w:rsid w:val="002D44AB"/>
    <w:rsid w:val="002D4533"/>
    <w:rsid w:val="002D45B6"/>
    <w:rsid w:val="002D47D8"/>
    <w:rsid w:val="002D4816"/>
    <w:rsid w:val="002D4BD5"/>
    <w:rsid w:val="002D4CAB"/>
    <w:rsid w:val="002D4DA3"/>
    <w:rsid w:val="002D4DDA"/>
    <w:rsid w:val="002D4E39"/>
    <w:rsid w:val="002D4E9F"/>
    <w:rsid w:val="002D4F28"/>
    <w:rsid w:val="002D52BF"/>
    <w:rsid w:val="002D53C6"/>
    <w:rsid w:val="002D543A"/>
    <w:rsid w:val="002D54EA"/>
    <w:rsid w:val="002D553B"/>
    <w:rsid w:val="002D563C"/>
    <w:rsid w:val="002D5996"/>
    <w:rsid w:val="002D5AF4"/>
    <w:rsid w:val="002D5B47"/>
    <w:rsid w:val="002D5B9E"/>
    <w:rsid w:val="002D5CB9"/>
    <w:rsid w:val="002D5D99"/>
    <w:rsid w:val="002D5E46"/>
    <w:rsid w:val="002D5E85"/>
    <w:rsid w:val="002D5F4A"/>
    <w:rsid w:val="002D61B2"/>
    <w:rsid w:val="002D63A3"/>
    <w:rsid w:val="002D6567"/>
    <w:rsid w:val="002D663D"/>
    <w:rsid w:val="002D66BD"/>
    <w:rsid w:val="002D6B5E"/>
    <w:rsid w:val="002D6B84"/>
    <w:rsid w:val="002D6C5B"/>
    <w:rsid w:val="002D6D02"/>
    <w:rsid w:val="002D6D95"/>
    <w:rsid w:val="002D6E8A"/>
    <w:rsid w:val="002D6EC1"/>
    <w:rsid w:val="002D6F27"/>
    <w:rsid w:val="002D71BD"/>
    <w:rsid w:val="002D7283"/>
    <w:rsid w:val="002D7465"/>
    <w:rsid w:val="002D7542"/>
    <w:rsid w:val="002D769F"/>
    <w:rsid w:val="002D76D9"/>
    <w:rsid w:val="002D7986"/>
    <w:rsid w:val="002D7BA2"/>
    <w:rsid w:val="002D7CDB"/>
    <w:rsid w:val="002D7E28"/>
    <w:rsid w:val="002D7E8A"/>
    <w:rsid w:val="002D7FAC"/>
    <w:rsid w:val="002E00D9"/>
    <w:rsid w:val="002E01E8"/>
    <w:rsid w:val="002E02D8"/>
    <w:rsid w:val="002E0381"/>
    <w:rsid w:val="002E03C1"/>
    <w:rsid w:val="002E040F"/>
    <w:rsid w:val="002E0580"/>
    <w:rsid w:val="002E058B"/>
    <w:rsid w:val="002E058D"/>
    <w:rsid w:val="002E05E5"/>
    <w:rsid w:val="002E07C4"/>
    <w:rsid w:val="002E0991"/>
    <w:rsid w:val="002E0AA6"/>
    <w:rsid w:val="002E0C95"/>
    <w:rsid w:val="002E0D06"/>
    <w:rsid w:val="002E0E5C"/>
    <w:rsid w:val="002E1198"/>
    <w:rsid w:val="002E11C3"/>
    <w:rsid w:val="002E121E"/>
    <w:rsid w:val="002E1235"/>
    <w:rsid w:val="002E135C"/>
    <w:rsid w:val="002E159A"/>
    <w:rsid w:val="002E16A1"/>
    <w:rsid w:val="002E16CD"/>
    <w:rsid w:val="002E176E"/>
    <w:rsid w:val="002E18EA"/>
    <w:rsid w:val="002E196D"/>
    <w:rsid w:val="002E1C5E"/>
    <w:rsid w:val="002E1E0F"/>
    <w:rsid w:val="002E1E62"/>
    <w:rsid w:val="002E1EC5"/>
    <w:rsid w:val="002E1FAB"/>
    <w:rsid w:val="002E2173"/>
    <w:rsid w:val="002E23B2"/>
    <w:rsid w:val="002E2488"/>
    <w:rsid w:val="002E24D1"/>
    <w:rsid w:val="002E258E"/>
    <w:rsid w:val="002E26BE"/>
    <w:rsid w:val="002E29DC"/>
    <w:rsid w:val="002E29ED"/>
    <w:rsid w:val="002E2A3B"/>
    <w:rsid w:val="002E3057"/>
    <w:rsid w:val="002E32DD"/>
    <w:rsid w:val="002E355C"/>
    <w:rsid w:val="002E3693"/>
    <w:rsid w:val="002E36BC"/>
    <w:rsid w:val="002E3701"/>
    <w:rsid w:val="002E3730"/>
    <w:rsid w:val="002E3749"/>
    <w:rsid w:val="002E3750"/>
    <w:rsid w:val="002E387D"/>
    <w:rsid w:val="002E3AA8"/>
    <w:rsid w:val="002E3B23"/>
    <w:rsid w:val="002E3BC1"/>
    <w:rsid w:val="002E3D54"/>
    <w:rsid w:val="002E3D59"/>
    <w:rsid w:val="002E3D93"/>
    <w:rsid w:val="002E3E08"/>
    <w:rsid w:val="002E4476"/>
    <w:rsid w:val="002E44C6"/>
    <w:rsid w:val="002E44D2"/>
    <w:rsid w:val="002E4582"/>
    <w:rsid w:val="002E4770"/>
    <w:rsid w:val="002E4853"/>
    <w:rsid w:val="002E48DC"/>
    <w:rsid w:val="002E49CE"/>
    <w:rsid w:val="002E4B27"/>
    <w:rsid w:val="002E4BB4"/>
    <w:rsid w:val="002E4BC7"/>
    <w:rsid w:val="002E4C99"/>
    <w:rsid w:val="002E4ED1"/>
    <w:rsid w:val="002E4F65"/>
    <w:rsid w:val="002E51FE"/>
    <w:rsid w:val="002E5237"/>
    <w:rsid w:val="002E5244"/>
    <w:rsid w:val="002E5360"/>
    <w:rsid w:val="002E5439"/>
    <w:rsid w:val="002E5558"/>
    <w:rsid w:val="002E5580"/>
    <w:rsid w:val="002E566B"/>
    <w:rsid w:val="002E569C"/>
    <w:rsid w:val="002E56EA"/>
    <w:rsid w:val="002E59C1"/>
    <w:rsid w:val="002E5A27"/>
    <w:rsid w:val="002E5CB5"/>
    <w:rsid w:val="002E5D1F"/>
    <w:rsid w:val="002E5DE9"/>
    <w:rsid w:val="002E5E1F"/>
    <w:rsid w:val="002E60A4"/>
    <w:rsid w:val="002E6100"/>
    <w:rsid w:val="002E614A"/>
    <w:rsid w:val="002E6523"/>
    <w:rsid w:val="002E6638"/>
    <w:rsid w:val="002E698B"/>
    <w:rsid w:val="002E69F1"/>
    <w:rsid w:val="002E6BA7"/>
    <w:rsid w:val="002E6C95"/>
    <w:rsid w:val="002E6CC6"/>
    <w:rsid w:val="002E6D19"/>
    <w:rsid w:val="002E6D74"/>
    <w:rsid w:val="002E707A"/>
    <w:rsid w:val="002E7245"/>
    <w:rsid w:val="002E72CD"/>
    <w:rsid w:val="002E74EF"/>
    <w:rsid w:val="002E759F"/>
    <w:rsid w:val="002E75B9"/>
    <w:rsid w:val="002E76E4"/>
    <w:rsid w:val="002E770D"/>
    <w:rsid w:val="002E796E"/>
    <w:rsid w:val="002E7B51"/>
    <w:rsid w:val="002E7C27"/>
    <w:rsid w:val="002E7C8E"/>
    <w:rsid w:val="002E7E42"/>
    <w:rsid w:val="002E7E49"/>
    <w:rsid w:val="002E7F2E"/>
    <w:rsid w:val="002E7F96"/>
    <w:rsid w:val="002F0072"/>
    <w:rsid w:val="002F014D"/>
    <w:rsid w:val="002F0325"/>
    <w:rsid w:val="002F0356"/>
    <w:rsid w:val="002F03A6"/>
    <w:rsid w:val="002F06BE"/>
    <w:rsid w:val="002F086A"/>
    <w:rsid w:val="002F0C21"/>
    <w:rsid w:val="002F0C49"/>
    <w:rsid w:val="002F0DA2"/>
    <w:rsid w:val="002F0E0B"/>
    <w:rsid w:val="002F1152"/>
    <w:rsid w:val="002F1154"/>
    <w:rsid w:val="002F1568"/>
    <w:rsid w:val="002F160C"/>
    <w:rsid w:val="002F171F"/>
    <w:rsid w:val="002F1808"/>
    <w:rsid w:val="002F1874"/>
    <w:rsid w:val="002F18FC"/>
    <w:rsid w:val="002F19B4"/>
    <w:rsid w:val="002F1CEE"/>
    <w:rsid w:val="002F1DCE"/>
    <w:rsid w:val="002F1F16"/>
    <w:rsid w:val="002F2143"/>
    <w:rsid w:val="002F252D"/>
    <w:rsid w:val="002F2631"/>
    <w:rsid w:val="002F2711"/>
    <w:rsid w:val="002F2791"/>
    <w:rsid w:val="002F28A9"/>
    <w:rsid w:val="002F2928"/>
    <w:rsid w:val="002F2AAA"/>
    <w:rsid w:val="002F2AFD"/>
    <w:rsid w:val="002F2D79"/>
    <w:rsid w:val="002F2DEF"/>
    <w:rsid w:val="002F2F5F"/>
    <w:rsid w:val="002F3042"/>
    <w:rsid w:val="002F30F6"/>
    <w:rsid w:val="002F339D"/>
    <w:rsid w:val="002F38A3"/>
    <w:rsid w:val="002F39AB"/>
    <w:rsid w:val="002F3A17"/>
    <w:rsid w:val="002F3BAE"/>
    <w:rsid w:val="002F3C46"/>
    <w:rsid w:val="002F405C"/>
    <w:rsid w:val="002F414F"/>
    <w:rsid w:val="002F4282"/>
    <w:rsid w:val="002F4286"/>
    <w:rsid w:val="002F43D3"/>
    <w:rsid w:val="002F4416"/>
    <w:rsid w:val="002F4441"/>
    <w:rsid w:val="002F458B"/>
    <w:rsid w:val="002F48B4"/>
    <w:rsid w:val="002F497B"/>
    <w:rsid w:val="002F49F0"/>
    <w:rsid w:val="002F4C04"/>
    <w:rsid w:val="002F4D1D"/>
    <w:rsid w:val="002F4E2D"/>
    <w:rsid w:val="002F5038"/>
    <w:rsid w:val="002F5094"/>
    <w:rsid w:val="002F5166"/>
    <w:rsid w:val="002F51C3"/>
    <w:rsid w:val="002F532A"/>
    <w:rsid w:val="002F539E"/>
    <w:rsid w:val="002F53F1"/>
    <w:rsid w:val="002F5568"/>
    <w:rsid w:val="002F55E8"/>
    <w:rsid w:val="002F5668"/>
    <w:rsid w:val="002F5910"/>
    <w:rsid w:val="002F593C"/>
    <w:rsid w:val="002F5A9D"/>
    <w:rsid w:val="002F5B6F"/>
    <w:rsid w:val="002F5E04"/>
    <w:rsid w:val="002F61EF"/>
    <w:rsid w:val="002F621C"/>
    <w:rsid w:val="002F622C"/>
    <w:rsid w:val="002F6270"/>
    <w:rsid w:val="002F62F1"/>
    <w:rsid w:val="002F6310"/>
    <w:rsid w:val="002F63AE"/>
    <w:rsid w:val="002F6715"/>
    <w:rsid w:val="002F69A5"/>
    <w:rsid w:val="002F69B7"/>
    <w:rsid w:val="002F69F0"/>
    <w:rsid w:val="002F6AF5"/>
    <w:rsid w:val="002F6C43"/>
    <w:rsid w:val="002F6C5A"/>
    <w:rsid w:val="002F733B"/>
    <w:rsid w:val="002F740B"/>
    <w:rsid w:val="002F764D"/>
    <w:rsid w:val="002F768C"/>
    <w:rsid w:val="002F78F9"/>
    <w:rsid w:val="002F7A3F"/>
    <w:rsid w:val="002F7A95"/>
    <w:rsid w:val="002F7B74"/>
    <w:rsid w:val="002F7D5C"/>
    <w:rsid w:val="002F7FD9"/>
    <w:rsid w:val="0030010F"/>
    <w:rsid w:val="00300223"/>
    <w:rsid w:val="0030036E"/>
    <w:rsid w:val="0030046E"/>
    <w:rsid w:val="0030055C"/>
    <w:rsid w:val="0030057C"/>
    <w:rsid w:val="003007FB"/>
    <w:rsid w:val="0030090D"/>
    <w:rsid w:val="003009AB"/>
    <w:rsid w:val="00300AFC"/>
    <w:rsid w:val="00300B23"/>
    <w:rsid w:val="00300E58"/>
    <w:rsid w:val="00301046"/>
    <w:rsid w:val="00301416"/>
    <w:rsid w:val="00301553"/>
    <w:rsid w:val="00301692"/>
    <w:rsid w:val="0030173B"/>
    <w:rsid w:val="003019F9"/>
    <w:rsid w:val="00301D62"/>
    <w:rsid w:val="00301FA2"/>
    <w:rsid w:val="003020AE"/>
    <w:rsid w:val="0030217C"/>
    <w:rsid w:val="00302229"/>
    <w:rsid w:val="00302262"/>
    <w:rsid w:val="003022EC"/>
    <w:rsid w:val="00302301"/>
    <w:rsid w:val="0030235D"/>
    <w:rsid w:val="00302367"/>
    <w:rsid w:val="00302470"/>
    <w:rsid w:val="00302680"/>
    <w:rsid w:val="003026CC"/>
    <w:rsid w:val="003027FF"/>
    <w:rsid w:val="00302815"/>
    <w:rsid w:val="00302945"/>
    <w:rsid w:val="00302976"/>
    <w:rsid w:val="003029B3"/>
    <w:rsid w:val="00302CD6"/>
    <w:rsid w:val="00302DBC"/>
    <w:rsid w:val="00302EC4"/>
    <w:rsid w:val="00302EE6"/>
    <w:rsid w:val="00303464"/>
    <w:rsid w:val="0030356A"/>
    <w:rsid w:val="00303581"/>
    <w:rsid w:val="003035A9"/>
    <w:rsid w:val="00303663"/>
    <w:rsid w:val="00303702"/>
    <w:rsid w:val="0030386E"/>
    <w:rsid w:val="0030389B"/>
    <w:rsid w:val="003038A6"/>
    <w:rsid w:val="00303A6D"/>
    <w:rsid w:val="00303BA8"/>
    <w:rsid w:val="00303DD1"/>
    <w:rsid w:val="00303F77"/>
    <w:rsid w:val="00303FA8"/>
    <w:rsid w:val="0030400E"/>
    <w:rsid w:val="0030409A"/>
    <w:rsid w:val="0030471A"/>
    <w:rsid w:val="00304740"/>
    <w:rsid w:val="003048A1"/>
    <w:rsid w:val="00304902"/>
    <w:rsid w:val="00304945"/>
    <w:rsid w:val="003049A6"/>
    <w:rsid w:val="00304C6D"/>
    <w:rsid w:val="00304E2E"/>
    <w:rsid w:val="00305284"/>
    <w:rsid w:val="00305414"/>
    <w:rsid w:val="003055E2"/>
    <w:rsid w:val="00305623"/>
    <w:rsid w:val="00305676"/>
    <w:rsid w:val="00305873"/>
    <w:rsid w:val="0030587B"/>
    <w:rsid w:val="00305889"/>
    <w:rsid w:val="00305A55"/>
    <w:rsid w:val="00305B4D"/>
    <w:rsid w:val="00305B6D"/>
    <w:rsid w:val="00305BA6"/>
    <w:rsid w:val="00305DF5"/>
    <w:rsid w:val="00306079"/>
    <w:rsid w:val="003060BB"/>
    <w:rsid w:val="003060F7"/>
    <w:rsid w:val="0030616B"/>
    <w:rsid w:val="00306542"/>
    <w:rsid w:val="0030661D"/>
    <w:rsid w:val="0030664F"/>
    <w:rsid w:val="003067B1"/>
    <w:rsid w:val="003067F5"/>
    <w:rsid w:val="003068A8"/>
    <w:rsid w:val="00306AB6"/>
    <w:rsid w:val="00306ABD"/>
    <w:rsid w:val="00306B35"/>
    <w:rsid w:val="00306C14"/>
    <w:rsid w:val="00306CFB"/>
    <w:rsid w:val="00306DB3"/>
    <w:rsid w:val="00306ECB"/>
    <w:rsid w:val="00306FF7"/>
    <w:rsid w:val="00307403"/>
    <w:rsid w:val="003074DA"/>
    <w:rsid w:val="003074F4"/>
    <w:rsid w:val="00307687"/>
    <w:rsid w:val="00307816"/>
    <w:rsid w:val="00307A60"/>
    <w:rsid w:val="00307B0E"/>
    <w:rsid w:val="00307B7D"/>
    <w:rsid w:val="00307BA0"/>
    <w:rsid w:val="00307C14"/>
    <w:rsid w:val="00307E04"/>
    <w:rsid w:val="00307ECC"/>
    <w:rsid w:val="00310385"/>
    <w:rsid w:val="0031048E"/>
    <w:rsid w:val="00310688"/>
    <w:rsid w:val="003107C0"/>
    <w:rsid w:val="003109C4"/>
    <w:rsid w:val="00310BCC"/>
    <w:rsid w:val="00310D4E"/>
    <w:rsid w:val="00310D8A"/>
    <w:rsid w:val="00310E17"/>
    <w:rsid w:val="00310F84"/>
    <w:rsid w:val="00311182"/>
    <w:rsid w:val="003111B8"/>
    <w:rsid w:val="003111BB"/>
    <w:rsid w:val="003112B6"/>
    <w:rsid w:val="003112DC"/>
    <w:rsid w:val="0031134E"/>
    <w:rsid w:val="00311448"/>
    <w:rsid w:val="00311641"/>
    <w:rsid w:val="003116A1"/>
    <w:rsid w:val="003117ED"/>
    <w:rsid w:val="003118CB"/>
    <w:rsid w:val="0031193E"/>
    <w:rsid w:val="00311B12"/>
    <w:rsid w:val="00311CB3"/>
    <w:rsid w:val="00311D77"/>
    <w:rsid w:val="00311D85"/>
    <w:rsid w:val="00311F99"/>
    <w:rsid w:val="003121B2"/>
    <w:rsid w:val="0031229A"/>
    <w:rsid w:val="003122D7"/>
    <w:rsid w:val="003124D3"/>
    <w:rsid w:val="003125E2"/>
    <w:rsid w:val="00312853"/>
    <w:rsid w:val="0031290E"/>
    <w:rsid w:val="003129B6"/>
    <w:rsid w:val="00312BA6"/>
    <w:rsid w:val="00312F62"/>
    <w:rsid w:val="00313018"/>
    <w:rsid w:val="003130E8"/>
    <w:rsid w:val="00313147"/>
    <w:rsid w:val="00313199"/>
    <w:rsid w:val="00313460"/>
    <w:rsid w:val="003134BB"/>
    <w:rsid w:val="003134C7"/>
    <w:rsid w:val="003135D3"/>
    <w:rsid w:val="003137C8"/>
    <w:rsid w:val="003138F4"/>
    <w:rsid w:val="00313D79"/>
    <w:rsid w:val="00313EC7"/>
    <w:rsid w:val="00313F98"/>
    <w:rsid w:val="00314008"/>
    <w:rsid w:val="0031400E"/>
    <w:rsid w:val="003141D6"/>
    <w:rsid w:val="0031423D"/>
    <w:rsid w:val="003143ED"/>
    <w:rsid w:val="003144AE"/>
    <w:rsid w:val="0031489B"/>
    <w:rsid w:val="00314955"/>
    <w:rsid w:val="003149BC"/>
    <w:rsid w:val="003149EF"/>
    <w:rsid w:val="00314A78"/>
    <w:rsid w:val="00314D39"/>
    <w:rsid w:val="00314F8E"/>
    <w:rsid w:val="00314FCF"/>
    <w:rsid w:val="00315063"/>
    <w:rsid w:val="003151E0"/>
    <w:rsid w:val="003153AF"/>
    <w:rsid w:val="00315535"/>
    <w:rsid w:val="00315539"/>
    <w:rsid w:val="00315888"/>
    <w:rsid w:val="00315C23"/>
    <w:rsid w:val="00315C90"/>
    <w:rsid w:val="00315CA4"/>
    <w:rsid w:val="00315CB2"/>
    <w:rsid w:val="00315D68"/>
    <w:rsid w:val="00315D8C"/>
    <w:rsid w:val="00315E22"/>
    <w:rsid w:val="00315F43"/>
    <w:rsid w:val="00316372"/>
    <w:rsid w:val="003164E8"/>
    <w:rsid w:val="00316693"/>
    <w:rsid w:val="00316768"/>
    <w:rsid w:val="003167AC"/>
    <w:rsid w:val="003167C5"/>
    <w:rsid w:val="003168D5"/>
    <w:rsid w:val="00316BFC"/>
    <w:rsid w:val="00316C3A"/>
    <w:rsid w:val="00316CE3"/>
    <w:rsid w:val="00316D79"/>
    <w:rsid w:val="00316F0F"/>
    <w:rsid w:val="003170DD"/>
    <w:rsid w:val="0031785D"/>
    <w:rsid w:val="003179FC"/>
    <w:rsid w:val="00317A2A"/>
    <w:rsid w:val="00317C54"/>
    <w:rsid w:val="00317ED1"/>
    <w:rsid w:val="00317F46"/>
    <w:rsid w:val="003201AD"/>
    <w:rsid w:val="0032032C"/>
    <w:rsid w:val="003204CC"/>
    <w:rsid w:val="003204EF"/>
    <w:rsid w:val="003206F3"/>
    <w:rsid w:val="003207F4"/>
    <w:rsid w:val="00320AE4"/>
    <w:rsid w:val="00320B66"/>
    <w:rsid w:val="00320DC4"/>
    <w:rsid w:val="00320F5A"/>
    <w:rsid w:val="00321039"/>
    <w:rsid w:val="0032113F"/>
    <w:rsid w:val="003211C4"/>
    <w:rsid w:val="0032133E"/>
    <w:rsid w:val="0032143C"/>
    <w:rsid w:val="00321446"/>
    <w:rsid w:val="0032145E"/>
    <w:rsid w:val="00321617"/>
    <w:rsid w:val="0032193D"/>
    <w:rsid w:val="00321A0A"/>
    <w:rsid w:val="00321AEB"/>
    <w:rsid w:val="00321BBE"/>
    <w:rsid w:val="00321C8D"/>
    <w:rsid w:val="00321F28"/>
    <w:rsid w:val="003224B3"/>
    <w:rsid w:val="003225CE"/>
    <w:rsid w:val="0032270D"/>
    <w:rsid w:val="00322BA1"/>
    <w:rsid w:val="003231F9"/>
    <w:rsid w:val="00323431"/>
    <w:rsid w:val="003239DE"/>
    <w:rsid w:val="003239E9"/>
    <w:rsid w:val="00323B6E"/>
    <w:rsid w:val="00323E46"/>
    <w:rsid w:val="00323F38"/>
    <w:rsid w:val="00323F39"/>
    <w:rsid w:val="0032411E"/>
    <w:rsid w:val="003243B4"/>
    <w:rsid w:val="00324539"/>
    <w:rsid w:val="00324557"/>
    <w:rsid w:val="00324572"/>
    <w:rsid w:val="00324582"/>
    <w:rsid w:val="00324628"/>
    <w:rsid w:val="00324800"/>
    <w:rsid w:val="0032481B"/>
    <w:rsid w:val="003249C1"/>
    <w:rsid w:val="00324C15"/>
    <w:rsid w:val="003255F0"/>
    <w:rsid w:val="0032567F"/>
    <w:rsid w:val="0032569F"/>
    <w:rsid w:val="0032570A"/>
    <w:rsid w:val="00325987"/>
    <w:rsid w:val="00325CBC"/>
    <w:rsid w:val="00325D65"/>
    <w:rsid w:val="00325DA4"/>
    <w:rsid w:val="00325E5A"/>
    <w:rsid w:val="00325E7D"/>
    <w:rsid w:val="00325EE5"/>
    <w:rsid w:val="00325FF3"/>
    <w:rsid w:val="00326261"/>
    <w:rsid w:val="00326327"/>
    <w:rsid w:val="003263FA"/>
    <w:rsid w:val="003265B4"/>
    <w:rsid w:val="003266AC"/>
    <w:rsid w:val="003269BA"/>
    <w:rsid w:val="00326A39"/>
    <w:rsid w:val="00326A4F"/>
    <w:rsid w:val="00326ACB"/>
    <w:rsid w:val="00326AE7"/>
    <w:rsid w:val="00326B42"/>
    <w:rsid w:val="00326DB7"/>
    <w:rsid w:val="00326DC6"/>
    <w:rsid w:val="00326DF2"/>
    <w:rsid w:val="00326E05"/>
    <w:rsid w:val="0032709E"/>
    <w:rsid w:val="00327100"/>
    <w:rsid w:val="00327169"/>
    <w:rsid w:val="00327213"/>
    <w:rsid w:val="0032721B"/>
    <w:rsid w:val="003273C0"/>
    <w:rsid w:val="00327422"/>
    <w:rsid w:val="00327872"/>
    <w:rsid w:val="00327954"/>
    <w:rsid w:val="00327987"/>
    <w:rsid w:val="00327A1A"/>
    <w:rsid w:val="00330128"/>
    <w:rsid w:val="003302D1"/>
    <w:rsid w:val="003302D7"/>
    <w:rsid w:val="00330311"/>
    <w:rsid w:val="0033035E"/>
    <w:rsid w:val="00330453"/>
    <w:rsid w:val="00330493"/>
    <w:rsid w:val="00330A15"/>
    <w:rsid w:val="00330A49"/>
    <w:rsid w:val="00330B48"/>
    <w:rsid w:val="00330C29"/>
    <w:rsid w:val="00330CA8"/>
    <w:rsid w:val="00330CBF"/>
    <w:rsid w:val="00330EF9"/>
    <w:rsid w:val="00330F3D"/>
    <w:rsid w:val="003310B2"/>
    <w:rsid w:val="003310E0"/>
    <w:rsid w:val="00331345"/>
    <w:rsid w:val="00331373"/>
    <w:rsid w:val="0033148E"/>
    <w:rsid w:val="0033150E"/>
    <w:rsid w:val="00331584"/>
    <w:rsid w:val="00331738"/>
    <w:rsid w:val="00331846"/>
    <w:rsid w:val="003319DE"/>
    <w:rsid w:val="003319F9"/>
    <w:rsid w:val="00331E73"/>
    <w:rsid w:val="003324B1"/>
    <w:rsid w:val="0033253C"/>
    <w:rsid w:val="003326CD"/>
    <w:rsid w:val="0033282A"/>
    <w:rsid w:val="00332846"/>
    <w:rsid w:val="003329BE"/>
    <w:rsid w:val="00332BA8"/>
    <w:rsid w:val="00332BF3"/>
    <w:rsid w:val="00332C24"/>
    <w:rsid w:val="00332EDF"/>
    <w:rsid w:val="00332FD3"/>
    <w:rsid w:val="003330C1"/>
    <w:rsid w:val="00333178"/>
    <w:rsid w:val="003333D9"/>
    <w:rsid w:val="003334BD"/>
    <w:rsid w:val="003335AB"/>
    <w:rsid w:val="003338C8"/>
    <w:rsid w:val="003338DA"/>
    <w:rsid w:val="003339F1"/>
    <w:rsid w:val="0033407A"/>
    <w:rsid w:val="00334224"/>
    <w:rsid w:val="003344DA"/>
    <w:rsid w:val="00334513"/>
    <w:rsid w:val="0033464D"/>
    <w:rsid w:val="003347E4"/>
    <w:rsid w:val="00334972"/>
    <w:rsid w:val="00334AF8"/>
    <w:rsid w:val="00334BAE"/>
    <w:rsid w:val="00334BC9"/>
    <w:rsid w:val="00334CBE"/>
    <w:rsid w:val="00334D2A"/>
    <w:rsid w:val="00334D9D"/>
    <w:rsid w:val="00334E05"/>
    <w:rsid w:val="00335099"/>
    <w:rsid w:val="003350E0"/>
    <w:rsid w:val="00335109"/>
    <w:rsid w:val="003352A2"/>
    <w:rsid w:val="003352FD"/>
    <w:rsid w:val="00335519"/>
    <w:rsid w:val="003355C3"/>
    <w:rsid w:val="003356B4"/>
    <w:rsid w:val="00335923"/>
    <w:rsid w:val="00335A6F"/>
    <w:rsid w:val="00335B01"/>
    <w:rsid w:val="00335BC5"/>
    <w:rsid w:val="00335CD6"/>
    <w:rsid w:val="00335DFC"/>
    <w:rsid w:val="00335EDB"/>
    <w:rsid w:val="00335FFA"/>
    <w:rsid w:val="003360E0"/>
    <w:rsid w:val="00336394"/>
    <w:rsid w:val="00336416"/>
    <w:rsid w:val="003365C1"/>
    <w:rsid w:val="00336771"/>
    <w:rsid w:val="003369E7"/>
    <w:rsid w:val="00336C7D"/>
    <w:rsid w:val="00336D04"/>
    <w:rsid w:val="00336D09"/>
    <w:rsid w:val="00336E18"/>
    <w:rsid w:val="00336F30"/>
    <w:rsid w:val="0033728E"/>
    <w:rsid w:val="003374EE"/>
    <w:rsid w:val="003375C5"/>
    <w:rsid w:val="003376F6"/>
    <w:rsid w:val="003376F9"/>
    <w:rsid w:val="0033783F"/>
    <w:rsid w:val="0033793C"/>
    <w:rsid w:val="00337975"/>
    <w:rsid w:val="00337A19"/>
    <w:rsid w:val="00337C9D"/>
    <w:rsid w:val="003402D1"/>
    <w:rsid w:val="003402FC"/>
    <w:rsid w:val="0034057F"/>
    <w:rsid w:val="00340674"/>
    <w:rsid w:val="00340AFA"/>
    <w:rsid w:val="00340B0B"/>
    <w:rsid w:val="00340C1C"/>
    <w:rsid w:val="00340C2C"/>
    <w:rsid w:val="00340D20"/>
    <w:rsid w:val="00340DDF"/>
    <w:rsid w:val="003412D0"/>
    <w:rsid w:val="003414A7"/>
    <w:rsid w:val="003416A4"/>
    <w:rsid w:val="00341966"/>
    <w:rsid w:val="00341ECA"/>
    <w:rsid w:val="0034201B"/>
    <w:rsid w:val="0034207A"/>
    <w:rsid w:val="00342153"/>
    <w:rsid w:val="00342373"/>
    <w:rsid w:val="0034240F"/>
    <w:rsid w:val="00342418"/>
    <w:rsid w:val="003425C9"/>
    <w:rsid w:val="003427A8"/>
    <w:rsid w:val="0034281E"/>
    <w:rsid w:val="003428A0"/>
    <w:rsid w:val="00342AD1"/>
    <w:rsid w:val="00342B82"/>
    <w:rsid w:val="00342CDA"/>
    <w:rsid w:val="00342D11"/>
    <w:rsid w:val="00342EE5"/>
    <w:rsid w:val="00342F8B"/>
    <w:rsid w:val="00343129"/>
    <w:rsid w:val="0034348E"/>
    <w:rsid w:val="0034363C"/>
    <w:rsid w:val="00343800"/>
    <w:rsid w:val="00343814"/>
    <w:rsid w:val="00343998"/>
    <w:rsid w:val="00343A10"/>
    <w:rsid w:val="00343CD5"/>
    <w:rsid w:val="00343CEC"/>
    <w:rsid w:val="00343E13"/>
    <w:rsid w:val="00343E4E"/>
    <w:rsid w:val="00343EA9"/>
    <w:rsid w:val="00344128"/>
    <w:rsid w:val="0034413D"/>
    <w:rsid w:val="003441F3"/>
    <w:rsid w:val="0034425A"/>
    <w:rsid w:val="0034429E"/>
    <w:rsid w:val="003442A2"/>
    <w:rsid w:val="003442E8"/>
    <w:rsid w:val="003444FF"/>
    <w:rsid w:val="0034469A"/>
    <w:rsid w:val="003448F5"/>
    <w:rsid w:val="00344B74"/>
    <w:rsid w:val="00344BC3"/>
    <w:rsid w:val="00344DB1"/>
    <w:rsid w:val="00344DF0"/>
    <w:rsid w:val="00344DF1"/>
    <w:rsid w:val="00344ED9"/>
    <w:rsid w:val="003450BB"/>
    <w:rsid w:val="003454AA"/>
    <w:rsid w:val="0034550C"/>
    <w:rsid w:val="00345698"/>
    <w:rsid w:val="00345930"/>
    <w:rsid w:val="00345BBB"/>
    <w:rsid w:val="00345C2E"/>
    <w:rsid w:val="00345F4F"/>
    <w:rsid w:val="0034605F"/>
    <w:rsid w:val="0034636A"/>
    <w:rsid w:val="0034637C"/>
    <w:rsid w:val="0034640D"/>
    <w:rsid w:val="003465B2"/>
    <w:rsid w:val="0034670A"/>
    <w:rsid w:val="0034684C"/>
    <w:rsid w:val="003468B7"/>
    <w:rsid w:val="00346A30"/>
    <w:rsid w:val="00346D5D"/>
    <w:rsid w:val="00346E44"/>
    <w:rsid w:val="00346FBA"/>
    <w:rsid w:val="0034706C"/>
    <w:rsid w:val="003470A9"/>
    <w:rsid w:val="003470E9"/>
    <w:rsid w:val="003471CE"/>
    <w:rsid w:val="0034732E"/>
    <w:rsid w:val="003474D2"/>
    <w:rsid w:val="003478F4"/>
    <w:rsid w:val="00347BED"/>
    <w:rsid w:val="00347C49"/>
    <w:rsid w:val="00347DF9"/>
    <w:rsid w:val="00347EDA"/>
    <w:rsid w:val="003501CD"/>
    <w:rsid w:val="0035030C"/>
    <w:rsid w:val="00350425"/>
    <w:rsid w:val="00350520"/>
    <w:rsid w:val="00350542"/>
    <w:rsid w:val="00350622"/>
    <w:rsid w:val="003506D0"/>
    <w:rsid w:val="0035070F"/>
    <w:rsid w:val="003508EF"/>
    <w:rsid w:val="003508FD"/>
    <w:rsid w:val="00350916"/>
    <w:rsid w:val="003509B0"/>
    <w:rsid w:val="003509C3"/>
    <w:rsid w:val="00350B12"/>
    <w:rsid w:val="00350B9A"/>
    <w:rsid w:val="00350CE4"/>
    <w:rsid w:val="00350D33"/>
    <w:rsid w:val="00350DE4"/>
    <w:rsid w:val="00350F45"/>
    <w:rsid w:val="003512E6"/>
    <w:rsid w:val="0035142B"/>
    <w:rsid w:val="00351534"/>
    <w:rsid w:val="00351676"/>
    <w:rsid w:val="0035175D"/>
    <w:rsid w:val="00351906"/>
    <w:rsid w:val="00351947"/>
    <w:rsid w:val="00351976"/>
    <w:rsid w:val="00351A23"/>
    <w:rsid w:val="00351CD2"/>
    <w:rsid w:val="003522F5"/>
    <w:rsid w:val="00352335"/>
    <w:rsid w:val="0035235E"/>
    <w:rsid w:val="00352388"/>
    <w:rsid w:val="0035247E"/>
    <w:rsid w:val="00352572"/>
    <w:rsid w:val="003525D6"/>
    <w:rsid w:val="003526BC"/>
    <w:rsid w:val="003527B6"/>
    <w:rsid w:val="0035291B"/>
    <w:rsid w:val="003529A4"/>
    <w:rsid w:val="003529BF"/>
    <w:rsid w:val="00352A08"/>
    <w:rsid w:val="00352BAB"/>
    <w:rsid w:val="003530FC"/>
    <w:rsid w:val="003531AE"/>
    <w:rsid w:val="00353275"/>
    <w:rsid w:val="0035330D"/>
    <w:rsid w:val="003536A6"/>
    <w:rsid w:val="00353780"/>
    <w:rsid w:val="00353ABB"/>
    <w:rsid w:val="00353B87"/>
    <w:rsid w:val="00353C9A"/>
    <w:rsid w:val="00353E27"/>
    <w:rsid w:val="003541AC"/>
    <w:rsid w:val="00354249"/>
    <w:rsid w:val="00354368"/>
    <w:rsid w:val="003543B2"/>
    <w:rsid w:val="003543EE"/>
    <w:rsid w:val="00354455"/>
    <w:rsid w:val="003544AD"/>
    <w:rsid w:val="00354552"/>
    <w:rsid w:val="003546D4"/>
    <w:rsid w:val="0035478C"/>
    <w:rsid w:val="0035480D"/>
    <w:rsid w:val="00354840"/>
    <w:rsid w:val="003548A3"/>
    <w:rsid w:val="00354957"/>
    <w:rsid w:val="003549A6"/>
    <w:rsid w:val="00354AD9"/>
    <w:rsid w:val="00354B68"/>
    <w:rsid w:val="00354BBC"/>
    <w:rsid w:val="00354C1D"/>
    <w:rsid w:val="00354E17"/>
    <w:rsid w:val="00354F3E"/>
    <w:rsid w:val="00355011"/>
    <w:rsid w:val="003550EE"/>
    <w:rsid w:val="003553C6"/>
    <w:rsid w:val="00355429"/>
    <w:rsid w:val="0035543E"/>
    <w:rsid w:val="00355464"/>
    <w:rsid w:val="00355898"/>
    <w:rsid w:val="00355945"/>
    <w:rsid w:val="0035599A"/>
    <w:rsid w:val="00355D8A"/>
    <w:rsid w:val="00355DB8"/>
    <w:rsid w:val="00355DFD"/>
    <w:rsid w:val="00355F55"/>
    <w:rsid w:val="003560D6"/>
    <w:rsid w:val="00356156"/>
    <w:rsid w:val="003562F0"/>
    <w:rsid w:val="0035659C"/>
    <w:rsid w:val="003565C8"/>
    <w:rsid w:val="00356863"/>
    <w:rsid w:val="003568CE"/>
    <w:rsid w:val="003568CF"/>
    <w:rsid w:val="003568E1"/>
    <w:rsid w:val="00356C12"/>
    <w:rsid w:val="00356C66"/>
    <w:rsid w:val="00356DA7"/>
    <w:rsid w:val="00356E40"/>
    <w:rsid w:val="00356E71"/>
    <w:rsid w:val="003571DD"/>
    <w:rsid w:val="0035772A"/>
    <w:rsid w:val="00357776"/>
    <w:rsid w:val="00357A6B"/>
    <w:rsid w:val="00357BF7"/>
    <w:rsid w:val="00357C48"/>
    <w:rsid w:val="00357C9B"/>
    <w:rsid w:val="003601E9"/>
    <w:rsid w:val="0036039E"/>
    <w:rsid w:val="00360411"/>
    <w:rsid w:val="003604C6"/>
    <w:rsid w:val="0036055C"/>
    <w:rsid w:val="0036077B"/>
    <w:rsid w:val="003608A1"/>
    <w:rsid w:val="00360924"/>
    <w:rsid w:val="0036092A"/>
    <w:rsid w:val="00360A69"/>
    <w:rsid w:val="00360BE2"/>
    <w:rsid w:val="00360DE7"/>
    <w:rsid w:val="00360FA1"/>
    <w:rsid w:val="0036103D"/>
    <w:rsid w:val="003611CA"/>
    <w:rsid w:val="00361715"/>
    <w:rsid w:val="00361753"/>
    <w:rsid w:val="00361A1C"/>
    <w:rsid w:val="00361B85"/>
    <w:rsid w:val="00361C1B"/>
    <w:rsid w:val="00361DE3"/>
    <w:rsid w:val="00361EB9"/>
    <w:rsid w:val="00361EC7"/>
    <w:rsid w:val="00361ED4"/>
    <w:rsid w:val="00361EE3"/>
    <w:rsid w:val="003621CA"/>
    <w:rsid w:val="00362640"/>
    <w:rsid w:val="003626B7"/>
    <w:rsid w:val="003626C3"/>
    <w:rsid w:val="003626EC"/>
    <w:rsid w:val="003626FF"/>
    <w:rsid w:val="00362717"/>
    <w:rsid w:val="00362822"/>
    <w:rsid w:val="003628D9"/>
    <w:rsid w:val="00362A61"/>
    <w:rsid w:val="00362AB2"/>
    <w:rsid w:val="00362AB9"/>
    <w:rsid w:val="00362CA4"/>
    <w:rsid w:val="00362D00"/>
    <w:rsid w:val="00362E8E"/>
    <w:rsid w:val="00362F1F"/>
    <w:rsid w:val="00362FAD"/>
    <w:rsid w:val="00363087"/>
    <w:rsid w:val="003630ED"/>
    <w:rsid w:val="00363118"/>
    <w:rsid w:val="00363272"/>
    <w:rsid w:val="0036338C"/>
    <w:rsid w:val="003633B3"/>
    <w:rsid w:val="003634B9"/>
    <w:rsid w:val="003635A6"/>
    <w:rsid w:val="003636E6"/>
    <w:rsid w:val="00363A46"/>
    <w:rsid w:val="00363BFA"/>
    <w:rsid w:val="00363C66"/>
    <w:rsid w:val="00363C89"/>
    <w:rsid w:val="00363CDD"/>
    <w:rsid w:val="00363EB2"/>
    <w:rsid w:val="00363F82"/>
    <w:rsid w:val="00363FFB"/>
    <w:rsid w:val="00363FFC"/>
    <w:rsid w:val="00364297"/>
    <w:rsid w:val="0036443D"/>
    <w:rsid w:val="00364450"/>
    <w:rsid w:val="00364452"/>
    <w:rsid w:val="00364601"/>
    <w:rsid w:val="003647E6"/>
    <w:rsid w:val="00364861"/>
    <w:rsid w:val="00364A0E"/>
    <w:rsid w:val="00364A27"/>
    <w:rsid w:val="00364A64"/>
    <w:rsid w:val="00364BA9"/>
    <w:rsid w:val="00364BD3"/>
    <w:rsid w:val="00364EE8"/>
    <w:rsid w:val="00364EF5"/>
    <w:rsid w:val="0036506D"/>
    <w:rsid w:val="00365212"/>
    <w:rsid w:val="003652C0"/>
    <w:rsid w:val="003652D1"/>
    <w:rsid w:val="00365387"/>
    <w:rsid w:val="003653CF"/>
    <w:rsid w:val="00365545"/>
    <w:rsid w:val="00365553"/>
    <w:rsid w:val="00365592"/>
    <w:rsid w:val="003658E0"/>
    <w:rsid w:val="0036592A"/>
    <w:rsid w:val="00365945"/>
    <w:rsid w:val="00365ABC"/>
    <w:rsid w:val="00365D4D"/>
    <w:rsid w:val="00365D7A"/>
    <w:rsid w:val="00365DA1"/>
    <w:rsid w:val="00365DD2"/>
    <w:rsid w:val="00365FB6"/>
    <w:rsid w:val="00366161"/>
    <w:rsid w:val="00366271"/>
    <w:rsid w:val="00366329"/>
    <w:rsid w:val="003667B1"/>
    <w:rsid w:val="00366837"/>
    <w:rsid w:val="00366AB3"/>
    <w:rsid w:val="00366B97"/>
    <w:rsid w:val="00366D43"/>
    <w:rsid w:val="00367070"/>
    <w:rsid w:val="003670DF"/>
    <w:rsid w:val="0036710E"/>
    <w:rsid w:val="0036715D"/>
    <w:rsid w:val="003671A2"/>
    <w:rsid w:val="0036723E"/>
    <w:rsid w:val="0036741F"/>
    <w:rsid w:val="0036749D"/>
    <w:rsid w:val="003675CC"/>
    <w:rsid w:val="003675E6"/>
    <w:rsid w:val="003677C5"/>
    <w:rsid w:val="003677ED"/>
    <w:rsid w:val="003678B8"/>
    <w:rsid w:val="00367B42"/>
    <w:rsid w:val="00367C07"/>
    <w:rsid w:val="00367C41"/>
    <w:rsid w:val="00367DCF"/>
    <w:rsid w:val="00367F3A"/>
    <w:rsid w:val="00367F9F"/>
    <w:rsid w:val="00367FCF"/>
    <w:rsid w:val="003701AE"/>
    <w:rsid w:val="003701B4"/>
    <w:rsid w:val="0037020D"/>
    <w:rsid w:val="003703E5"/>
    <w:rsid w:val="00370606"/>
    <w:rsid w:val="0037082A"/>
    <w:rsid w:val="00370A16"/>
    <w:rsid w:val="00370A39"/>
    <w:rsid w:val="00370CAD"/>
    <w:rsid w:val="00370E60"/>
    <w:rsid w:val="00370E67"/>
    <w:rsid w:val="003711DF"/>
    <w:rsid w:val="0037123E"/>
    <w:rsid w:val="003712E6"/>
    <w:rsid w:val="00371345"/>
    <w:rsid w:val="003713A6"/>
    <w:rsid w:val="003713B0"/>
    <w:rsid w:val="003713E2"/>
    <w:rsid w:val="003713EE"/>
    <w:rsid w:val="003714CD"/>
    <w:rsid w:val="003715DA"/>
    <w:rsid w:val="00371693"/>
    <w:rsid w:val="00371EB3"/>
    <w:rsid w:val="00371F3F"/>
    <w:rsid w:val="0037213F"/>
    <w:rsid w:val="00372229"/>
    <w:rsid w:val="0037254B"/>
    <w:rsid w:val="00372B72"/>
    <w:rsid w:val="00372C65"/>
    <w:rsid w:val="00372D96"/>
    <w:rsid w:val="00372EB1"/>
    <w:rsid w:val="00372F0A"/>
    <w:rsid w:val="003730FA"/>
    <w:rsid w:val="003731AB"/>
    <w:rsid w:val="003732D9"/>
    <w:rsid w:val="003733F9"/>
    <w:rsid w:val="003735CC"/>
    <w:rsid w:val="00373659"/>
    <w:rsid w:val="00373663"/>
    <w:rsid w:val="003736E3"/>
    <w:rsid w:val="003737D7"/>
    <w:rsid w:val="0037397D"/>
    <w:rsid w:val="00373A0E"/>
    <w:rsid w:val="00373B3E"/>
    <w:rsid w:val="00373C9B"/>
    <w:rsid w:val="00373DE8"/>
    <w:rsid w:val="00373DFA"/>
    <w:rsid w:val="00373E39"/>
    <w:rsid w:val="00373EEF"/>
    <w:rsid w:val="00373FB6"/>
    <w:rsid w:val="00374049"/>
    <w:rsid w:val="0037405F"/>
    <w:rsid w:val="003740E0"/>
    <w:rsid w:val="0037412B"/>
    <w:rsid w:val="00374380"/>
    <w:rsid w:val="0037441F"/>
    <w:rsid w:val="003745DB"/>
    <w:rsid w:val="00374783"/>
    <w:rsid w:val="003747D9"/>
    <w:rsid w:val="0037499D"/>
    <w:rsid w:val="00374D0C"/>
    <w:rsid w:val="00374D68"/>
    <w:rsid w:val="00374E31"/>
    <w:rsid w:val="00374FFA"/>
    <w:rsid w:val="0037506C"/>
    <w:rsid w:val="0037532D"/>
    <w:rsid w:val="003753B6"/>
    <w:rsid w:val="00375404"/>
    <w:rsid w:val="0037547C"/>
    <w:rsid w:val="0037554D"/>
    <w:rsid w:val="003755AD"/>
    <w:rsid w:val="00375749"/>
    <w:rsid w:val="0037590F"/>
    <w:rsid w:val="00375B49"/>
    <w:rsid w:val="00375C94"/>
    <w:rsid w:val="00375E8A"/>
    <w:rsid w:val="00375F71"/>
    <w:rsid w:val="00376132"/>
    <w:rsid w:val="0037642F"/>
    <w:rsid w:val="003766F9"/>
    <w:rsid w:val="00376774"/>
    <w:rsid w:val="003768CB"/>
    <w:rsid w:val="00376AB9"/>
    <w:rsid w:val="00376B26"/>
    <w:rsid w:val="00376B56"/>
    <w:rsid w:val="00377007"/>
    <w:rsid w:val="00377227"/>
    <w:rsid w:val="0037729F"/>
    <w:rsid w:val="003775FD"/>
    <w:rsid w:val="0037767D"/>
    <w:rsid w:val="00377769"/>
    <w:rsid w:val="003777A8"/>
    <w:rsid w:val="00377A18"/>
    <w:rsid w:val="00377A81"/>
    <w:rsid w:val="00377B39"/>
    <w:rsid w:val="00377BA5"/>
    <w:rsid w:val="00377BB3"/>
    <w:rsid w:val="00377E4F"/>
    <w:rsid w:val="00377EFF"/>
    <w:rsid w:val="00377F0F"/>
    <w:rsid w:val="00377FFC"/>
    <w:rsid w:val="00380047"/>
    <w:rsid w:val="003801F3"/>
    <w:rsid w:val="003803A1"/>
    <w:rsid w:val="0038041D"/>
    <w:rsid w:val="003805DA"/>
    <w:rsid w:val="003806C0"/>
    <w:rsid w:val="003806CB"/>
    <w:rsid w:val="00380716"/>
    <w:rsid w:val="00380928"/>
    <w:rsid w:val="00380B7A"/>
    <w:rsid w:val="00380DEA"/>
    <w:rsid w:val="00380EF8"/>
    <w:rsid w:val="00381115"/>
    <w:rsid w:val="003811CB"/>
    <w:rsid w:val="003811D8"/>
    <w:rsid w:val="003812F4"/>
    <w:rsid w:val="0038131D"/>
    <w:rsid w:val="00381393"/>
    <w:rsid w:val="0038156A"/>
    <w:rsid w:val="0038158E"/>
    <w:rsid w:val="003817D4"/>
    <w:rsid w:val="0038183E"/>
    <w:rsid w:val="003819E7"/>
    <w:rsid w:val="00381CF1"/>
    <w:rsid w:val="00381E9B"/>
    <w:rsid w:val="00381EE1"/>
    <w:rsid w:val="00381F48"/>
    <w:rsid w:val="00382054"/>
    <w:rsid w:val="00382055"/>
    <w:rsid w:val="00382097"/>
    <w:rsid w:val="0038218D"/>
    <w:rsid w:val="0038247E"/>
    <w:rsid w:val="00382592"/>
    <w:rsid w:val="0038260A"/>
    <w:rsid w:val="00382626"/>
    <w:rsid w:val="003826A1"/>
    <w:rsid w:val="003826E1"/>
    <w:rsid w:val="003827AA"/>
    <w:rsid w:val="003827F6"/>
    <w:rsid w:val="00382848"/>
    <w:rsid w:val="0038294D"/>
    <w:rsid w:val="00382EC4"/>
    <w:rsid w:val="00383147"/>
    <w:rsid w:val="00383168"/>
    <w:rsid w:val="003831ED"/>
    <w:rsid w:val="003832C0"/>
    <w:rsid w:val="003832F7"/>
    <w:rsid w:val="0038338C"/>
    <w:rsid w:val="0038359F"/>
    <w:rsid w:val="00383749"/>
    <w:rsid w:val="00383947"/>
    <w:rsid w:val="00383AED"/>
    <w:rsid w:val="00383B15"/>
    <w:rsid w:val="00383D1B"/>
    <w:rsid w:val="00383D53"/>
    <w:rsid w:val="00383DD3"/>
    <w:rsid w:val="00383F02"/>
    <w:rsid w:val="00383F1E"/>
    <w:rsid w:val="00383FA5"/>
    <w:rsid w:val="0038422C"/>
    <w:rsid w:val="00384422"/>
    <w:rsid w:val="0038448F"/>
    <w:rsid w:val="003846C4"/>
    <w:rsid w:val="00384B2D"/>
    <w:rsid w:val="00384CB4"/>
    <w:rsid w:val="00384D28"/>
    <w:rsid w:val="00384D46"/>
    <w:rsid w:val="00384FD0"/>
    <w:rsid w:val="003851DD"/>
    <w:rsid w:val="00385220"/>
    <w:rsid w:val="0038550C"/>
    <w:rsid w:val="00385534"/>
    <w:rsid w:val="0038553E"/>
    <w:rsid w:val="003855B6"/>
    <w:rsid w:val="00385653"/>
    <w:rsid w:val="003857BE"/>
    <w:rsid w:val="00385865"/>
    <w:rsid w:val="00385B7A"/>
    <w:rsid w:val="00385B7C"/>
    <w:rsid w:val="00385B9A"/>
    <w:rsid w:val="00385CAE"/>
    <w:rsid w:val="00385CDA"/>
    <w:rsid w:val="00385D1C"/>
    <w:rsid w:val="00385DBB"/>
    <w:rsid w:val="00386116"/>
    <w:rsid w:val="0038615D"/>
    <w:rsid w:val="003861E6"/>
    <w:rsid w:val="00386770"/>
    <w:rsid w:val="0038682A"/>
    <w:rsid w:val="00386A0D"/>
    <w:rsid w:val="00386C25"/>
    <w:rsid w:val="00386C55"/>
    <w:rsid w:val="00386C6B"/>
    <w:rsid w:val="00386D5E"/>
    <w:rsid w:val="00386F0C"/>
    <w:rsid w:val="00387047"/>
    <w:rsid w:val="003873F6"/>
    <w:rsid w:val="003874D2"/>
    <w:rsid w:val="00387516"/>
    <w:rsid w:val="00387576"/>
    <w:rsid w:val="003878F2"/>
    <w:rsid w:val="00387A8C"/>
    <w:rsid w:val="00387C8D"/>
    <w:rsid w:val="00387CF6"/>
    <w:rsid w:val="00387EB6"/>
    <w:rsid w:val="00387FCB"/>
    <w:rsid w:val="00390233"/>
    <w:rsid w:val="00390282"/>
    <w:rsid w:val="003904E7"/>
    <w:rsid w:val="003908AC"/>
    <w:rsid w:val="0039095D"/>
    <w:rsid w:val="0039096C"/>
    <w:rsid w:val="00390A65"/>
    <w:rsid w:val="00390B48"/>
    <w:rsid w:val="00390C70"/>
    <w:rsid w:val="00390E7B"/>
    <w:rsid w:val="00390F14"/>
    <w:rsid w:val="00390F9C"/>
    <w:rsid w:val="00391111"/>
    <w:rsid w:val="00391399"/>
    <w:rsid w:val="003913D4"/>
    <w:rsid w:val="003914BD"/>
    <w:rsid w:val="00391552"/>
    <w:rsid w:val="003915BA"/>
    <w:rsid w:val="0039168E"/>
    <w:rsid w:val="0039176A"/>
    <w:rsid w:val="003918C8"/>
    <w:rsid w:val="00391D81"/>
    <w:rsid w:val="00391F69"/>
    <w:rsid w:val="00392427"/>
    <w:rsid w:val="00392543"/>
    <w:rsid w:val="00392663"/>
    <w:rsid w:val="003926F2"/>
    <w:rsid w:val="0039272E"/>
    <w:rsid w:val="00392881"/>
    <w:rsid w:val="003928DF"/>
    <w:rsid w:val="003928FD"/>
    <w:rsid w:val="0039297C"/>
    <w:rsid w:val="00392C65"/>
    <w:rsid w:val="00392C84"/>
    <w:rsid w:val="00392C86"/>
    <w:rsid w:val="00392D19"/>
    <w:rsid w:val="00392D48"/>
    <w:rsid w:val="00392D6F"/>
    <w:rsid w:val="00392D73"/>
    <w:rsid w:val="00392DFE"/>
    <w:rsid w:val="00392FB9"/>
    <w:rsid w:val="003930FF"/>
    <w:rsid w:val="0039319E"/>
    <w:rsid w:val="00393703"/>
    <w:rsid w:val="00393841"/>
    <w:rsid w:val="0039386B"/>
    <w:rsid w:val="003938F3"/>
    <w:rsid w:val="003939FC"/>
    <w:rsid w:val="00393EBA"/>
    <w:rsid w:val="00393ED8"/>
    <w:rsid w:val="00393F3B"/>
    <w:rsid w:val="00394043"/>
    <w:rsid w:val="0039424D"/>
    <w:rsid w:val="003942E1"/>
    <w:rsid w:val="00394465"/>
    <w:rsid w:val="003945EC"/>
    <w:rsid w:val="0039465E"/>
    <w:rsid w:val="00394830"/>
    <w:rsid w:val="00394883"/>
    <w:rsid w:val="00394B7F"/>
    <w:rsid w:val="00394C21"/>
    <w:rsid w:val="00394CD5"/>
    <w:rsid w:val="00394D3F"/>
    <w:rsid w:val="003950E6"/>
    <w:rsid w:val="003950EB"/>
    <w:rsid w:val="00395320"/>
    <w:rsid w:val="00395373"/>
    <w:rsid w:val="003956B6"/>
    <w:rsid w:val="003957D3"/>
    <w:rsid w:val="0039587A"/>
    <w:rsid w:val="0039591C"/>
    <w:rsid w:val="00395931"/>
    <w:rsid w:val="00395AA0"/>
    <w:rsid w:val="00395AF7"/>
    <w:rsid w:val="00395B72"/>
    <w:rsid w:val="00395CA6"/>
    <w:rsid w:val="00395DD5"/>
    <w:rsid w:val="00395FAA"/>
    <w:rsid w:val="003960C8"/>
    <w:rsid w:val="00396404"/>
    <w:rsid w:val="0039660D"/>
    <w:rsid w:val="0039660F"/>
    <w:rsid w:val="0039668C"/>
    <w:rsid w:val="00396741"/>
    <w:rsid w:val="003967A9"/>
    <w:rsid w:val="003969A1"/>
    <w:rsid w:val="00396B84"/>
    <w:rsid w:val="00396BA2"/>
    <w:rsid w:val="00396C46"/>
    <w:rsid w:val="00396C5F"/>
    <w:rsid w:val="00396CA2"/>
    <w:rsid w:val="00396CDA"/>
    <w:rsid w:val="00396DF9"/>
    <w:rsid w:val="00396E99"/>
    <w:rsid w:val="00396F0B"/>
    <w:rsid w:val="00396FA2"/>
    <w:rsid w:val="00397041"/>
    <w:rsid w:val="003970C5"/>
    <w:rsid w:val="003970D4"/>
    <w:rsid w:val="003972E1"/>
    <w:rsid w:val="003974EA"/>
    <w:rsid w:val="0039757B"/>
    <w:rsid w:val="0039786C"/>
    <w:rsid w:val="003978ED"/>
    <w:rsid w:val="00397B33"/>
    <w:rsid w:val="00397C15"/>
    <w:rsid w:val="00397CB6"/>
    <w:rsid w:val="00397CEC"/>
    <w:rsid w:val="00397D37"/>
    <w:rsid w:val="003A0095"/>
    <w:rsid w:val="003A00D9"/>
    <w:rsid w:val="003A01F4"/>
    <w:rsid w:val="003A020B"/>
    <w:rsid w:val="003A032B"/>
    <w:rsid w:val="003A0607"/>
    <w:rsid w:val="003A060B"/>
    <w:rsid w:val="003A078D"/>
    <w:rsid w:val="003A07E9"/>
    <w:rsid w:val="003A0FD0"/>
    <w:rsid w:val="003A0FF0"/>
    <w:rsid w:val="003A1128"/>
    <w:rsid w:val="003A118E"/>
    <w:rsid w:val="003A1204"/>
    <w:rsid w:val="003A14BD"/>
    <w:rsid w:val="003A1515"/>
    <w:rsid w:val="003A162C"/>
    <w:rsid w:val="003A1720"/>
    <w:rsid w:val="003A17F5"/>
    <w:rsid w:val="003A186D"/>
    <w:rsid w:val="003A1A2D"/>
    <w:rsid w:val="003A1A7B"/>
    <w:rsid w:val="003A1B28"/>
    <w:rsid w:val="003A1C96"/>
    <w:rsid w:val="003A1DAD"/>
    <w:rsid w:val="003A2010"/>
    <w:rsid w:val="003A20A6"/>
    <w:rsid w:val="003A2129"/>
    <w:rsid w:val="003A2306"/>
    <w:rsid w:val="003A2376"/>
    <w:rsid w:val="003A24A9"/>
    <w:rsid w:val="003A250C"/>
    <w:rsid w:val="003A258A"/>
    <w:rsid w:val="003A264A"/>
    <w:rsid w:val="003A266B"/>
    <w:rsid w:val="003A2A03"/>
    <w:rsid w:val="003A2ABA"/>
    <w:rsid w:val="003A2ACB"/>
    <w:rsid w:val="003A3057"/>
    <w:rsid w:val="003A3068"/>
    <w:rsid w:val="003A3216"/>
    <w:rsid w:val="003A3568"/>
    <w:rsid w:val="003A35B6"/>
    <w:rsid w:val="003A364D"/>
    <w:rsid w:val="003A37BB"/>
    <w:rsid w:val="003A392D"/>
    <w:rsid w:val="003A3BFD"/>
    <w:rsid w:val="003A3E2C"/>
    <w:rsid w:val="003A3F4F"/>
    <w:rsid w:val="003A3F95"/>
    <w:rsid w:val="003A4094"/>
    <w:rsid w:val="003A40C3"/>
    <w:rsid w:val="003A41F5"/>
    <w:rsid w:val="003A422E"/>
    <w:rsid w:val="003A4256"/>
    <w:rsid w:val="003A4318"/>
    <w:rsid w:val="003A4448"/>
    <w:rsid w:val="003A44A2"/>
    <w:rsid w:val="003A44EC"/>
    <w:rsid w:val="003A45D1"/>
    <w:rsid w:val="003A4747"/>
    <w:rsid w:val="003A4860"/>
    <w:rsid w:val="003A4912"/>
    <w:rsid w:val="003A4A06"/>
    <w:rsid w:val="003A4DE1"/>
    <w:rsid w:val="003A4E99"/>
    <w:rsid w:val="003A4FA3"/>
    <w:rsid w:val="003A511E"/>
    <w:rsid w:val="003A5272"/>
    <w:rsid w:val="003A53CA"/>
    <w:rsid w:val="003A53D8"/>
    <w:rsid w:val="003A55D4"/>
    <w:rsid w:val="003A57FE"/>
    <w:rsid w:val="003A589C"/>
    <w:rsid w:val="003A589D"/>
    <w:rsid w:val="003A58F4"/>
    <w:rsid w:val="003A5AAF"/>
    <w:rsid w:val="003A5CCE"/>
    <w:rsid w:val="003A5E82"/>
    <w:rsid w:val="003A6311"/>
    <w:rsid w:val="003A63D5"/>
    <w:rsid w:val="003A6664"/>
    <w:rsid w:val="003A6698"/>
    <w:rsid w:val="003A6863"/>
    <w:rsid w:val="003A68FD"/>
    <w:rsid w:val="003A6B46"/>
    <w:rsid w:val="003A6CF3"/>
    <w:rsid w:val="003A6DD0"/>
    <w:rsid w:val="003A70DA"/>
    <w:rsid w:val="003A7556"/>
    <w:rsid w:val="003A7702"/>
    <w:rsid w:val="003A7819"/>
    <w:rsid w:val="003A7896"/>
    <w:rsid w:val="003A79A6"/>
    <w:rsid w:val="003A7A07"/>
    <w:rsid w:val="003A7A76"/>
    <w:rsid w:val="003A7B01"/>
    <w:rsid w:val="003A7B9B"/>
    <w:rsid w:val="003A7C15"/>
    <w:rsid w:val="003A7CAD"/>
    <w:rsid w:val="003A7DF0"/>
    <w:rsid w:val="003A7E72"/>
    <w:rsid w:val="003B00AD"/>
    <w:rsid w:val="003B0255"/>
    <w:rsid w:val="003B0319"/>
    <w:rsid w:val="003B0496"/>
    <w:rsid w:val="003B04A0"/>
    <w:rsid w:val="003B0529"/>
    <w:rsid w:val="003B060C"/>
    <w:rsid w:val="003B076C"/>
    <w:rsid w:val="003B09AE"/>
    <w:rsid w:val="003B0A70"/>
    <w:rsid w:val="003B0A9B"/>
    <w:rsid w:val="003B0B95"/>
    <w:rsid w:val="003B0CB1"/>
    <w:rsid w:val="003B1046"/>
    <w:rsid w:val="003B1093"/>
    <w:rsid w:val="003B14BD"/>
    <w:rsid w:val="003B14C1"/>
    <w:rsid w:val="003B15FE"/>
    <w:rsid w:val="003B167D"/>
    <w:rsid w:val="003B17D8"/>
    <w:rsid w:val="003B1870"/>
    <w:rsid w:val="003B1A0B"/>
    <w:rsid w:val="003B1C61"/>
    <w:rsid w:val="003B1D4E"/>
    <w:rsid w:val="003B1D77"/>
    <w:rsid w:val="003B1D94"/>
    <w:rsid w:val="003B1DA9"/>
    <w:rsid w:val="003B1E88"/>
    <w:rsid w:val="003B1F3E"/>
    <w:rsid w:val="003B20D0"/>
    <w:rsid w:val="003B22D6"/>
    <w:rsid w:val="003B2496"/>
    <w:rsid w:val="003B264B"/>
    <w:rsid w:val="003B2771"/>
    <w:rsid w:val="003B27F0"/>
    <w:rsid w:val="003B2A90"/>
    <w:rsid w:val="003B2C2C"/>
    <w:rsid w:val="003B2DC9"/>
    <w:rsid w:val="003B2DE7"/>
    <w:rsid w:val="003B2E53"/>
    <w:rsid w:val="003B2EBB"/>
    <w:rsid w:val="003B30F9"/>
    <w:rsid w:val="003B3112"/>
    <w:rsid w:val="003B3266"/>
    <w:rsid w:val="003B328A"/>
    <w:rsid w:val="003B33B6"/>
    <w:rsid w:val="003B34AF"/>
    <w:rsid w:val="003B3557"/>
    <w:rsid w:val="003B3562"/>
    <w:rsid w:val="003B367C"/>
    <w:rsid w:val="003B37F6"/>
    <w:rsid w:val="003B3A43"/>
    <w:rsid w:val="003B3A6D"/>
    <w:rsid w:val="003B3D9E"/>
    <w:rsid w:val="003B3E6E"/>
    <w:rsid w:val="003B3F91"/>
    <w:rsid w:val="003B41C9"/>
    <w:rsid w:val="003B423B"/>
    <w:rsid w:val="003B42F7"/>
    <w:rsid w:val="003B43DA"/>
    <w:rsid w:val="003B441F"/>
    <w:rsid w:val="003B45BA"/>
    <w:rsid w:val="003B45E1"/>
    <w:rsid w:val="003B469C"/>
    <w:rsid w:val="003B4814"/>
    <w:rsid w:val="003B4831"/>
    <w:rsid w:val="003B49A7"/>
    <w:rsid w:val="003B49B6"/>
    <w:rsid w:val="003B4B45"/>
    <w:rsid w:val="003B4B86"/>
    <w:rsid w:val="003B4B8C"/>
    <w:rsid w:val="003B4CEC"/>
    <w:rsid w:val="003B4D77"/>
    <w:rsid w:val="003B4EFB"/>
    <w:rsid w:val="003B5027"/>
    <w:rsid w:val="003B5105"/>
    <w:rsid w:val="003B51E4"/>
    <w:rsid w:val="003B5213"/>
    <w:rsid w:val="003B52C6"/>
    <w:rsid w:val="003B52FE"/>
    <w:rsid w:val="003B53A6"/>
    <w:rsid w:val="003B5470"/>
    <w:rsid w:val="003B54BA"/>
    <w:rsid w:val="003B552F"/>
    <w:rsid w:val="003B55CC"/>
    <w:rsid w:val="003B571F"/>
    <w:rsid w:val="003B57B8"/>
    <w:rsid w:val="003B596F"/>
    <w:rsid w:val="003B5A6A"/>
    <w:rsid w:val="003B60D0"/>
    <w:rsid w:val="003B62FF"/>
    <w:rsid w:val="003B6344"/>
    <w:rsid w:val="003B64A8"/>
    <w:rsid w:val="003B6610"/>
    <w:rsid w:val="003B6AA5"/>
    <w:rsid w:val="003B6BEE"/>
    <w:rsid w:val="003B6CBC"/>
    <w:rsid w:val="003B6CCB"/>
    <w:rsid w:val="003B6CD6"/>
    <w:rsid w:val="003B6CE5"/>
    <w:rsid w:val="003B6CEC"/>
    <w:rsid w:val="003B6D21"/>
    <w:rsid w:val="003B7059"/>
    <w:rsid w:val="003B70DC"/>
    <w:rsid w:val="003B73B3"/>
    <w:rsid w:val="003B745E"/>
    <w:rsid w:val="003B7639"/>
    <w:rsid w:val="003B7714"/>
    <w:rsid w:val="003B78EB"/>
    <w:rsid w:val="003B7AF9"/>
    <w:rsid w:val="003B7D89"/>
    <w:rsid w:val="003B7DD3"/>
    <w:rsid w:val="003B7EA5"/>
    <w:rsid w:val="003B7FC6"/>
    <w:rsid w:val="003C00E9"/>
    <w:rsid w:val="003C0278"/>
    <w:rsid w:val="003C02C9"/>
    <w:rsid w:val="003C0415"/>
    <w:rsid w:val="003C0426"/>
    <w:rsid w:val="003C04E7"/>
    <w:rsid w:val="003C06BA"/>
    <w:rsid w:val="003C076A"/>
    <w:rsid w:val="003C090E"/>
    <w:rsid w:val="003C0BA6"/>
    <w:rsid w:val="003C0DED"/>
    <w:rsid w:val="003C0E05"/>
    <w:rsid w:val="003C0F01"/>
    <w:rsid w:val="003C104C"/>
    <w:rsid w:val="003C12FE"/>
    <w:rsid w:val="003C134A"/>
    <w:rsid w:val="003C1369"/>
    <w:rsid w:val="003C141E"/>
    <w:rsid w:val="003C14AE"/>
    <w:rsid w:val="003C156B"/>
    <w:rsid w:val="003C16BB"/>
    <w:rsid w:val="003C1A57"/>
    <w:rsid w:val="003C1B6A"/>
    <w:rsid w:val="003C1DC0"/>
    <w:rsid w:val="003C1E99"/>
    <w:rsid w:val="003C1EE7"/>
    <w:rsid w:val="003C1F3F"/>
    <w:rsid w:val="003C1F8D"/>
    <w:rsid w:val="003C210B"/>
    <w:rsid w:val="003C21DA"/>
    <w:rsid w:val="003C22D1"/>
    <w:rsid w:val="003C2A70"/>
    <w:rsid w:val="003C2B1F"/>
    <w:rsid w:val="003C2B35"/>
    <w:rsid w:val="003C2B8B"/>
    <w:rsid w:val="003C2BFD"/>
    <w:rsid w:val="003C2ECC"/>
    <w:rsid w:val="003C2F87"/>
    <w:rsid w:val="003C34C4"/>
    <w:rsid w:val="003C3525"/>
    <w:rsid w:val="003C3966"/>
    <w:rsid w:val="003C3A19"/>
    <w:rsid w:val="003C3ADB"/>
    <w:rsid w:val="003C3C66"/>
    <w:rsid w:val="003C3C6B"/>
    <w:rsid w:val="003C3CC9"/>
    <w:rsid w:val="003C3CEF"/>
    <w:rsid w:val="003C3F42"/>
    <w:rsid w:val="003C3FAF"/>
    <w:rsid w:val="003C3FFB"/>
    <w:rsid w:val="003C40D9"/>
    <w:rsid w:val="003C4170"/>
    <w:rsid w:val="003C431A"/>
    <w:rsid w:val="003C433A"/>
    <w:rsid w:val="003C44CD"/>
    <w:rsid w:val="003C4570"/>
    <w:rsid w:val="003C4579"/>
    <w:rsid w:val="003C46FE"/>
    <w:rsid w:val="003C49C5"/>
    <w:rsid w:val="003C4A60"/>
    <w:rsid w:val="003C4A80"/>
    <w:rsid w:val="003C4EDB"/>
    <w:rsid w:val="003C5006"/>
    <w:rsid w:val="003C5014"/>
    <w:rsid w:val="003C50FE"/>
    <w:rsid w:val="003C522E"/>
    <w:rsid w:val="003C54FF"/>
    <w:rsid w:val="003C56CB"/>
    <w:rsid w:val="003C59DB"/>
    <w:rsid w:val="003C5B95"/>
    <w:rsid w:val="003C5C3F"/>
    <w:rsid w:val="003C5C43"/>
    <w:rsid w:val="003C5FB5"/>
    <w:rsid w:val="003C5FD8"/>
    <w:rsid w:val="003C60F0"/>
    <w:rsid w:val="003C6528"/>
    <w:rsid w:val="003C65B2"/>
    <w:rsid w:val="003C6611"/>
    <w:rsid w:val="003C6653"/>
    <w:rsid w:val="003C6669"/>
    <w:rsid w:val="003C66AA"/>
    <w:rsid w:val="003C66F6"/>
    <w:rsid w:val="003C6727"/>
    <w:rsid w:val="003C67B5"/>
    <w:rsid w:val="003C6D86"/>
    <w:rsid w:val="003C6D94"/>
    <w:rsid w:val="003C6EB4"/>
    <w:rsid w:val="003C6F9E"/>
    <w:rsid w:val="003C714D"/>
    <w:rsid w:val="003C71BC"/>
    <w:rsid w:val="003C73AC"/>
    <w:rsid w:val="003C73C9"/>
    <w:rsid w:val="003C751C"/>
    <w:rsid w:val="003C7938"/>
    <w:rsid w:val="003C7A19"/>
    <w:rsid w:val="003C7B70"/>
    <w:rsid w:val="003C7C25"/>
    <w:rsid w:val="003C7E2B"/>
    <w:rsid w:val="003C7E50"/>
    <w:rsid w:val="003C7EED"/>
    <w:rsid w:val="003C7F6C"/>
    <w:rsid w:val="003C7FDF"/>
    <w:rsid w:val="003D0045"/>
    <w:rsid w:val="003D00B4"/>
    <w:rsid w:val="003D0118"/>
    <w:rsid w:val="003D0320"/>
    <w:rsid w:val="003D0356"/>
    <w:rsid w:val="003D0684"/>
    <w:rsid w:val="003D0859"/>
    <w:rsid w:val="003D0865"/>
    <w:rsid w:val="003D0881"/>
    <w:rsid w:val="003D0BEF"/>
    <w:rsid w:val="003D0C9F"/>
    <w:rsid w:val="003D0F18"/>
    <w:rsid w:val="003D11F9"/>
    <w:rsid w:val="003D11FE"/>
    <w:rsid w:val="003D14CD"/>
    <w:rsid w:val="003D1B6B"/>
    <w:rsid w:val="003D1BFE"/>
    <w:rsid w:val="003D1DC5"/>
    <w:rsid w:val="003D1E26"/>
    <w:rsid w:val="003D1F59"/>
    <w:rsid w:val="003D1FCE"/>
    <w:rsid w:val="003D20C2"/>
    <w:rsid w:val="003D2257"/>
    <w:rsid w:val="003D2498"/>
    <w:rsid w:val="003D251A"/>
    <w:rsid w:val="003D284E"/>
    <w:rsid w:val="003D28AB"/>
    <w:rsid w:val="003D2ACE"/>
    <w:rsid w:val="003D2BBD"/>
    <w:rsid w:val="003D2CAD"/>
    <w:rsid w:val="003D2CED"/>
    <w:rsid w:val="003D2D30"/>
    <w:rsid w:val="003D2D93"/>
    <w:rsid w:val="003D2E09"/>
    <w:rsid w:val="003D2E47"/>
    <w:rsid w:val="003D2EB2"/>
    <w:rsid w:val="003D308F"/>
    <w:rsid w:val="003D30EE"/>
    <w:rsid w:val="003D3139"/>
    <w:rsid w:val="003D31CB"/>
    <w:rsid w:val="003D31EB"/>
    <w:rsid w:val="003D3314"/>
    <w:rsid w:val="003D352F"/>
    <w:rsid w:val="003D3570"/>
    <w:rsid w:val="003D35B7"/>
    <w:rsid w:val="003D3660"/>
    <w:rsid w:val="003D36AD"/>
    <w:rsid w:val="003D3761"/>
    <w:rsid w:val="003D37A5"/>
    <w:rsid w:val="003D3815"/>
    <w:rsid w:val="003D3A1D"/>
    <w:rsid w:val="003D3C77"/>
    <w:rsid w:val="003D3E96"/>
    <w:rsid w:val="003D3F05"/>
    <w:rsid w:val="003D3F29"/>
    <w:rsid w:val="003D433E"/>
    <w:rsid w:val="003D44E2"/>
    <w:rsid w:val="003D4521"/>
    <w:rsid w:val="003D458C"/>
    <w:rsid w:val="003D45FE"/>
    <w:rsid w:val="003D464C"/>
    <w:rsid w:val="003D471A"/>
    <w:rsid w:val="003D4B31"/>
    <w:rsid w:val="003D4FAA"/>
    <w:rsid w:val="003D503D"/>
    <w:rsid w:val="003D59E6"/>
    <w:rsid w:val="003D5B46"/>
    <w:rsid w:val="003D5B50"/>
    <w:rsid w:val="003D5D00"/>
    <w:rsid w:val="003D5FFB"/>
    <w:rsid w:val="003D630C"/>
    <w:rsid w:val="003D65F1"/>
    <w:rsid w:val="003D66F7"/>
    <w:rsid w:val="003D674A"/>
    <w:rsid w:val="003D679C"/>
    <w:rsid w:val="003D67DA"/>
    <w:rsid w:val="003D6847"/>
    <w:rsid w:val="003D6852"/>
    <w:rsid w:val="003D6887"/>
    <w:rsid w:val="003D6995"/>
    <w:rsid w:val="003D6AE0"/>
    <w:rsid w:val="003D6DD3"/>
    <w:rsid w:val="003D6F52"/>
    <w:rsid w:val="003D707A"/>
    <w:rsid w:val="003D7094"/>
    <w:rsid w:val="003D71BB"/>
    <w:rsid w:val="003D7289"/>
    <w:rsid w:val="003D73CD"/>
    <w:rsid w:val="003D746A"/>
    <w:rsid w:val="003D74BC"/>
    <w:rsid w:val="003D75D5"/>
    <w:rsid w:val="003D7822"/>
    <w:rsid w:val="003D7967"/>
    <w:rsid w:val="003D7A26"/>
    <w:rsid w:val="003D7C7D"/>
    <w:rsid w:val="003D7C91"/>
    <w:rsid w:val="003D7CDA"/>
    <w:rsid w:val="003D7D51"/>
    <w:rsid w:val="003D7D89"/>
    <w:rsid w:val="003D7FEE"/>
    <w:rsid w:val="003E00DA"/>
    <w:rsid w:val="003E00F3"/>
    <w:rsid w:val="003E01A3"/>
    <w:rsid w:val="003E01CE"/>
    <w:rsid w:val="003E0396"/>
    <w:rsid w:val="003E03C1"/>
    <w:rsid w:val="003E056A"/>
    <w:rsid w:val="003E05BF"/>
    <w:rsid w:val="003E05E5"/>
    <w:rsid w:val="003E0635"/>
    <w:rsid w:val="003E06F5"/>
    <w:rsid w:val="003E0727"/>
    <w:rsid w:val="003E0799"/>
    <w:rsid w:val="003E091F"/>
    <w:rsid w:val="003E0948"/>
    <w:rsid w:val="003E0B5C"/>
    <w:rsid w:val="003E0B8B"/>
    <w:rsid w:val="003E0B8F"/>
    <w:rsid w:val="003E0CAB"/>
    <w:rsid w:val="003E0E13"/>
    <w:rsid w:val="003E0EF6"/>
    <w:rsid w:val="003E0F1B"/>
    <w:rsid w:val="003E0FD1"/>
    <w:rsid w:val="003E1029"/>
    <w:rsid w:val="003E1139"/>
    <w:rsid w:val="003E125A"/>
    <w:rsid w:val="003E127C"/>
    <w:rsid w:val="003E14EE"/>
    <w:rsid w:val="003E158C"/>
    <w:rsid w:val="003E15B2"/>
    <w:rsid w:val="003E15C7"/>
    <w:rsid w:val="003E1778"/>
    <w:rsid w:val="003E177B"/>
    <w:rsid w:val="003E189F"/>
    <w:rsid w:val="003E1B53"/>
    <w:rsid w:val="003E1D29"/>
    <w:rsid w:val="003E2021"/>
    <w:rsid w:val="003E20DF"/>
    <w:rsid w:val="003E2111"/>
    <w:rsid w:val="003E214E"/>
    <w:rsid w:val="003E22E7"/>
    <w:rsid w:val="003E2379"/>
    <w:rsid w:val="003E2384"/>
    <w:rsid w:val="003E2576"/>
    <w:rsid w:val="003E26C8"/>
    <w:rsid w:val="003E2750"/>
    <w:rsid w:val="003E2896"/>
    <w:rsid w:val="003E2B04"/>
    <w:rsid w:val="003E2CED"/>
    <w:rsid w:val="003E2CFA"/>
    <w:rsid w:val="003E2D8B"/>
    <w:rsid w:val="003E2DC7"/>
    <w:rsid w:val="003E2E1B"/>
    <w:rsid w:val="003E2EC0"/>
    <w:rsid w:val="003E2F2C"/>
    <w:rsid w:val="003E30FF"/>
    <w:rsid w:val="003E31AF"/>
    <w:rsid w:val="003E31EA"/>
    <w:rsid w:val="003E331F"/>
    <w:rsid w:val="003E3633"/>
    <w:rsid w:val="003E3820"/>
    <w:rsid w:val="003E3840"/>
    <w:rsid w:val="003E3A50"/>
    <w:rsid w:val="003E3E08"/>
    <w:rsid w:val="003E3F0C"/>
    <w:rsid w:val="003E4396"/>
    <w:rsid w:val="003E4427"/>
    <w:rsid w:val="003E4549"/>
    <w:rsid w:val="003E4D01"/>
    <w:rsid w:val="003E4D1B"/>
    <w:rsid w:val="003E4D31"/>
    <w:rsid w:val="003E4D4E"/>
    <w:rsid w:val="003E4EBC"/>
    <w:rsid w:val="003E4FB4"/>
    <w:rsid w:val="003E50F0"/>
    <w:rsid w:val="003E52E6"/>
    <w:rsid w:val="003E53FB"/>
    <w:rsid w:val="003E5456"/>
    <w:rsid w:val="003E555D"/>
    <w:rsid w:val="003E5587"/>
    <w:rsid w:val="003E561F"/>
    <w:rsid w:val="003E5724"/>
    <w:rsid w:val="003E59B6"/>
    <w:rsid w:val="003E5AB6"/>
    <w:rsid w:val="003E5BCB"/>
    <w:rsid w:val="003E5D02"/>
    <w:rsid w:val="003E5DC2"/>
    <w:rsid w:val="003E5DDF"/>
    <w:rsid w:val="003E5EB5"/>
    <w:rsid w:val="003E5F37"/>
    <w:rsid w:val="003E5FE3"/>
    <w:rsid w:val="003E60EC"/>
    <w:rsid w:val="003E62AE"/>
    <w:rsid w:val="003E6355"/>
    <w:rsid w:val="003E635B"/>
    <w:rsid w:val="003E635C"/>
    <w:rsid w:val="003E65D7"/>
    <w:rsid w:val="003E65FA"/>
    <w:rsid w:val="003E6668"/>
    <w:rsid w:val="003E6768"/>
    <w:rsid w:val="003E67F9"/>
    <w:rsid w:val="003E6817"/>
    <w:rsid w:val="003E69DE"/>
    <w:rsid w:val="003E6B1C"/>
    <w:rsid w:val="003E6D74"/>
    <w:rsid w:val="003E6D94"/>
    <w:rsid w:val="003E6DB6"/>
    <w:rsid w:val="003E6DE2"/>
    <w:rsid w:val="003E6FD1"/>
    <w:rsid w:val="003E7325"/>
    <w:rsid w:val="003E74C5"/>
    <w:rsid w:val="003E762C"/>
    <w:rsid w:val="003E7C28"/>
    <w:rsid w:val="003E7C41"/>
    <w:rsid w:val="003E7D01"/>
    <w:rsid w:val="003E7EE7"/>
    <w:rsid w:val="003E7FE6"/>
    <w:rsid w:val="003F004E"/>
    <w:rsid w:val="003F01CA"/>
    <w:rsid w:val="003F01F3"/>
    <w:rsid w:val="003F01F5"/>
    <w:rsid w:val="003F0250"/>
    <w:rsid w:val="003F03DB"/>
    <w:rsid w:val="003F0554"/>
    <w:rsid w:val="003F0601"/>
    <w:rsid w:val="003F06FB"/>
    <w:rsid w:val="003F0B96"/>
    <w:rsid w:val="003F0C20"/>
    <w:rsid w:val="003F0D21"/>
    <w:rsid w:val="003F0D95"/>
    <w:rsid w:val="003F0E75"/>
    <w:rsid w:val="003F0EE3"/>
    <w:rsid w:val="003F0F0D"/>
    <w:rsid w:val="003F0F65"/>
    <w:rsid w:val="003F10C7"/>
    <w:rsid w:val="003F11D0"/>
    <w:rsid w:val="003F126A"/>
    <w:rsid w:val="003F134A"/>
    <w:rsid w:val="003F14BC"/>
    <w:rsid w:val="003F16E4"/>
    <w:rsid w:val="003F17B1"/>
    <w:rsid w:val="003F17B8"/>
    <w:rsid w:val="003F17BD"/>
    <w:rsid w:val="003F186C"/>
    <w:rsid w:val="003F188C"/>
    <w:rsid w:val="003F189D"/>
    <w:rsid w:val="003F1961"/>
    <w:rsid w:val="003F19D5"/>
    <w:rsid w:val="003F1A7D"/>
    <w:rsid w:val="003F2105"/>
    <w:rsid w:val="003F2237"/>
    <w:rsid w:val="003F2889"/>
    <w:rsid w:val="003F2B0D"/>
    <w:rsid w:val="003F2D17"/>
    <w:rsid w:val="003F2E19"/>
    <w:rsid w:val="003F2E5D"/>
    <w:rsid w:val="003F305A"/>
    <w:rsid w:val="003F320E"/>
    <w:rsid w:val="003F32D3"/>
    <w:rsid w:val="003F34C1"/>
    <w:rsid w:val="003F34D5"/>
    <w:rsid w:val="003F360D"/>
    <w:rsid w:val="003F394E"/>
    <w:rsid w:val="003F3999"/>
    <w:rsid w:val="003F3AB2"/>
    <w:rsid w:val="003F3BBD"/>
    <w:rsid w:val="003F3D4C"/>
    <w:rsid w:val="003F3E1B"/>
    <w:rsid w:val="003F3E98"/>
    <w:rsid w:val="003F3EBE"/>
    <w:rsid w:val="003F40A2"/>
    <w:rsid w:val="003F420E"/>
    <w:rsid w:val="003F42AD"/>
    <w:rsid w:val="003F43C5"/>
    <w:rsid w:val="003F4400"/>
    <w:rsid w:val="003F457B"/>
    <w:rsid w:val="003F4666"/>
    <w:rsid w:val="003F484D"/>
    <w:rsid w:val="003F488A"/>
    <w:rsid w:val="003F48FD"/>
    <w:rsid w:val="003F49B6"/>
    <w:rsid w:val="003F4C67"/>
    <w:rsid w:val="003F4DC5"/>
    <w:rsid w:val="003F51E4"/>
    <w:rsid w:val="003F528C"/>
    <w:rsid w:val="003F5435"/>
    <w:rsid w:val="003F59EB"/>
    <w:rsid w:val="003F5A16"/>
    <w:rsid w:val="003F5CBF"/>
    <w:rsid w:val="003F5D48"/>
    <w:rsid w:val="003F5D6E"/>
    <w:rsid w:val="003F5D87"/>
    <w:rsid w:val="003F5EDB"/>
    <w:rsid w:val="003F5FBC"/>
    <w:rsid w:val="003F5FC3"/>
    <w:rsid w:val="003F61BB"/>
    <w:rsid w:val="003F61D7"/>
    <w:rsid w:val="003F6211"/>
    <w:rsid w:val="003F649F"/>
    <w:rsid w:val="003F65EC"/>
    <w:rsid w:val="003F6629"/>
    <w:rsid w:val="003F68A8"/>
    <w:rsid w:val="003F6A33"/>
    <w:rsid w:val="003F6B5C"/>
    <w:rsid w:val="003F6B8D"/>
    <w:rsid w:val="003F6C09"/>
    <w:rsid w:val="003F6C6E"/>
    <w:rsid w:val="003F6D71"/>
    <w:rsid w:val="003F6EF8"/>
    <w:rsid w:val="003F7040"/>
    <w:rsid w:val="003F7461"/>
    <w:rsid w:val="003F7586"/>
    <w:rsid w:val="003F7590"/>
    <w:rsid w:val="003F762C"/>
    <w:rsid w:val="003F79DC"/>
    <w:rsid w:val="003F7AB8"/>
    <w:rsid w:val="003F7B20"/>
    <w:rsid w:val="003F7BAF"/>
    <w:rsid w:val="003F7CE7"/>
    <w:rsid w:val="003F7E5A"/>
    <w:rsid w:val="00400120"/>
    <w:rsid w:val="004001E0"/>
    <w:rsid w:val="004004FF"/>
    <w:rsid w:val="00400605"/>
    <w:rsid w:val="004006A6"/>
    <w:rsid w:val="00400782"/>
    <w:rsid w:val="00400992"/>
    <w:rsid w:val="00400A15"/>
    <w:rsid w:val="00400A24"/>
    <w:rsid w:val="00400ACC"/>
    <w:rsid w:val="00400AF1"/>
    <w:rsid w:val="00400BA7"/>
    <w:rsid w:val="00400C45"/>
    <w:rsid w:val="00400DCC"/>
    <w:rsid w:val="00400E36"/>
    <w:rsid w:val="00400ED9"/>
    <w:rsid w:val="0040116D"/>
    <w:rsid w:val="0040119A"/>
    <w:rsid w:val="004011F9"/>
    <w:rsid w:val="0040128A"/>
    <w:rsid w:val="004015F8"/>
    <w:rsid w:val="004016F2"/>
    <w:rsid w:val="004017AB"/>
    <w:rsid w:val="0040197D"/>
    <w:rsid w:val="00401E0A"/>
    <w:rsid w:val="00401ED5"/>
    <w:rsid w:val="004022F3"/>
    <w:rsid w:val="00402663"/>
    <w:rsid w:val="004026A1"/>
    <w:rsid w:val="004027BE"/>
    <w:rsid w:val="004027CB"/>
    <w:rsid w:val="00402930"/>
    <w:rsid w:val="00402AEB"/>
    <w:rsid w:val="00402BBE"/>
    <w:rsid w:val="00402BC1"/>
    <w:rsid w:val="00402CA0"/>
    <w:rsid w:val="00402CF2"/>
    <w:rsid w:val="00402D24"/>
    <w:rsid w:val="00402EAC"/>
    <w:rsid w:val="00402EC8"/>
    <w:rsid w:val="00402ED1"/>
    <w:rsid w:val="00402F1F"/>
    <w:rsid w:val="00402F52"/>
    <w:rsid w:val="0040328B"/>
    <w:rsid w:val="00403542"/>
    <w:rsid w:val="0040360A"/>
    <w:rsid w:val="00403630"/>
    <w:rsid w:val="004037B6"/>
    <w:rsid w:val="004037CB"/>
    <w:rsid w:val="00403971"/>
    <w:rsid w:val="00403A3F"/>
    <w:rsid w:val="00403A58"/>
    <w:rsid w:val="00403AC9"/>
    <w:rsid w:val="00403BD6"/>
    <w:rsid w:val="00403DC8"/>
    <w:rsid w:val="004041FF"/>
    <w:rsid w:val="0040432C"/>
    <w:rsid w:val="004043C7"/>
    <w:rsid w:val="0040442B"/>
    <w:rsid w:val="004047AC"/>
    <w:rsid w:val="00404910"/>
    <w:rsid w:val="0040495D"/>
    <w:rsid w:val="004049B3"/>
    <w:rsid w:val="004049FA"/>
    <w:rsid w:val="00404DBB"/>
    <w:rsid w:val="00404E7B"/>
    <w:rsid w:val="00404EE9"/>
    <w:rsid w:val="00404F37"/>
    <w:rsid w:val="00404FDF"/>
    <w:rsid w:val="00405127"/>
    <w:rsid w:val="00405294"/>
    <w:rsid w:val="004052FC"/>
    <w:rsid w:val="004053F3"/>
    <w:rsid w:val="00405479"/>
    <w:rsid w:val="00405823"/>
    <w:rsid w:val="0040589C"/>
    <w:rsid w:val="00405AD3"/>
    <w:rsid w:val="00405B3F"/>
    <w:rsid w:val="00405BAF"/>
    <w:rsid w:val="00405C06"/>
    <w:rsid w:val="00405DC3"/>
    <w:rsid w:val="00405DEB"/>
    <w:rsid w:val="00405E12"/>
    <w:rsid w:val="00405E47"/>
    <w:rsid w:val="00406129"/>
    <w:rsid w:val="0040614D"/>
    <w:rsid w:val="00406235"/>
    <w:rsid w:val="004064B2"/>
    <w:rsid w:val="00406528"/>
    <w:rsid w:val="004065CD"/>
    <w:rsid w:val="00406670"/>
    <w:rsid w:val="004066B6"/>
    <w:rsid w:val="00406716"/>
    <w:rsid w:val="0040691A"/>
    <w:rsid w:val="00406A4B"/>
    <w:rsid w:val="00406FAC"/>
    <w:rsid w:val="0040707E"/>
    <w:rsid w:val="00407176"/>
    <w:rsid w:val="00407247"/>
    <w:rsid w:val="00407267"/>
    <w:rsid w:val="0040728D"/>
    <w:rsid w:val="00407325"/>
    <w:rsid w:val="00407362"/>
    <w:rsid w:val="004075B8"/>
    <w:rsid w:val="00407689"/>
    <w:rsid w:val="0040775D"/>
    <w:rsid w:val="0040789B"/>
    <w:rsid w:val="00407A80"/>
    <w:rsid w:val="00407D9C"/>
    <w:rsid w:val="00407F20"/>
    <w:rsid w:val="00407F3A"/>
    <w:rsid w:val="00407F5A"/>
    <w:rsid w:val="0041033F"/>
    <w:rsid w:val="004106C2"/>
    <w:rsid w:val="004107BD"/>
    <w:rsid w:val="004107EA"/>
    <w:rsid w:val="00410A25"/>
    <w:rsid w:val="00410AA5"/>
    <w:rsid w:val="00410AF2"/>
    <w:rsid w:val="00410B51"/>
    <w:rsid w:val="00410D90"/>
    <w:rsid w:val="00410DCB"/>
    <w:rsid w:val="00411143"/>
    <w:rsid w:val="0041129F"/>
    <w:rsid w:val="00411335"/>
    <w:rsid w:val="00411365"/>
    <w:rsid w:val="004115DB"/>
    <w:rsid w:val="004116E6"/>
    <w:rsid w:val="0041174D"/>
    <w:rsid w:val="00411760"/>
    <w:rsid w:val="004117BE"/>
    <w:rsid w:val="00411909"/>
    <w:rsid w:val="00411985"/>
    <w:rsid w:val="00411A3E"/>
    <w:rsid w:val="00411AF0"/>
    <w:rsid w:val="00411BEE"/>
    <w:rsid w:val="00411C9A"/>
    <w:rsid w:val="00411CCF"/>
    <w:rsid w:val="00411D0A"/>
    <w:rsid w:val="00411E46"/>
    <w:rsid w:val="00411E9E"/>
    <w:rsid w:val="00411F82"/>
    <w:rsid w:val="00412099"/>
    <w:rsid w:val="004120EB"/>
    <w:rsid w:val="00412203"/>
    <w:rsid w:val="00412359"/>
    <w:rsid w:val="0041246B"/>
    <w:rsid w:val="00412538"/>
    <w:rsid w:val="00412579"/>
    <w:rsid w:val="004126A1"/>
    <w:rsid w:val="00412833"/>
    <w:rsid w:val="0041285E"/>
    <w:rsid w:val="00412D27"/>
    <w:rsid w:val="004131C8"/>
    <w:rsid w:val="0041335F"/>
    <w:rsid w:val="0041348A"/>
    <w:rsid w:val="0041357D"/>
    <w:rsid w:val="00413759"/>
    <w:rsid w:val="004137BD"/>
    <w:rsid w:val="00413A07"/>
    <w:rsid w:val="00413ACD"/>
    <w:rsid w:val="00413AD7"/>
    <w:rsid w:val="00413CCC"/>
    <w:rsid w:val="00413E64"/>
    <w:rsid w:val="004140E0"/>
    <w:rsid w:val="004143DB"/>
    <w:rsid w:val="004144D3"/>
    <w:rsid w:val="0041450D"/>
    <w:rsid w:val="00414618"/>
    <w:rsid w:val="0041479D"/>
    <w:rsid w:val="00414A27"/>
    <w:rsid w:val="00414B47"/>
    <w:rsid w:val="00414C19"/>
    <w:rsid w:val="00414D6A"/>
    <w:rsid w:val="00414DDA"/>
    <w:rsid w:val="00415399"/>
    <w:rsid w:val="004154BC"/>
    <w:rsid w:val="0041552A"/>
    <w:rsid w:val="004157D5"/>
    <w:rsid w:val="00415958"/>
    <w:rsid w:val="00415959"/>
    <w:rsid w:val="00415A78"/>
    <w:rsid w:val="00415A97"/>
    <w:rsid w:val="00415FAF"/>
    <w:rsid w:val="0041600E"/>
    <w:rsid w:val="0041617A"/>
    <w:rsid w:val="00416245"/>
    <w:rsid w:val="004163D3"/>
    <w:rsid w:val="004164B5"/>
    <w:rsid w:val="0041652C"/>
    <w:rsid w:val="0041669C"/>
    <w:rsid w:val="004166C4"/>
    <w:rsid w:val="0041685A"/>
    <w:rsid w:val="00416867"/>
    <w:rsid w:val="00416948"/>
    <w:rsid w:val="00416A9A"/>
    <w:rsid w:val="00416AA0"/>
    <w:rsid w:val="00416D28"/>
    <w:rsid w:val="00417087"/>
    <w:rsid w:val="004170A0"/>
    <w:rsid w:val="004172D2"/>
    <w:rsid w:val="004172ED"/>
    <w:rsid w:val="004172F1"/>
    <w:rsid w:val="004173AF"/>
    <w:rsid w:val="00417872"/>
    <w:rsid w:val="00417897"/>
    <w:rsid w:val="00417C87"/>
    <w:rsid w:val="00417CA1"/>
    <w:rsid w:val="00417D37"/>
    <w:rsid w:val="00417D39"/>
    <w:rsid w:val="0042072D"/>
    <w:rsid w:val="00420738"/>
    <w:rsid w:val="00420769"/>
    <w:rsid w:val="004207E2"/>
    <w:rsid w:val="004207F3"/>
    <w:rsid w:val="00420852"/>
    <w:rsid w:val="00420D56"/>
    <w:rsid w:val="00420DCF"/>
    <w:rsid w:val="00420F8D"/>
    <w:rsid w:val="004210D7"/>
    <w:rsid w:val="00421182"/>
    <w:rsid w:val="004211A9"/>
    <w:rsid w:val="004213EA"/>
    <w:rsid w:val="00421683"/>
    <w:rsid w:val="0042192E"/>
    <w:rsid w:val="0042195D"/>
    <w:rsid w:val="00421A17"/>
    <w:rsid w:val="00421BA1"/>
    <w:rsid w:val="00421CBB"/>
    <w:rsid w:val="00421E2E"/>
    <w:rsid w:val="00421E33"/>
    <w:rsid w:val="00421EA8"/>
    <w:rsid w:val="0042219C"/>
    <w:rsid w:val="00422205"/>
    <w:rsid w:val="00422429"/>
    <w:rsid w:val="0042275A"/>
    <w:rsid w:val="004229A7"/>
    <w:rsid w:val="00422A50"/>
    <w:rsid w:val="00422B9D"/>
    <w:rsid w:val="00422C5D"/>
    <w:rsid w:val="00422DA0"/>
    <w:rsid w:val="00422E41"/>
    <w:rsid w:val="00422EF4"/>
    <w:rsid w:val="00422F58"/>
    <w:rsid w:val="00422FAE"/>
    <w:rsid w:val="00422FEA"/>
    <w:rsid w:val="00423172"/>
    <w:rsid w:val="004233CC"/>
    <w:rsid w:val="0042354A"/>
    <w:rsid w:val="004237F5"/>
    <w:rsid w:val="00423968"/>
    <w:rsid w:val="00423994"/>
    <w:rsid w:val="00423B8E"/>
    <w:rsid w:val="00423E2A"/>
    <w:rsid w:val="00424092"/>
    <w:rsid w:val="004240B7"/>
    <w:rsid w:val="00424145"/>
    <w:rsid w:val="004241EB"/>
    <w:rsid w:val="0042426E"/>
    <w:rsid w:val="00424307"/>
    <w:rsid w:val="0042439E"/>
    <w:rsid w:val="00424423"/>
    <w:rsid w:val="00424732"/>
    <w:rsid w:val="004247AE"/>
    <w:rsid w:val="00424829"/>
    <w:rsid w:val="0042486C"/>
    <w:rsid w:val="00424925"/>
    <w:rsid w:val="004249E0"/>
    <w:rsid w:val="00424B27"/>
    <w:rsid w:val="00424D6F"/>
    <w:rsid w:val="00424F5E"/>
    <w:rsid w:val="004250D9"/>
    <w:rsid w:val="004250E8"/>
    <w:rsid w:val="004251EF"/>
    <w:rsid w:val="004252D4"/>
    <w:rsid w:val="0042547C"/>
    <w:rsid w:val="00425937"/>
    <w:rsid w:val="00425A30"/>
    <w:rsid w:val="00425B45"/>
    <w:rsid w:val="00425D11"/>
    <w:rsid w:val="00425D1A"/>
    <w:rsid w:val="00425E5E"/>
    <w:rsid w:val="00425F6D"/>
    <w:rsid w:val="00426150"/>
    <w:rsid w:val="0042641D"/>
    <w:rsid w:val="00426475"/>
    <w:rsid w:val="00426600"/>
    <w:rsid w:val="00426777"/>
    <w:rsid w:val="00426AC7"/>
    <w:rsid w:val="00426CC3"/>
    <w:rsid w:val="0042701F"/>
    <w:rsid w:val="00427063"/>
    <w:rsid w:val="004273AD"/>
    <w:rsid w:val="00427494"/>
    <w:rsid w:val="004274CE"/>
    <w:rsid w:val="00427560"/>
    <w:rsid w:val="0042791A"/>
    <w:rsid w:val="004279BA"/>
    <w:rsid w:val="00427DC8"/>
    <w:rsid w:val="00427E7D"/>
    <w:rsid w:val="00427F05"/>
    <w:rsid w:val="00427F6D"/>
    <w:rsid w:val="00427F85"/>
    <w:rsid w:val="00430002"/>
    <w:rsid w:val="004301B4"/>
    <w:rsid w:val="004301B9"/>
    <w:rsid w:val="004302CE"/>
    <w:rsid w:val="004302E5"/>
    <w:rsid w:val="004304A3"/>
    <w:rsid w:val="004304B1"/>
    <w:rsid w:val="0043078F"/>
    <w:rsid w:val="004308CA"/>
    <w:rsid w:val="00430A0F"/>
    <w:rsid w:val="00430B52"/>
    <w:rsid w:val="00430DC4"/>
    <w:rsid w:val="00430E05"/>
    <w:rsid w:val="00430FF0"/>
    <w:rsid w:val="0043115F"/>
    <w:rsid w:val="0043176C"/>
    <w:rsid w:val="004317EE"/>
    <w:rsid w:val="004318B2"/>
    <w:rsid w:val="0043199A"/>
    <w:rsid w:val="00431C14"/>
    <w:rsid w:val="00431F87"/>
    <w:rsid w:val="004321CC"/>
    <w:rsid w:val="0043224D"/>
    <w:rsid w:val="004322AC"/>
    <w:rsid w:val="00432391"/>
    <w:rsid w:val="0043278F"/>
    <w:rsid w:val="0043281F"/>
    <w:rsid w:val="004328AD"/>
    <w:rsid w:val="00432933"/>
    <w:rsid w:val="00432B93"/>
    <w:rsid w:val="00432C01"/>
    <w:rsid w:val="00432D7F"/>
    <w:rsid w:val="00432F43"/>
    <w:rsid w:val="00432FA9"/>
    <w:rsid w:val="00432FC8"/>
    <w:rsid w:val="00432FDB"/>
    <w:rsid w:val="0043302D"/>
    <w:rsid w:val="00433093"/>
    <w:rsid w:val="0043316C"/>
    <w:rsid w:val="004332B9"/>
    <w:rsid w:val="004333D8"/>
    <w:rsid w:val="004334E0"/>
    <w:rsid w:val="0043365E"/>
    <w:rsid w:val="004336A9"/>
    <w:rsid w:val="004336CF"/>
    <w:rsid w:val="00433860"/>
    <w:rsid w:val="004339E2"/>
    <w:rsid w:val="004339F4"/>
    <w:rsid w:val="004339FC"/>
    <w:rsid w:val="00433ADD"/>
    <w:rsid w:val="00433DA0"/>
    <w:rsid w:val="00433DC0"/>
    <w:rsid w:val="00433FE2"/>
    <w:rsid w:val="004340EF"/>
    <w:rsid w:val="00434121"/>
    <w:rsid w:val="00434216"/>
    <w:rsid w:val="00434415"/>
    <w:rsid w:val="00434416"/>
    <w:rsid w:val="004344BB"/>
    <w:rsid w:val="0043451C"/>
    <w:rsid w:val="004345BB"/>
    <w:rsid w:val="0043497D"/>
    <w:rsid w:val="00434B55"/>
    <w:rsid w:val="00434B73"/>
    <w:rsid w:val="00434E3E"/>
    <w:rsid w:val="00434EBB"/>
    <w:rsid w:val="00434F34"/>
    <w:rsid w:val="00434F5B"/>
    <w:rsid w:val="00434FCC"/>
    <w:rsid w:val="0043507A"/>
    <w:rsid w:val="004353EF"/>
    <w:rsid w:val="0043542A"/>
    <w:rsid w:val="004356C5"/>
    <w:rsid w:val="0043597C"/>
    <w:rsid w:val="00435A36"/>
    <w:rsid w:val="00435AE0"/>
    <w:rsid w:val="00435B32"/>
    <w:rsid w:val="00435B90"/>
    <w:rsid w:val="00435D92"/>
    <w:rsid w:val="00435DD7"/>
    <w:rsid w:val="00435DED"/>
    <w:rsid w:val="00435F49"/>
    <w:rsid w:val="0043602B"/>
    <w:rsid w:val="004361FB"/>
    <w:rsid w:val="00436310"/>
    <w:rsid w:val="00436361"/>
    <w:rsid w:val="00436476"/>
    <w:rsid w:val="00436537"/>
    <w:rsid w:val="00436623"/>
    <w:rsid w:val="00436910"/>
    <w:rsid w:val="00436911"/>
    <w:rsid w:val="00436974"/>
    <w:rsid w:val="00436999"/>
    <w:rsid w:val="00436A00"/>
    <w:rsid w:val="00436B40"/>
    <w:rsid w:val="00436DA5"/>
    <w:rsid w:val="004370D2"/>
    <w:rsid w:val="0043713D"/>
    <w:rsid w:val="004371F3"/>
    <w:rsid w:val="00437479"/>
    <w:rsid w:val="00437526"/>
    <w:rsid w:val="004375A3"/>
    <w:rsid w:val="00437A9C"/>
    <w:rsid w:val="00437AB1"/>
    <w:rsid w:val="00437B24"/>
    <w:rsid w:val="00437B99"/>
    <w:rsid w:val="00437D11"/>
    <w:rsid w:val="00437E76"/>
    <w:rsid w:val="00440093"/>
    <w:rsid w:val="004400B2"/>
    <w:rsid w:val="004400ED"/>
    <w:rsid w:val="004401BF"/>
    <w:rsid w:val="0044032E"/>
    <w:rsid w:val="00440376"/>
    <w:rsid w:val="004403FC"/>
    <w:rsid w:val="0044058F"/>
    <w:rsid w:val="004406B1"/>
    <w:rsid w:val="004406BF"/>
    <w:rsid w:val="00440893"/>
    <w:rsid w:val="004408BA"/>
    <w:rsid w:val="00440E63"/>
    <w:rsid w:val="00440F00"/>
    <w:rsid w:val="00440FC5"/>
    <w:rsid w:val="00440FC9"/>
    <w:rsid w:val="00441002"/>
    <w:rsid w:val="0044124F"/>
    <w:rsid w:val="00441593"/>
    <w:rsid w:val="00441602"/>
    <w:rsid w:val="004416BA"/>
    <w:rsid w:val="00441746"/>
    <w:rsid w:val="00441976"/>
    <w:rsid w:val="00441C4A"/>
    <w:rsid w:val="00441DA8"/>
    <w:rsid w:val="00441DC2"/>
    <w:rsid w:val="00441F31"/>
    <w:rsid w:val="00441F77"/>
    <w:rsid w:val="00442006"/>
    <w:rsid w:val="0044208E"/>
    <w:rsid w:val="004420D8"/>
    <w:rsid w:val="004421B5"/>
    <w:rsid w:val="004421CA"/>
    <w:rsid w:val="0044221A"/>
    <w:rsid w:val="00442612"/>
    <w:rsid w:val="004426C0"/>
    <w:rsid w:val="004426CB"/>
    <w:rsid w:val="004427D9"/>
    <w:rsid w:val="00442867"/>
    <w:rsid w:val="00442B6D"/>
    <w:rsid w:val="00442C83"/>
    <w:rsid w:val="00442D60"/>
    <w:rsid w:val="00442D8C"/>
    <w:rsid w:val="00442DBC"/>
    <w:rsid w:val="00442FCD"/>
    <w:rsid w:val="00442FFA"/>
    <w:rsid w:val="00443059"/>
    <w:rsid w:val="004430D5"/>
    <w:rsid w:val="00443121"/>
    <w:rsid w:val="00443154"/>
    <w:rsid w:val="0044345A"/>
    <w:rsid w:val="0044365A"/>
    <w:rsid w:val="0044382D"/>
    <w:rsid w:val="0044388C"/>
    <w:rsid w:val="004439AF"/>
    <w:rsid w:val="00443C15"/>
    <w:rsid w:val="00443D2F"/>
    <w:rsid w:val="00443EEC"/>
    <w:rsid w:val="004440B4"/>
    <w:rsid w:val="004442B1"/>
    <w:rsid w:val="00444463"/>
    <w:rsid w:val="00444537"/>
    <w:rsid w:val="0044462B"/>
    <w:rsid w:val="0044498C"/>
    <w:rsid w:val="004449BB"/>
    <w:rsid w:val="00444A29"/>
    <w:rsid w:val="00444B8F"/>
    <w:rsid w:val="00444C99"/>
    <w:rsid w:val="00444CAD"/>
    <w:rsid w:val="00444CF7"/>
    <w:rsid w:val="00444E69"/>
    <w:rsid w:val="00445075"/>
    <w:rsid w:val="00445101"/>
    <w:rsid w:val="004454E6"/>
    <w:rsid w:val="0044564A"/>
    <w:rsid w:val="00445729"/>
    <w:rsid w:val="00445757"/>
    <w:rsid w:val="00445768"/>
    <w:rsid w:val="00445878"/>
    <w:rsid w:val="00445BAF"/>
    <w:rsid w:val="00445C80"/>
    <w:rsid w:val="00445D14"/>
    <w:rsid w:val="00445D28"/>
    <w:rsid w:val="00445DA8"/>
    <w:rsid w:val="00445E65"/>
    <w:rsid w:val="00445F45"/>
    <w:rsid w:val="00445F4B"/>
    <w:rsid w:val="004464BD"/>
    <w:rsid w:val="00446542"/>
    <w:rsid w:val="0044658F"/>
    <w:rsid w:val="00446713"/>
    <w:rsid w:val="0044683E"/>
    <w:rsid w:val="00446A52"/>
    <w:rsid w:val="00446A90"/>
    <w:rsid w:val="00446D0D"/>
    <w:rsid w:val="00447111"/>
    <w:rsid w:val="0044716F"/>
    <w:rsid w:val="0044717A"/>
    <w:rsid w:val="004471F7"/>
    <w:rsid w:val="0044734E"/>
    <w:rsid w:val="004474B3"/>
    <w:rsid w:val="004474F3"/>
    <w:rsid w:val="00447533"/>
    <w:rsid w:val="0044763C"/>
    <w:rsid w:val="00447665"/>
    <w:rsid w:val="0044782D"/>
    <w:rsid w:val="0044786E"/>
    <w:rsid w:val="004479F0"/>
    <w:rsid w:val="00447A62"/>
    <w:rsid w:val="00447A83"/>
    <w:rsid w:val="00447D3A"/>
    <w:rsid w:val="00447F04"/>
    <w:rsid w:val="0045000B"/>
    <w:rsid w:val="00450195"/>
    <w:rsid w:val="0045022C"/>
    <w:rsid w:val="00450303"/>
    <w:rsid w:val="004504A4"/>
    <w:rsid w:val="00450AFD"/>
    <w:rsid w:val="00450B87"/>
    <w:rsid w:val="00450B98"/>
    <w:rsid w:val="00450CAC"/>
    <w:rsid w:val="00450CC8"/>
    <w:rsid w:val="00450DF3"/>
    <w:rsid w:val="00451033"/>
    <w:rsid w:val="0045117E"/>
    <w:rsid w:val="0045123A"/>
    <w:rsid w:val="0045139B"/>
    <w:rsid w:val="004514DE"/>
    <w:rsid w:val="004514E1"/>
    <w:rsid w:val="004514F2"/>
    <w:rsid w:val="0045167F"/>
    <w:rsid w:val="004516CD"/>
    <w:rsid w:val="00451BC7"/>
    <w:rsid w:val="00451E8A"/>
    <w:rsid w:val="00451F30"/>
    <w:rsid w:val="00452238"/>
    <w:rsid w:val="00452239"/>
    <w:rsid w:val="0045225D"/>
    <w:rsid w:val="0045244E"/>
    <w:rsid w:val="0045247A"/>
    <w:rsid w:val="00452510"/>
    <w:rsid w:val="0045251A"/>
    <w:rsid w:val="004527AC"/>
    <w:rsid w:val="00452984"/>
    <w:rsid w:val="00452997"/>
    <w:rsid w:val="00452A81"/>
    <w:rsid w:val="00452A96"/>
    <w:rsid w:val="00452BA7"/>
    <w:rsid w:val="00452C87"/>
    <w:rsid w:val="00452F86"/>
    <w:rsid w:val="00452FFB"/>
    <w:rsid w:val="0045305C"/>
    <w:rsid w:val="00453074"/>
    <w:rsid w:val="00453136"/>
    <w:rsid w:val="0045319B"/>
    <w:rsid w:val="004533C7"/>
    <w:rsid w:val="00453749"/>
    <w:rsid w:val="0045375E"/>
    <w:rsid w:val="00453770"/>
    <w:rsid w:val="004537F3"/>
    <w:rsid w:val="00453939"/>
    <w:rsid w:val="0045394A"/>
    <w:rsid w:val="004539C9"/>
    <w:rsid w:val="00453F4F"/>
    <w:rsid w:val="00454035"/>
    <w:rsid w:val="00454140"/>
    <w:rsid w:val="004541E1"/>
    <w:rsid w:val="00454280"/>
    <w:rsid w:val="0045438A"/>
    <w:rsid w:val="00454397"/>
    <w:rsid w:val="004543AF"/>
    <w:rsid w:val="00454421"/>
    <w:rsid w:val="00454672"/>
    <w:rsid w:val="004546D3"/>
    <w:rsid w:val="004546EB"/>
    <w:rsid w:val="004547E5"/>
    <w:rsid w:val="00454A6D"/>
    <w:rsid w:val="00454B2B"/>
    <w:rsid w:val="00454BDE"/>
    <w:rsid w:val="00454BFF"/>
    <w:rsid w:val="00454EC7"/>
    <w:rsid w:val="00454EF1"/>
    <w:rsid w:val="00455482"/>
    <w:rsid w:val="004554CC"/>
    <w:rsid w:val="004555F1"/>
    <w:rsid w:val="0045560A"/>
    <w:rsid w:val="0045578A"/>
    <w:rsid w:val="004557D9"/>
    <w:rsid w:val="00455955"/>
    <w:rsid w:val="004559AD"/>
    <w:rsid w:val="00456469"/>
    <w:rsid w:val="00456819"/>
    <w:rsid w:val="00456840"/>
    <w:rsid w:val="00456960"/>
    <w:rsid w:val="00456D2F"/>
    <w:rsid w:val="00456E1C"/>
    <w:rsid w:val="00457126"/>
    <w:rsid w:val="00457519"/>
    <w:rsid w:val="00457637"/>
    <w:rsid w:val="004578D8"/>
    <w:rsid w:val="0045792C"/>
    <w:rsid w:val="00457A5A"/>
    <w:rsid w:val="00457A8F"/>
    <w:rsid w:val="00457ACA"/>
    <w:rsid w:val="00457BAF"/>
    <w:rsid w:val="00457C4D"/>
    <w:rsid w:val="00457D4E"/>
    <w:rsid w:val="00457E56"/>
    <w:rsid w:val="00460061"/>
    <w:rsid w:val="004600FB"/>
    <w:rsid w:val="00460232"/>
    <w:rsid w:val="0046030B"/>
    <w:rsid w:val="004604D0"/>
    <w:rsid w:val="00460567"/>
    <w:rsid w:val="00460579"/>
    <w:rsid w:val="0046057D"/>
    <w:rsid w:val="00460630"/>
    <w:rsid w:val="004607A0"/>
    <w:rsid w:val="00460834"/>
    <w:rsid w:val="00460863"/>
    <w:rsid w:val="00460AF2"/>
    <w:rsid w:val="00460EA0"/>
    <w:rsid w:val="00460F6E"/>
    <w:rsid w:val="004610A7"/>
    <w:rsid w:val="004610D8"/>
    <w:rsid w:val="004612AE"/>
    <w:rsid w:val="004612DF"/>
    <w:rsid w:val="0046139A"/>
    <w:rsid w:val="00461549"/>
    <w:rsid w:val="00461747"/>
    <w:rsid w:val="004617A9"/>
    <w:rsid w:val="004617E4"/>
    <w:rsid w:val="0046188C"/>
    <w:rsid w:val="00461F74"/>
    <w:rsid w:val="00461F7D"/>
    <w:rsid w:val="00462162"/>
    <w:rsid w:val="004621CB"/>
    <w:rsid w:val="004622B1"/>
    <w:rsid w:val="004622C7"/>
    <w:rsid w:val="004623F1"/>
    <w:rsid w:val="0046258D"/>
    <w:rsid w:val="00462683"/>
    <w:rsid w:val="004627E5"/>
    <w:rsid w:val="004627E6"/>
    <w:rsid w:val="00462855"/>
    <w:rsid w:val="00462AB2"/>
    <w:rsid w:val="00462D51"/>
    <w:rsid w:val="00463146"/>
    <w:rsid w:val="004631F9"/>
    <w:rsid w:val="0046320E"/>
    <w:rsid w:val="004635B6"/>
    <w:rsid w:val="004635E8"/>
    <w:rsid w:val="004635EC"/>
    <w:rsid w:val="00463605"/>
    <w:rsid w:val="00463730"/>
    <w:rsid w:val="00463A35"/>
    <w:rsid w:val="00463D18"/>
    <w:rsid w:val="00463D2A"/>
    <w:rsid w:val="00463E1B"/>
    <w:rsid w:val="00463F8D"/>
    <w:rsid w:val="00463FFB"/>
    <w:rsid w:val="00464276"/>
    <w:rsid w:val="004644FA"/>
    <w:rsid w:val="004646CA"/>
    <w:rsid w:val="004647C0"/>
    <w:rsid w:val="004647C9"/>
    <w:rsid w:val="00464A8E"/>
    <w:rsid w:val="00464BA7"/>
    <w:rsid w:val="00464C31"/>
    <w:rsid w:val="00464CBE"/>
    <w:rsid w:val="00464CF0"/>
    <w:rsid w:val="00464DCA"/>
    <w:rsid w:val="004650C0"/>
    <w:rsid w:val="004650E2"/>
    <w:rsid w:val="004657B8"/>
    <w:rsid w:val="0046595D"/>
    <w:rsid w:val="00465A44"/>
    <w:rsid w:val="00465AB5"/>
    <w:rsid w:val="00465D46"/>
    <w:rsid w:val="00465F79"/>
    <w:rsid w:val="00465FE0"/>
    <w:rsid w:val="00466067"/>
    <w:rsid w:val="00466074"/>
    <w:rsid w:val="0046633D"/>
    <w:rsid w:val="00466538"/>
    <w:rsid w:val="00466C88"/>
    <w:rsid w:val="00466DE0"/>
    <w:rsid w:val="00466FBB"/>
    <w:rsid w:val="004671B5"/>
    <w:rsid w:val="00467509"/>
    <w:rsid w:val="004675A3"/>
    <w:rsid w:val="004677AC"/>
    <w:rsid w:val="00467810"/>
    <w:rsid w:val="00467876"/>
    <w:rsid w:val="00467916"/>
    <w:rsid w:val="00467B72"/>
    <w:rsid w:val="00467F2D"/>
    <w:rsid w:val="00467FC3"/>
    <w:rsid w:val="00470093"/>
    <w:rsid w:val="0047009F"/>
    <w:rsid w:val="004700A9"/>
    <w:rsid w:val="0047014F"/>
    <w:rsid w:val="004701B7"/>
    <w:rsid w:val="004701D5"/>
    <w:rsid w:val="0047044D"/>
    <w:rsid w:val="004704CF"/>
    <w:rsid w:val="004704F0"/>
    <w:rsid w:val="0047066E"/>
    <w:rsid w:val="00470673"/>
    <w:rsid w:val="0047091D"/>
    <w:rsid w:val="00470A32"/>
    <w:rsid w:val="00470C40"/>
    <w:rsid w:val="00470E16"/>
    <w:rsid w:val="00470EA4"/>
    <w:rsid w:val="00470EBE"/>
    <w:rsid w:val="00470F06"/>
    <w:rsid w:val="00470FBE"/>
    <w:rsid w:val="004710B9"/>
    <w:rsid w:val="00471221"/>
    <w:rsid w:val="00471258"/>
    <w:rsid w:val="004712AF"/>
    <w:rsid w:val="00471418"/>
    <w:rsid w:val="004714CF"/>
    <w:rsid w:val="00471668"/>
    <w:rsid w:val="004717B0"/>
    <w:rsid w:val="004718BA"/>
    <w:rsid w:val="004719A9"/>
    <w:rsid w:val="00471AB7"/>
    <w:rsid w:val="00471AE2"/>
    <w:rsid w:val="00471BAA"/>
    <w:rsid w:val="00471CED"/>
    <w:rsid w:val="00471DD1"/>
    <w:rsid w:val="00471F57"/>
    <w:rsid w:val="0047208E"/>
    <w:rsid w:val="004721E1"/>
    <w:rsid w:val="004722DD"/>
    <w:rsid w:val="004724F9"/>
    <w:rsid w:val="0047257E"/>
    <w:rsid w:val="004726D9"/>
    <w:rsid w:val="00472A37"/>
    <w:rsid w:val="00472AB7"/>
    <w:rsid w:val="00472C44"/>
    <w:rsid w:val="00472F00"/>
    <w:rsid w:val="004730A6"/>
    <w:rsid w:val="004730ED"/>
    <w:rsid w:val="0047311C"/>
    <w:rsid w:val="00473146"/>
    <w:rsid w:val="004732A2"/>
    <w:rsid w:val="004732EB"/>
    <w:rsid w:val="00473300"/>
    <w:rsid w:val="0047352C"/>
    <w:rsid w:val="004736FC"/>
    <w:rsid w:val="00473773"/>
    <w:rsid w:val="00473910"/>
    <w:rsid w:val="00473BD3"/>
    <w:rsid w:val="00473CA4"/>
    <w:rsid w:val="00473CF0"/>
    <w:rsid w:val="00473D33"/>
    <w:rsid w:val="00473F1A"/>
    <w:rsid w:val="00473F91"/>
    <w:rsid w:val="00473FD2"/>
    <w:rsid w:val="0047408C"/>
    <w:rsid w:val="004740B7"/>
    <w:rsid w:val="00474239"/>
    <w:rsid w:val="0047429C"/>
    <w:rsid w:val="00474350"/>
    <w:rsid w:val="00474435"/>
    <w:rsid w:val="004747A1"/>
    <w:rsid w:val="004748F6"/>
    <w:rsid w:val="00474A60"/>
    <w:rsid w:val="00474A80"/>
    <w:rsid w:val="00474B4B"/>
    <w:rsid w:val="00474B5B"/>
    <w:rsid w:val="00474BBD"/>
    <w:rsid w:val="00474BE5"/>
    <w:rsid w:val="00474DA9"/>
    <w:rsid w:val="00474EB5"/>
    <w:rsid w:val="00475179"/>
    <w:rsid w:val="00475188"/>
    <w:rsid w:val="004752A4"/>
    <w:rsid w:val="0047550E"/>
    <w:rsid w:val="004755B0"/>
    <w:rsid w:val="004755EC"/>
    <w:rsid w:val="00475756"/>
    <w:rsid w:val="0047579E"/>
    <w:rsid w:val="00475B07"/>
    <w:rsid w:val="00475C8C"/>
    <w:rsid w:val="00475D6F"/>
    <w:rsid w:val="00475E8D"/>
    <w:rsid w:val="00475ECD"/>
    <w:rsid w:val="00475F92"/>
    <w:rsid w:val="004761C3"/>
    <w:rsid w:val="00476564"/>
    <w:rsid w:val="004765EB"/>
    <w:rsid w:val="0047668E"/>
    <w:rsid w:val="004766F1"/>
    <w:rsid w:val="0047689B"/>
    <w:rsid w:val="004768C2"/>
    <w:rsid w:val="00476B1C"/>
    <w:rsid w:val="00476BAF"/>
    <w:rsid w:val="00476CA2"/>
    <w:rsid w:val="00476F8B"/>
    <w:rsid w:val="004770F4"/>
    <w:rsid w:val="004771AA"/>
    <w:rsid w:val="0047723B"/>
    <w:rsid w:val="00477276"/>
    <w:rsid w:val="0047734C"/>
    <w:rsid w:val="004773A0"/>
    <w:rsid w:val="0047782D"/>
    <w:rsid w:val="004779DD"/>
    <w:rsid w:val="00477AAA"/>
    <w:rsid w:val="00477ACE"/>
    <w:rsid w:val="00477D0D"/>
    <w:rsid w:val="00477D24"/>
    <w:rsid w:val="00477D46"/>
    <w:rsid w:val="00477D61"/>
    <w:rsid w:val="00477F99"/>
    <w:rsid w:val="00480308"/>
    <w:rsid w:val="004805EC"/>
    <w:rsid w:val="00480B10"/>
    <w:rsid w:val="00480C04"/>
    <w:rsid w:val="00480C6E"/>
    <w:rsid w:val="00480DC7"/>
    <w:rsid w:val="00480EC8"/>
    <w:rsid w:val="00480FFA"/>
    <w:rsid w:val="004812C5"/>
    <w:rsid w:val="0048138B"/>
    <w:rsid w:val="00481398"/>
    <w:rsid w:val="00481583"/>
    <w:rsid w:val="004815C4"/>
    <w:rsid w:val="004817C3"/>
    <w:rsid w:val="004817E1"/>
    <w:rsid w:val="004819ED"/>
    <w:rsid w:val="004819F7"/>
    <w:rsid w:val="00481A03"/>
    <w:rsid w:val="00481A59"/>
    <w:rsid w:val="00481AD5"/>
    <w:rsid w:val="00481DC1"/>
    <w:rsid w:val="00481DF7"/>
    <w:rsid w:val="00481FB1"/>
    <w:rsid w:val="0048201D"/>
    <w:rsid w:val="0048225B"/>
    <w:rsid w:val="0048226C"/>
    <w:rsid w:val="0048236C"/>
    <w:rsid w:val="00482425"/>
    <w:rsid w:val="00482761"/>
    <w:rsid w:val="004827AF"/>
    <w:rsid w:val="004827D9"/>
    <w:rsid w:val="00482AB8"/>
    <w:rsid w:val="00482B0A"/>
    <w:rsid w:val="00482B60"/>
    <w:rsid w:val="00482B9C"/>
    <w:rsid w:val="00482D97"/>
    <w:rsid w:val="00482E27"/>
    <w:rsid w:val="00482ECF"/>
    <w:rsid w:val="00483075"/>
    <w:rsid w:val="00483206"/>
    <w:rsid w:val="00483267"/>
    <w:rsid w:val="0048327B"/>
    <w:rsid w:val="004835EE"/>
    <w:rsid w:val="00483783"/>
    <w:rsid w:val="00483849"/>
    <w:rsid w:val="00483966"/>
    <w:rsid w:val="00483967"/>
    <w:rsid w:val="004839B6"/>
    <w:rsid w:val="00483FC8"/>
    <w:rsid w:val="004840A4"/>
    <w:rsid w:val="0048439F"/>
    <w:rsid w:val="004843CA"/>
    <w:rsid w:val="00484460"/>
    <w:rsid w:val="004844AA"/>
    <w:rsid w:val="004844B0"/>
    <w:rsid w:val="0048481A"/>
    <w:rsid w:val="00484A56"/>
    <w:rsid w:val="00484B90"/>
    <w:rsid w:val="00484C89"/>
    <w:rsid w:val="00485086"/>
    <w:rsid w:val="00485238"/>
    <w:rsid w:val="00485419"/>
    <w:rsid w:val="004854CC"/>
    <w:rsid w:val="004855CC"/>
    <w:rsid w:val="0048587F"/>
    <w:rsid w:val="00485F32"/>
    <w:rsid w:val="00485FE3"/>
    <w:rsid w:val="00486212"/>
    <w:rsid w:val="00486230"/>
    <w:rsid w:val="0048623A"/>
    <w:rsid w:val="00486377"/>
    <w:rsid w:val="004863D6"/>
    <w:rsid w:val="004863E7"/>
    <w:rsid w:val="00486420"/>
    <w:rsid w:val="0048654A"/>
    <w:rsid w:val="004867EC"/>
    <w:rsid w:val="00486891"/>
    <w:rsid w:val="00486915"/>
    <w:rsid w:val="00486999"/>
    <w:rsid w:val="00486AD1"/>
    <w:rsid w:val="00486C38"/>
    <w:rsid w:val="00486E80"/>
    <w:rsid w:val="00486E88"/>
    <w:rsid w:val="00486EBD"/>
    <w:rsid w:val="00486FEB"/>
    <w:rsid w:val="0048708B"/>
    <w:rsid w:val="0048726C"/>
    <w:rsid w:val="0048728C"/>
    <w:rsid w:val="0048734B"/>
    <w:rsid w:val="00487352"/>
    <w:rsid w:val="00487500"/>
    <w:rsid w:val="004875FF"/>
    <w:rsid w:val="00487728"/>
    <w:rsid w:val="00487AA4"/>
    <w:rsid w:val="00487D72"/>
    <w:rsid w:val="00487DDF"/>
    <w:rsid w:val="00487E85"/>
    <w:rsid w:val="00487F09"/>
    <w:rsid w:val="00487F69"/>
    <w:rsid w:val="00487F6C"/>
    <w:rsid w:val="0049006C"/>
    <w:rsid w:val="0049009C"/>
    <w:rsid w:val="00490404"/>
    <w:rsid w:val="00490599"/>
    <w:rsid w:val="0049063F"/>
    <w:rsid w:val="0049064C"/>
    <w:rsid w:val="004908BA"/>
    <w:rsid w:val="0049093F"/>
    <w:rsid w:val="00490AEB"/>
    <w:rsid w:val="00490BC5"/>
    <w:rsid w:val="00490C89"/>
    <w:rsid w:val="00490D9A"/>
    <w:rsid w:val="0049102A"/>
    <w:rsid w:val="004910A5"/>
    <w:rsid w:val="004910DC"/>
    <w:rsid w:val="004910E6"/>
    <w:rsid w:val="004914D3"/>
    <w:rsid w:val="00491581"/>
    <w:rsid w:val="004916E8"/>
    <w:rsid w:val="004917E8"/>
    <w:rsid w:val="00491835"/>
    <w:rsid w:val="004918D3"/>
    <w:rsid w:val="00491A92"/>
    <w:rsid w:val="00491BDA"/>
    <w:rsid w:val="00491F7C"/>
    <w:rsid w:val="0049204C"/>
    <w:rsid w:val="0049213B"/>
    <w:rsid w:val="004921C4"/>
    <w:rsid w:val="0049227C"/>
    <w:rsid w:val="0049252E"/>
    <w:rsid w:val="00492612"/>
    <w:rsid w:val="004926D8"/>
    <w:rsid w:val="00492928"/>
    <w:rsid w:val="00492986"/>
    <w:rsid w:val="00492B89"/>
    <w:rsid w:val="00492D1D"/>
    <w:rsid w:val="00492DA2"/>
    <w:rsid w:val="0049322D"/>
    <w:rsid w:val="0049328B"/>
    <w:rsid w:val="004933DF"/>
    <w:rsid w:val="004933F8"/>
    <w:rsid w:val="004935F9"/>
    <w:rsid w:val="00493675"/>
    <w:rsid w:val="00493858"/>
    <w:rsid w:val="004938B2"/>
    <w:rsid w:val="004939C3"/>
    <w:rsid w:val="00493A35"/>
    <w:rsid w:val="00493A4A"/>
    <w:rsid w:val="00493AA0"/>
    <w:rsid w:val="00493AB3"/>
    <w:rsid w:val="004942BC"/>
    <w:rsid w:val="004942DD"/>
    <w:rsid w:val="00494596"/>
    <w:rsid w:val="00494737"/>
    <w:rsid w:val="0049476A"/>
    <w:rsid w:val="004949E2"/>
    <w:rsid w:val="00494A22"/>
    <w:rsid w:val="00494ABD"/>
    <w:rsid w:val="00494C3E"/>
    <w:rsid w:val="00494C5F"/>
    <w:rsid w:val="00494CF8"/>
    <w:rsid w:val="00494E57"/>
    <w:rsid w:val="00494E9D"/>
    <w:rsid w:val="004952D6"/>
    <w:rsid w:val="00495335"/>
    <w:rsid w:val="0049547D"/>
    <w:rsid w:val="004954E4"/>
    <w:rsid w:val="004956A2"/>
    <w:rsid w:val="0049573B"/>
    <w:rsid w:val="004959CC"/>
    <w:rsid w:val="00495B0E"/>
    <w:rsid w:val="00495B54"/>
    <w:rsid w:val="00495B6B"/>
    <w:rsid w:val="00495B86"/>
    <w:rsid w:val="00495DBA"/>
    <w:rsid w:val="00496194"/>
    <w:rsid w:val="004961F6"/>
    <w:rsid w:val="004962DE"/>
    <w:rsid w:val="0049639C"/>
    <w:rsid w:val="004964D9"/>
    <w:rsid w:val="0049650F"/>
    <w:rsid w:val="004965F6"/>
    <w:rsid w:val="004967B5"/>
    <w:rsid w:val="00496D85"/>
    <w:rsid w:val="00496DBE"/>
    <w:rsid w:val="00496DC2"/>
    <w:rsid w:val="004970DD"/>
    <w:rsid w:val="00497299"/>
    <w:rsid w:val="004972C0"/>
    <w:rsid w:val="00497363"/>
    <w:rsid w:val="00497725"/>
    <w:rsid w:val="004977B4"/>
    <w:rsid w:val="004978C4"/>
    <w:rsid w:val="00497AC7"/>
    <w:rsid w:val="00497ADF"/>
    <w:rsid w:val="00497CA5"/>
    <w:rsid w:val="00497D02"/>
    <w:rsid w:val="00497F47"/>
    <w:rsid w:val="00497FFC"/>
    <w:rsid w:val="004A002C"/>
    <w:rsid w:val="004A013D"/>
    <w:rsid w:val="004A02D0"/>
    <w:rsid w:val="004A03BC"/>
    <w:rsid w:val="004A0667"/>
    <w:rsid w:val="004A0700"/>
    <w:rsid w:val="004A087C"/>
    <w:rsid w:val="004A09AF"/>
    <w:rsid w:val="004A09D1"/>
    <w:rsid w:val="004A0A00"/>
    <w:rsid w:val="004A0A35"/>
    <w:rsid w:val="004A0A6E"/>
    <w:rsid w:val="004A0B71"/>
    <w:rsid w:val="004A0C1E"/>
    <w:rsid w:val="004A0F26"/>
    <w:rsid w:val="004A0FB1"/>
    <w:rsid w:val="004A0FD1"/>
    <w:rsid w:val="004A133F"/>
    <w:rsid w:val="004A138D"/>
    <w:rsid w:val="004A18B8"/>
    <w:rsid w:val="004A1A38"/>
    <w:rsid w:val="004A1AAA"/>
    <w:rsid w:val="004A1B28"/>
    <w:rsid w:val="004A20CA"/>
    <w:rsid w:val="004A23B8"/>
    <w:rsid w:val="004A24FB"/>
    <w:rsid w:val="004A25C5"/>
    <w:rsid w:val="004A2675"/>
    <w:rsid w:val="004A26E3"/>
    <w:rsid w:val="004A288E"/>
    <w:rsid w:val="004A29D9"/>
    <w:rsid w:val="004A2CE3"/>
    <w:rsid w:val="004A2E35"/>
    <w:rsid w:val="004A31EB"/>
    <w:rsid w:val="004A32AE"/>
    <w:rsid w:val="004A3438"/>
    <w:rsid w:val="004A39D8"/>
    <w:rsid w:val="004A3A1E"/>
    <w:rsid w:val="004A3B2C"/>
    <w:rsid w:val="004A3B32"/>
    <w:rsid w:val="004A3DB7"/>
    <w:rsid w:val="004A4240"/>
    <w:rsid w:val="004A42B1"/>
    <w:rsid w:val="004A42DC"/>
    <w:rsid w:val="004A42FB"/>
    <w:rsid w:val="004A4466"/>
    <w:rsid w:val="004A44EC"/>
    <w:rsid w:val="004A459B"/>
    <w:rsid w:val="004A4681"/>
    <w:rsid w:val="004A48C0"/>
    <w:rsid w:val="004A49BF"/>
    <w:rsid w:val="004A4A3F"/>
    <w:rsid w:val="004A4BEE"/>
    <w:rsid w:val="004A4D3C"/>
    <w:rsid w:val="004A4D6A"/>
    <w:rsid w:val="004A5005"/>
    <w:rsid w:val="004A5148"/>
    <w:rsid w:val="004A539E"/>
    <w:rsid w:val="004A548E"/>
    <w:rsid w:val="004A56E1"/>
    <w:rsid w:val="004A573B"/>
    <w:rsid w:val="004A594D"/>
    <w:rsid w:val="004A5D7E"/>
    <w:rsid w:val="004A5F2C"/>
    <w:rsid w:val="004A61B4"/>
    <w:rsid w:val="004A62A6"/>
    <w:rsid w:val="004A631D"/>
    <w:rsid w:val="004A65BD"/>
    <w:rsid w:val="004A660F"/>
    <w:rsid w:val="004A6873"/>
    <w:rsid w:val="004A68D1"/>
    <w:rsid w:val="004A69B0"/>
    <w:rsid w:val="004A6A3C"/>
    <w:rsid w:val="004A6A3F"/>
    <w:rsid w:val="004A6D17"/>
    <w:rsid w:val="004A6D29"/>
    <w:rsid w:val="004A6D65"/>
    <w:rsid w:val="004A706E"/>
    <w:rsid w:val="004A715A"/>
    <w:rsid w:val="004A721C"/>
    <w:rsid w:val="004A733B"/>
    <w:rsid w:val="004A74CA"/>
    <w:rsid w:val="004A75D4"/>
    <w:rsid w:val="004A75E9"/>
    <w:rsid w:val="004A763C"/>
    <w:rsid w:val="004A764C"/>
    <w:rsid w:val="004A7926"/>
    <w:rsid w:val="004A7948"/>
    <w:rsid w:val="004A79C2"/>
    <w:rsid w:val="004B028B"/>
    <w:rsid w:val="004B035B"/>
    <w:rsid w:val="004B03B7"/>
    <w:rsid w:val="004B03E2"/>
    <w:rsid w:val="004B06C4"/>
    <w:rsid w:val="004B075F"/>
    <w:rsid w:val="004B0910"/>
    <w:rsid w:val="004B0C3A"/>
    <w:rsid w:val="004B0C6E"/>
    <w:rsid w:val="004B0CEF"/>
    <w:rsid w:val="004B0D4D"/>
    <w:rsid w:val="004B0ECF"/>
    <w:rsid w:val="004B0FCD"/>
    <w:rsid w:val="004B111D"/>
    <w:rsid w:val="004B113E"/>
    <w:rsid w:val="004B117B"/>
    <w:rsid w:val="004B117E"/>
    <w:rsid w:val="004B11C9"/>
    <w:rsid w:val="004B120D"/>
    <w:rsid w:val="004B1236"/>
    <w:rsid w:val="004B130E"/>
    <w:rsid w:val="004B1503"/>
    <w:rsid w:val="004B18F8"/>
    <w:rsid w:val="004B1BAB"/>
    <w:rsid w:val="004B1CAC"/>
    <w:rsid w:val="004B1F68"/>
    <w:rsid w:val="004B2146"/>
    <w:rsid w:val="004B219C"/>
    <w:rsid w:val="004B229D"/>
    <w:rsid w:val="004B283A"/>
    <w:rsid w:val="004B2BA3"/>
    <w:rsid w:val="004B2DCA"/>
    <w:rsid w:val="004B3312"/>
    <w:rsid w:val="004B332E"/>
    <w:rsid w:val="004B352E"/>
    <w:rsid w:val="004B360E"/>
    <w:rsid w:val="004B3BDC"/>
    <w:rsid w:val="004B3C40"/>
    <w:rsid w:val="004B3C44"/>
    <w:rsid w:val="004B40EC"/>
    <w:rsid w:val="004B41BF"/>
    <w:rsid w:val="004B41E3"/>
    <w:rsid w:val="004B4274"/>
    <w:rsid w:val="004B42A4"/>
    <w:rsid w:val="004B44FE"/>
    <w:rsid w:val="004B462B"/>
    <w:rsid w:val="004B470F"/>
    <w:rsid w:val="004B47D4"/>
    <w:rsid w:val="004B4B66"/>
    <w:rsid w:val="004B4C32"/>
    <w:rsid w:val="004B4D6C"/>
    <w:rsid w:val="004B4E71"/>
    <w:rsid w:val="004B4F24"/>
    <w:rsid w:val="004B4F6A"/>
    <w:rsid w:val="004B501C"/>
    <w:rsid w:val="004B518C"/>
    <w:rsid w:val="004B5390"/>
    <w:rsid w:val="004B5544"/>
    <w:rsid w:val="004B570E"/>
    <w:rsid w:val="004B5742"/>
    <w:rsid w:val="004B5772"/>
    <w:rsid w:val="004B57C1"/>
    <w:rsid w:val="004B5AB7"/>
    <w:rsid w:val="004B5C8A"/>
    <w:rsid w:val="004B6044"/>
    <w:rsid w:val="004B6130"/>
    <w:rsid w:val="004B6141"/>
    <w:rsid w:val="004B6399"/>
    <w:rsid w:val="004B6738"/>
    <w:rsid w:val="004B692A"/>
    <w:rsid w:val="004B6AD3"/>
    <w:rsid w:val="004B6DFE"/>
    <w:rsid w:val="004B7078"/>
    <w:rsid w:val="004B720C"/>
    <w:rsid w:val="004B7212"/>
    <w:rsid w:val="004B72FD"/>
    <w:rsid w:val="004B74B0"/>
    <w:rsid w:val="004B7513"/>
    <w:rsid w:val="004B77BA"/>
    <w:rsid w:val="004B78ED"/>
    <w:rsid w:val="004B797E"/>
    <w:rsid w:val="004B79FA"/>
    <w:rsid w:val="004B7AF0"/>
    <w:rsid w:val="004B7B27"/>
    <w:rsid w:val="004B7DEE"/>
    <w:rsid w:val="004B7EE0"/>
    <w:rsid w:val="004B7FD7"/>
    <w:rsid w:val="004C004D"/>
    <w:rsid w:val="004C006C"/>
    <w:rsid w:val="004C0156"/>
    <w:rsid w:val="004C01A3"/>
    <w:rsid w:val="004C03A7"/>
    <w:rsid w:val="004C0488"/>
    <w:rsid w:val="004C0664"/>
    <w:rsid w:val="004C0688"/>
    <w:rsid w:val="004C079C"/>
    <w:rsid w:val="004C0964"/>
    <w:rsid w:val="004C09D2"/>
    <w:rsid w:val="004C0A4B"/>
    <w:rsid w:val="004C0D42"/>
    <w:rsid w:val="004C0DDE"/>
    <w:rsid w:val="004C0DF4"/>
    <w:rsid w:val="004C0F9C"/>
    <w:rsid w:val="004C0FE4"/>
    <w:rsid w:val="004C1141"/>
    <w:rsid w:val="004C155D"/>
    <w:rsid w:val="004C18E2"/>
    <w:rsid w:val="004C193A"/>
    <w:rsid w:val="004C1A13"/>
    <w:rsid w:val="004C1C5C"/>
    <w:rsid w:val="004C1CA8"/>
    <w:rsid w:val="004C1DAF"/>
    <w:rsid w:val="004C1DCF"/>
    <w:rsid w:val="004C1E5E"/>
    <w:rsid w:val="004C21C4"/>
    <w:rsid w:val="004C231E"/>
    <w:rsid w:val="004C23E0"/>
    <w:rsid w:val="004C24DE"/>
    <w:rsid w:val="004C2A65"/>
    <w:rsid w:val="004C2B28"/>
    <w:rsid w:val="004C2B4D"/>
    <w:rsid w:val="004C2BC8"/>
    <w:rsid w:val="004C2BF3"/>
    <w:rsid w:val="004C2F06"/>
    <w:rsid w:val="004C3020"/>
    <w:rsid w:val="004C30D0"/>
    <w:rsid w:val="004C31CD"/>
    <w:rsid w:val="004C31D9"/>
    <w:rsid w:val="004C3246"/>
    <w:rsid w:val="004C32B1"/>
    <w:rsid w:val="004C335C"/>
    <w:rsid w:val="004C3382"/>
    <w:rsid w:val="004C366F"/>
    <w:rsid w:val="004C36B7"/>
    <w:rsid w:val="004C375C"/>
    <w:rsid w:val="004C379F"/>
    <w:rsid w:val="004C38B0"/>
    <w:rsid w:val="004C38DE"/>
    <w:rsid w:val="004C3912"/>
    <w:rsid w:val="004C3A4E"/>
    <w:rsid w:val="004C3B3D"/>
    <w:rsid w:val="004C3C94"/>
    <w:rsid w:val="004C3FC3"/>
    <w:rsid w:val="004C403C"/>
    <w:rsid w:val="004C413E"/>
    <w:rsid w:val="004C471C"/>
    <w:rsid w:val="004C47B2"/>
    <w:rsid w:val="004C47B3"/>
    <w:rsid w:val="004C493F"/>
    <w:rsid w:val="004C4954"/>
    <w:rsid w:val="004C4FE5"/>
    <w:rsid w:val="004C5387"/>
    <w:rsid w:val="004C55C8"/>
    <w:rsid w:val="004C5892"/>
    <w:rsid w:val="004C5900"/>
    <w:rsid w:val="004C5A5F"/>
    <w:rsid w:val="004C5BC2"/>
    <w:rsid w:val="004C5C8B"/>
    <w:rsid w:val="004C5EFC"/>
    <w:rsid w:val="004C5F12"/>
    <w:rsid w:val="004C6127"/>
    <w:rsid w:val="004C6160"/>
    <w:rsid w:val="004C6179"/>
    <w:rsid w:val="004C61AF"/>
    <w:rsid w:val="004C61EC"/>
    <w:rsid w:val="004C61F1"/>
    <w:rsid w:val="004C62FB"/>
    <w:rsid w:val="004C6367"/>
    <w:rsid w:val="004C6570"/>
    <w:rsid w:val="004C662C"/>
    <w:rsid w:val="004C6640"/>
    <w:rsid w:val="004C66BA"/>
    <w:rsid w:val="004C66D5"/>
    <w:rsid w:val="004C6828"/>
    <w:rsid w:val="004C6905"/>
    <w:rsid w:val="004C6A68"/>
    <w:rsid w:val="004C6AEB"/>
    <w:rsid w:val="004C6AFE"/>
    <w:rsid w:val="004C6B47"/>
    <w:rsid w:val="004C6F33"/>
    <w:rsid w:val="004C6FF8"/>
    <w:rsid w:val="004C708E"/>
    <w:rsid w:val="004C72A4"/>
    <w:rsid w:val="004C7418"/>
    <w:rsid w:val="004C759D"/>
    <w:rsid w:val="004C77AD"/>
    <w:rsid w:val="004C78EB"/>
    <w:rsid w:val="004C7C4F"/>
    <w:rsid w:val="004C7DE8"/>
    <w:rsid w:val="004C7E05"/>
    <w:rsid w:val="004C7E26"/>
    <w:rsid w:val="004C7F60"/>
    <w:rsid w:val="004D020D"/>
    <w:rsid w:val="004D02EA"/>
    <w:rsid w:val="004D0303"/>
    <w:rsid w:val="004D03D7"/>
    <w:rsid w:val="004D04F6"/>
    <w:rsid w:val="004D04FA"/>
    <w:rsid w:val="004D0518"/>
    <w:rsid w:val="004D067A"/>
    <w:rsid w:val="004D0B79"/>
    <w:rsid w:val="004D11A0"/>
    <w:rsid w:val="004D130C"/>
    <w:rsid w:val="004D132B"/>
    <w:rsid w:val="004D1811"/>
    <w:rsid w:val="004D1813"/>
    <w:rsid w:val="004D1965"/>
    <w:rsid w:val="004D1DAF"/>
    <w:rsid w:val="004D1F02"/>
    <w:rsid w:val="004D2048"/>
    <w:rsid w:val="004D2180"/>
    <w:rsid w:val="004D22AD"/>
    <w:rsid w:val="004D23D6"/>
    <w:rsid w:val="004D2562"/>
    <w:rsid w:val="004D25E1"/>
    <w:rsid w:val="004D26BE"/>
    <w:rsid w:val="004D2747"/>
    <w:rsid w:val="004D2887"/>
    <w:rsid w:val="004D2AAE"/>
    <w:rsid w:val="004D2AE4"/>
    <w:rsid w:val="004D2B97"/>
    <w:rsid w:val="004D2C34"/>
    <w:rsid w:val="004D2E63"/>
    <w:rsid w:val="004D2ED5"/>
    <w:rsid w:val="004D326C"/>
    <w:rsid w:val="004D3414"/>
    <w:rsid w:val="004D3434"/>
    <w:rsid w:val="004D36DE"/>
    <w:rsid w:val="004D371F"/>
    <w:rsid w:val="004D372F"/>
    <w:rsid w:val="004D38C5"/>
    <w:rsid w:val="004D393A"/>
    <w:rsid w:val="004D39CB"/>
    <w:rsid w:val="004D3AC8"/>
    <w:rsid w:val="004D3AD8"/>
    <w:rsid w:val="004D3AFF"/>
    <w:rsid w:val="004D3B3D"/>
    <w:rsid w:val="004D3B9A"/>
    <w:rsid w:val="004D3C29"/>
    <w:rsid w:val="004D3CC3"/>
    <w:rsid w:val="004D3DE0"/>
    <w:rsid w:val="004D41BC"/>
    <w:rsid w:val="004D42D1"/>
    <w:rsid w:val="004D4357"/>
    <w:rsid w:val="004D43D9"/>
    <w:rsid w:val="004D447D"/>
    <w:rsid w:val="004D44FE"/>
    <w:rsid w:val="004D47BA"/>
    <w:rsid w:val="004D4880"/>
    <w:rsid w:val="004D4AD8"/>
    <w:rsid w:val="004D4DC1"/>
    <w:rsid w:val="004D5068"/>
    <w:rsid w:val="004D50CE"/>
    <w:rsid w:val="004D51F4"/>
    <w:rsid w:val="004D5340"/>
    <w:rsid w:val="004D53A4"/>
    <w:rsid w:val="004D5554"/>
    <w:rsid w:val="004D5954"/>
    <w:rsid w:val="004D5B9B"/>
    <w:rsid w:val="004D5EB3"/>
    <w:rsid w:val="004D5F73"/>
    <w:rsid w:val="004D605C"/>
    <w:rsid w:val="004D62D0"/>
    <w:rsid w:val="004D62E9"/>
    <w:rsid w:val="004D633F"/>
    <w:rsid w:val="004D64C5"/>
    <w:rsid w:val="004D6579"/>
    <w:rsid w:val="004D68CF"/>
    <w:rsid w:val="004D699F"/>
    <w:rsid w:val="004D6AF4"/>
    <w:rsid w:val="004D6CC6"/>
    <w:rsid w:val="004D6DDD"/>
    <w:rsid w:val="004D7006"/>
    <w:rsid w:val="004D702F"/>
    <w:rsid w:val="004D75AA"/>
    <w:rsid w:val="004D75B2"/>
    <w:rsid w:val="004D76BD"/>
    <w:rsid w:val="004D7979"/>
    <w:rsid w:val="004D7A8F"/>
    <w:rsid w:val="004D7BFF"/>
    <w:rsid w:val="004D7C6C"/>
    <w:rsid w:val="004D7FA2"/>
    <w:rsid w:val="004E000E"/>
    <w:rsid w:val="004E01AF"/>
    <w:rsid w:val="004E0296"/>
    <w:rsid w:val="004E03BF"/>
    <w:rsid w:val="004E0492"/>
    <w:rsid w:val="004E060E"/>
    <w:rsid w:val="004E0621"/>
    <w:rsid w:val="004E0A66"/>
    <w:rsid w:val="004E0C4F"/>
    <w:rsid w:val="004E0DB8"/>
    <w:rsid w:val="004E0EF7"/>
    <w:rsid w:val="004E0FDE"/>
    <w:rsid w:val="004E1065"/>
    <w:rsid w:val="004E156B"/>
    <w:rsid w:val="004E1646"/>
    <w:rsid w:val="004E1745"/>
    <w:rsid w:val="004E1924"/>
    <w:rsid w:val="004E1A88"/>
    <w:rsid w:val="004E1B88"/>
    <w:rsid w:val="004E1BBF"/>
    <w:rsid w:val="004E1C75"/>
    <w:rsid w:val="004E1EA2"/>
    <w:rsid w:val="004E1EEF"/>
    <w:rsid w:val="004E1FBE"/>
    <w:rsid w:val="004E2116"/>
    <w:rsid w:val="004E21B2"/>
    <w:rsid w:val="004E22CD"/>
    <w:rsid w:val="004E2428"/>
    <w:rsid w:val="004E26BB"/>
    <w:rsid w:val="004E27F3"/>
    <w:rsid w:val="004E2BCB"/>
    <w:rsid w:val="004E2D24"/>
    <w:rsid w:val="004E2DE2"/>
    <w:rsid w:val="004E2EA6"/>
    <w:rsid w:val="004E3014"/>
    <w:rsid w:val="004E3083"/>
    <w:rsid w:val="004E33A9"/>
    <w:rsid w:val="004E343C"/>
    <w:rsid w:val="004E3585"/>
    <w:rsid w:val="004E35E1"/>
    <w:rsid w:val="004E36B4"/>
    <w:rsid w:val="004E3917"/>
    <w:rsid w:val="004E3971"/>
    <w:rsid w:val="004E3CC7"/>
    <w:rsid w:val="004E3E65"/>
    <w:rsid w:val="004E4045"/>
    <w:rsid w:val="004E40B3"/>
    <w:rsid w:val="004E4256"/>
    <w:rsid w:val="004E43E9"/>
    <w:rsid w:val="004E4400"/>
    <w:rsid w:val="004E44B5"/>
    <w:rsid w:val="004E44C5"/>
    <w:rsid w:val="004E4691"/>
    <w:rsid w:val="004E4978"/>
    <w:rsid w:val="004E49C5"/>
    <w:rsid w:val="004E4D70"/>
    <w:rsid w:val="004E4DAE"/>
    <w:rsid w:val="004E4E33"/>
    <w:rsid w:val="004E4F43"/>
    <w:rsid w:val="004E4FD8"/>
    <w:rsid w:val="004E52B3"/>
    <w:rsid w:val="004E546D"/>
    <w:rsid w:val="004E579D"/>
    <w:rsid w:val="004E57AB"/>
    <w:rsid w:val="004E59C9"/>
    <w:rsid w:val="004E59DB"/>
    <w:rsid w:val="004E5BBB"/>
    <w:rsid w:val="004E5D27"/>
    <w:rsid w:val="004E5EBE"/>
    <w:rsid w:val="004E5EF9"/>
    <w:rsid w:val="004E5F95"/>
    <w:rsid w:val="004E5FD2"/>
    <w:rsid w:val="004E60B3"/>
    <w:rsid w:val="004E6104"/>
    <w:rsid w:val="004E616C"/>
    <w:rsid w:val="004E6174"/>
    <w:rsid w:val="004E617F"/>
    <w:rsid w:val="004E61AA"/>
    <w:rsid w:val="004E6260"/>
    <w:rsid w:val="004E6365"/>
    <w:rsid w:val="004E64EA"/>
    <w:rsid w:val="004E685D"/>
    <w:rsid w:val="004E6898"/>
    <w:rsid w:val="004E69B9"/>
    <w:rsid w:val="004E6A7D"/>
    <w:rsid w:val="004E6CCD"/>
    <w:rsid w:val="004E6CE4"/>
    <w:rsid w:val="004E6E3B"/>
    <w:rsid w:val="004E6F2C"/>
    <w:rsid w:val="004E70C9"/>
    <w:rsid w:val="004E728C"/>
    <w:rsid w:val="004E7381"/>
    <w:rsid w:val="004E76A0"/>
    <w:rsid w:val="004E77A5"/>
    <w:rsid w:val="004E7C3B"/>
    <w:rsid w:val="004E7CE3"/>
    <w:rsid w:val="004E7D33"/>
    <w:rsid w:val="004E7E4A"/>
    <w:rsid w:val="004F01AF"/>
    <w:rsid w:val="004F0462"/>
    <w:rsid w:val="004F04B5"/>
    <w:rsid w:val="004F04BC"/>
    <w:rsid w:val="004F0681"/>
    <w:rsid w:val="004F0895"/>
    <w:rsid w:val="004F0965"/>
    <w:rsid w:val="004F0A20"/>
    <w:rsid w:val="004F0B9C"/>
    <w:rsid w:val="004F1303"/>
    <w:rsid w:val="004F13A6"/>
    <w:rsid w:val="004F14CA"/>
    <w:rsid w:val="004F16A0"/>
    <w:rsid w:val="004F170D"/>
    <w:rsid w:val="004F18E1"/>
    <w:rsid w:val="004F1A29"/>
    <w:rsid w:val="004F1B37"/>
    <w:rsid w:val="004F1BC8"/>
    <w:rsid w:val="004F1D3B"/>
    <w:rsid w:val="004F1E4F"/>
    <w:rsid w:val="004F1F19"/>
    <w:rsid w:val="004F1F62"/>
    <w:rsid w:val="004F2018"/>
    <w:rsid w:val="004F21E5"/>
    <w:rsid w:val="004F245D"/>
    <w:rsid w:val="004F24D3"/>
    <w:rsid w:val="004F24E8"/>
    <w:rsid w:val="004F271B"/>
    <w:rsid w:val="004F27CE"/>
    <w:rsid w:val="004F290A"/>
    <w:rsid w:val="004F2B43"/>
    <w:rsid w:val="004F2B4A"/>
    <w:rsid w:val="004F2C31"/>
    <w:rsid w:val="004F2CB9"/>
    <w:rsid w:val="004F2D58"/>
    <w:rsid w:val="004F2EDC"/>
    <w:rsid w:val="004F36AE"/>
    <w:rsid w:val="004F3812"/>
    <w:rsid w:val="004F38D1"/>
    <w:rsid w:val="004F3981"/>
    <w:rsid w:val="004F39B9"/>
    <w:rsid w:val="004F3D2E"/>
    <w:rsid w:val="004F3D51"/>
    <w:rsid w:val="004F3D69"/>
    <w:rsid w:val="004F3EAB"/>
    <w:rsid w:val="004F3FD9"/>
    <w:rsid w:val="004F4042"/>
    <w:rsid w:val="004F40E6"/>
    <w:rsid w:val="004F4138"/>
    <w:rsid w:val="004F449E"/>
    <w:rsid w:val="004F44B1"/>
    <w:rsid w:val="004F47D4"/>
    <w:rsid w:val="004F4855"/>
    <w:rsid w:val="004F48E4"/>
    <w:rsid w:val="004F4B96"/>
    <w:rsid w:val="004F4C28"/>
    <w:rsid w:val="004F4DC9"/>
    <w:rsid w:val="004F51A3"/>
    <w:rsid w:val="004F51A8"/>
    <w:rsid w:val="004F54B9"/>
    <w:rsid w:val="004F5522"/>
    <w:rsid w:val="004F55AF"/>
    <w:rsid w:val="004F57F6"/>
    <w:rsid w:val="004F58BB"/>
    <w:rsid w:val="004F59E5"/>
    <w:rsid w:val="004F5A2B"/>
    <w:rsid w:val="004F5B0F"/>
    <w:rsid w:val="004F5BB5"/>
    <w:rsid w:val="004F5BEF"/>
    <w:rsid w:val="004F5C5C"/>
    <w:rsid w:val="004F5CBA"/>
    <w:rsid w:val="004F5D16"/>
    <w:rsid w:val="004F5DBA"/>
    <w:rsid w:val="004F5FE1"/>
    <w:rsid w:val="004F6097"/>
    <w:rsid w:val="004F62F1"/>
    <w:rsid w:val="004F6363"/>
    <w:rsid w:val="004F6404"/>
    <w:rsid w:val="004F669A"/>
    <w:rsid w:val="004F669F"/>
    <w:rsid w:val="004F68DF"/>
    <w:rsid w:val="004F692A"/>
    <w:rsid w:val="004F6D25"/>
    <w:rsid w:val="004F6D65"/>
    <w:rsid w:val="004F6DF5"/>
    <w:rsid w:val="004F6E50"/>
    <w:rsid w:val="004F6E9C"/>
    <w:rsid w:val="004F6F6B"/>
    <w:rsid w:val="004F70A3"/>
    <w:rsid w:val="004F72EE"/>
    <w:rsid w:val="004F73FA"/>
    <w:rsid w:val="004F7446"/>
    <w:rsid w:val="004F7544"/>
    <w:rsid w:val="004F77F4"/>
    <w:rsid w:val="004F7813"/>
    <w:rsid w:val="004F7A8F"/>
    <w:rsid w:val="004F7B17"/>
    <w:rsid w:val="004F7C0D"/>
    <w:rsid w:val="004F7C97"/>
    <w:rsid w:val="004F7D75"/>
    <w:rsid w:val="004F7DB6"/>
    <w:rsid w:val="004F7EFA"/>
    <w:rsid w:val="005001D9"/>
    <w:rsid w:val="005001E4"/>
    <w:rsid w:val="005002EF"/>
    <w:rsid w:val="0050036B"/>
    <w:rsid w:val="005003AD"/>
    <w:rsid w:val="0050042D"/>
    <w:rsid w:val="00500773"/>
    <w:rsid w:val="005008AD"/>
    <w:rsid w:val="005009FB"/>
    <w:rsid w:val="00500B88"/>
    <w:rsid w:val="00500E32"/>
    <w:rsid w:val="0050117E"/>
    <w:rsid w:val="00501346"/>
    <w:rsid w:val="0050155F"/>
    <w:rsid w:val="005015D4"/>
    <w:rsid w:val="0050160B"/>
    <w:rsid w:val="00501634"/>
    <w:rsid w:val="00501764"/>
    <w:rsid w:val="00501785"/>
    <w:rsid w:val="0050196A"/>
    <w:rsid w:val="00501BFA"/>
    <w:rsid w:val="00501EE7"/>
    <w:rsid w:val="005020CA"/>
    <w:rsid w:val="0050254E"/>
    <w:rsid w:val="005025AB"/>
    <w:rsid w:val="00502661"/>
    <w:rsid w:val="0050291D"/>
    <w:rsid w:val="00502BD7"/>
    <w:rsid w:val="00502D6A"/>
    <w:rsid w:val="00502FA2"/>
    <w:rsid w:val="005032FB"/>
    <w:rsid w:val="005036E5"/>
    <w:rsid w:val="00503753"/>
    <w:rsid w:val="005038E8"/>
    <w:rsid w:val="00503A17"/>
    <w:rsid w:val="00503A5A"/>
    <w:rsid w:val="00503BCD"/>
    <w:rsid w:val="00503E7A"/>
    <w:rsid w:val="00504103"/>
    <w:rsid w:val="0050414F"/>
    <w:rsid w:val="00504174"/>
    <w:rsid w:val="005049AB"/>
    <w:rsid w:val="00504A8A"/>
    <w:rsid w:val="00504A9F"/>
    <w:rsid w:val="00504BDF"/>
    <w:rsid w:val="00504BFE"/>
    <w:rsid w:val="00504C08"/>
    <w:rsid w:val="00504CA6"/>
    <w:rsid w:val="00504DB5"/>
    <w:rsid w:val="00504F8C"/>
    <w:rsid w:val="0050506E"/>
    <w:rsid w:val="00505360"/>
    <w:rsid w:val="0050544D"/>
    <w:rsid w:val="005055B1"/>
    <w:rsid w:val="005055BE"/>
    <w:rsid w:val="00505629"/>
    <w:rsid w:val="00505637"/>
    <w:rsid w:val="0050584D"/>
    <w:rsid w:val="00505CD0"/>
    <w:rsid w:val="00505EEF"/>
    <w:rsid w:val="005062D3"/>
    <w:rsid w:val="00506307"/>
    <w:rsid w:val="0050631F"/>
    <w:rsid w:val="00506432"/>
    <w:rsid w:val="005064DE"/>
    <w:rsid w:val="0050656E"/>
    <w:rsid w:val="00506887"/>
    <w:rsid w:val="005069D9"/>
    <w:rsid w:val="00506A9C"/>
    <w:rsid w:val="00506D59"/>
    <w:rsid w:val="00506DA4"/>
    <w:rsid w:val="00506F75"/>
    <w:rsid w:val="00507008"/>
    <w:rsid w:val="0050712E"/>
    <w:rsid w:val="0050713C"/>
    <w:rsid w:val="00507146"/>
    <w:rsid w:val="005071A5"/>
    <w:rsid w:val="0050722F"/>
    <w:rsid w:val="00507255"/>
    <w:rsid w:val="00507453"/>
    <w:rsid w:val="005074F0"/>
    <w:rsid w:val="00507728"/>
    <w:rsid w:val="005078FD"/>
    <w:rsid w:val="00507D38"/>
    <w:rsid w:val="00507D3E"/>
    <w:rsid w:val="00507D6D"/>
    <w:rsid w:val="00507F2D"/>
    <w:rsid w:val="00507FD7"/>
    <w:rsid w:val="0051019E"/>
    <w:rsid w:val="00510582"/>
    <w:rsid w:val="005105E4"/>
    <w:rsid w:val="00510669"/>
    <w:rsid w:val="0051081D"/>
    <w:rsid w:val="00510856"/>
    <w:rsid w:val="0051097F"/>
    <w:rsid w:val="00510AD4"/>
    <w:rsid w:val="00510B21"/>
    <w:rsid w:val="00510E3F"/>
    <w:rsid w:val="00510E6D"/>
    <w:rsid w:val="00510FBB"/>
    <w:rsid w:val="00510FC6"/>
    <w:rsid w:val="00511270"/>
    <w:rsid w:val="005113D1"/>
    <w:rsid w:val="0051144F"/>
    <w:rsid w:val="005114EB"/>
    <w:rsid w:val="00511510"/>
    <w:rsid w:val="00511BD8"/>
    <w:rsid w:val="00511DE9"/>
    <w:rsid w:val="00511E06"/>
    <w:rsid w:val="00511FC0"/>
    <w:rsid w:val="0051218C"/>
    <w:rsid w:val="005122AD"/>
    <w:rsid w:val="0051248E"/>
    <w:rsid w:val="00512637"/>
    <w:rsid w:val="0051275F"/>
    <w:rsid w:val="00512880"/>
    <w:rsid w:val="005129CD"/>
    <w:rsid w:val="00512A75"/>
    <w:rsid w:val="00512C71"/>
    <w:rsid w:val="00512C84"/>
    <w:rsid w:val="00512DC5"/>
    <w:rsid w:val="00512DD9"/>
    <w:rsid w:val="00512E3B"/>
    <w:rsid w:val="00512EA3"/>
    <w:rsid w:val="00512FFA"/>
    <w:rsid w:val="005133CF"/>
    <w:rsid w:val="0051383C"/>
    <w:rsid w:val="005138B0"/>
    <w:rsid w:val="005139CC"/>
    <w:rsid w:val="00513A81"/>
    <w:rsid w:val="00513ED1"/>
    <w:rsid w:val="005143A8"/>
    <w:rsid w:val="00514765"/>
    <w:rsid w:val="005148D2"/>
    <w:rsid w:val="00514D1A"/>
    <w:rsid w:val="00514E29"/>
    <w:rsid w:val="005150DE"/>
    <w:rsid w:val="00515197"/>
    <w:rsid w:val="005152AB"/>
    <w:rsid w:val="0051549D"/>
    <w:rsid w:val="005155B1"/>
    <w:rsid w:val="0051567F"/>
    <w:rsid w:val="005158B8"/>
    <w:rsid w:val="005158C3"/>
    <w:rsid w:val="00515A91"/>
    <w:rsid w:val="00515AC8"/>
    <w:rsid w:val="00515AF2"/>
    <w:rsid w:val="00515BD0"/>
    <w:rsid w:val="00515C37"/>
    <w:rsid w:val="00515D0E"/>
    <w:rsid w:val="00516044"/>
    <w:rsid w:val="00516404"/>
    <w:rsid w:val="00516CB6"/>
    <w:rsid w:val="00516D82"/>
    <w:rsid w:val="00516E06"/>
    <w:rsid w:val="00516E4A"/>
    <w:rsid w:val="00516FC0"/>
    <w:rsid w:val="00516FC8"/>
    <w:rsid w:val="00517004"/>
    <w:rsid w:val="005170CB"/>
    <w:rsid w:val="005171E7"/>
    <w:rsid w:val="00517227"/>
    <w:rsid w:val="005172BE"/>
    <w:rsid w:val="00517467"/>
    <w:rsid w:val="0051758D"/>
    <w:rsid w:val="0051761C"/>
    <w:rsid w:val="0051766E"/>
    <w:rsid w:val="00517789"/>
    <w:rsid w:val="0051787F"/>
    <w:rsid w:val="00517885"/>
    <w:rsid w:val="00517A7B"/>
    <w:rsid w:val="00517E35"/>
    <w:rsid w:val="00517F29"/>
    <w:rsid w:val="005200EF"/>
    <w:rsid w:val="005201B8"/>
    <w:rsid w:val="005201EF"/>
    <w:rsid w:val="0052045B"/>
    <w:rsid w:val="0052073A"/>
    <w:rsid w:val="00520753"/>
    <w:rsid w:val="0052085F"/>
    <w:rsid w:val="005208B3"/>
    <w:rsid w:val="00520995"/>
    <w:rsid w:val="005209D5"/>
    <w:rsid w:val="00520A32"/>
    <w:rsid w:val="00520C2C"/>
    <w:rsid w:val="00520D7F"/>
    <w:rsid w:val="00520D99"/>
    <w:rsid w:val="00520ECC"/>
    <w:rsid w:val="0052111F"/>
    <w:rsid w:val="005215FC"/>
    <w:rsid w:val="005216B3"/>
    <w:rsid w:val="0052172C"/>
    <w:rsid w:val="00521738"/>
    <w:rsid w:val="00521925"/>
    <w:rsid w:val="00521B42"/>
    <w:rsid w:val="00521BA7"/>
    <w:rsid w:val="00521C66"/>
    <w:rsid w:val="00521CE4"/>
    <w:rsid w:val="00521E77"/>
    <w:rsid w:val="00522103"/>
    <w:rsid w:val="005222B4"/>
    <w:rsid w:val="0052251E"/>
    <w:rsid w:val="00522716"/>
    <w:rsid w:val="00522923"/>
    <w:rsid w:val="00522C3C"/>
    <w:rsid w:val="00522C49"/>
    <w:rsid w:val="00522C7C"/>
    <w:rsid w:val="00522E06"/>
    <w:rsid w:val="00522E96"/>
    <w:rsid w:val="005230D3"/>
    <w:rsid w:val="005231BB"/>
    <w:rsid w:val="00523257"/>
    <w:rsid w:val="00523363"/>
    <w:rsid w:val="005234B7"/>
    <w:rsid w:val="005236B2"/>
    <w:rsid w:val="0052372B"/>
    <w:rsid w:val="005237D9"/>
    <w:rsid w:val="00523939"/>
    <w:rsid w:val="005239CA"/>
    <w:rsid w:val="00523B44"/>
    <w:rsid w:val="00523BFA"/>
    <w:rsid w:val="00523D8B"/>
    <w:rsid w:val="00523F69"/>
    <w:rsid w:val="00523F86"/>
    <w:rsid w:val="00524190"/>
    <w:rsid w:val="0052422C"/>
    <w:rsid w:val="0052433F"/>
    <w:rsid w:val="00524635"/>
    <w:rsid w:val="0052473D"/>
    <w:rsid w:val="0052477B"/>
    <w:rsid w:val="00524812"/>
    <w:rsid w:val="0052488A"/>
    <w:rsid w:val="00524945"/>
    <w:rsid w:val="00524BC4"/>
    <w:rsid w:val="00524D65"/>
    <w:rsid w:val="005253B2"/>
    <w:rsid w:val="005253F4"/>
    <w:rsid w:val="00525416"/>
    <w:rsid w:val="005254A3"/>
    <w:rsid w:val="005255B0"/>
    <w:rsid w:val="005256F0"/>
    <w:rsid w:val="005261C2"/>
    <w:rsid w:val="0052630D"/>
    <w:rsid w:val="0052637C"/>
    <w:rsid w:val="00526514"/>
    <w:rsid w:val="005269FA"/>
    <w:rsid w:val="00526B79"/>
    <w:rsid w:val="00526D7D"/>
    <w:rsid w:val="00526DAA"/>
    <w:rsid w:val="00527182"/>
    <w:rsid w:val="0052727E"/>
    <w:rsid w:val="005273E7"/>
    <w:rsid w:val="00527464"/>
    <w:rsid w:val="0052757C"/>
    <w:rsid w:val="005277FF"/>
    <w:rsid w:val="00527944"/>
    <w:rsid w:val="00527947"/>
    <w:rsid w:val="00527C37"/>
    <w:rsid w:val="00530130"/>
    <w:rsid w:val="00530131"/>
    <w:rsid w:val="00530384"/>
    <w:rsid w:val="0053053B"/>
    <w:rsid w:val="0053064D"/>
    <w:rsid w:val="00530763"/>
    <w:rsid w:val="00530777"/>
    <w:rsid w:val="00530925"/>
    <w:rsid w:val="00530932"/>
    <w:rsid w:val="00530B5E"/>
    <w:rsid w:val="00530C00"/>
    <w:rsid w:val="00530C58"/>
    <w:rsid w:val="00530E92"/>
    <w:rsid w:val="00530EA1"/>
    <w:rsid w:val="00530FBB"/>
    <w:rsid w:val="00531233"/>
    <w:rsid w:val="005312FE"/>
    <w:rsid w:val="00531504"/>
    <w:rsid w:val="00531572"/>
    <w:rsid w:val="00531826"/>
    <w:rsid w:val="005318F9"/>
    <w:rsid w:val="00531975"/>
    <w:rsid w:val="00531BE6"/>
    <w:rsid w:val="00531C3C"/>
    <w:rsid w:val="00531D00"/>
    <w:rsid w:val="00531F89"/>
    <w:rsid w:val="00532012"/>
    <w:rsid w:val="005320B0"/>
    <w:rsid w:val="005322E2"/>
    <w:rsid w:val="00532366"/>
    <w:rsid w:val="005324B8"/>
    <w:rsid w:val="005325BA"/>
    <w:rsid w:val="005326E1"/>
    <w:rsid w:val="00532741"/>
    <w:rsid w:val="005327B8"/>
    <w:rsid w:val="00532829"/>
    <w:rsid w:val="0053289D"/>
    <w:rsid w:val="00532BE0"/>
    <w:rsid w:val="00532D00"/>
    <w:rsid w:val="00532F00"/>
    <w:rsid w:val="00533150"/>
    <w:rsid w:val="00533198"/>
    <w:rsid w:val="005332E3"/>
    <w:rsid w:val="00533422"/>
    <w:rsid w:val="00533744"/>
    <w:rsid w:val="00533AE3"/>
    <w:rsid w:val="00534011"/>
    <w:rsid w:val="005341BF"/>
    <w:rsid w:val="0053450A"/>
    <w:rsid w:val="0053462B"/>
    <w:rsid w:val="00534636"/>
    <w:rsid w:val="00534896"/>
    <w:rsid w:val="0053499C"/>
    <w:rsid w:val="005349D1"/>
    <w:rsid w:val="00534A4C"/>
    <w:rsid w:val="00534AB2"/>
    <w:rsid w:val="00534B1E"/>
    <w:rsid w:val="00534D6F"/>
    <w:rsid w:val="00534EB8"/>
    <w:rsid w:val="00534F27"/>
    <w:rsid w:val="00535236"/>
    <w:rsid w:val="00535238"/>
    <w:rsid w:val="00535285"/>
    <w:rsid w:val="0053540F"/>
    <w:rsid w:val="0053577A"/>
    <w:rsid w:val="005359A3"/>
    <w:rsid w:val="005359FA"/>
    <w:rsid w:val="00535FBF"/>
    <w:rsid w:val="0053610F"/>
    <w:rsid w:val="00536223"/>
    <w:rsid w:val="00536399"/>
    <w:rsid w:val="00536435"/>
    <w:rsid w:val="0053651B"/>
    <w:rsid w:val="0053657D"/>
    <w:rsid w:val="005365B6"/>
    <w:rsid w:val="00536640"/>
    <w:rsid w:val="005366EB"/>
    <w:rsid w:val="00536789"/>
    <w:rsid w:val="0053690F"/>
    <w:rsid w:val="0053699C"/>
    <w:rsid w:val="00536AFE"/>
    <w:rsid w:val="00536B97"/>
    <w:rsid w:val="0053702E"/>
    <w:rsid w:val="005370A3"/>
    <w:rsid w:val="00537147"/>
    <w:rsid w:val="0053719F"/>
    <w:rsid w:val="00537505"/>
    <w:rsid w:val="005377B3"/>
    <w:rsid w:val="00537821"/>
    <w:rsid w:val="0053787B"/>
    <w:rsid w:val="005379AC"/>
    <w:rsid w:val="00537AB9"/>
    <w:rsid w:val="00537C30"/>
    <w:rsid w:val="00537C3E"/>
    <w:rsid w:val="00537D44"/>
    <w:rsid w:val="00537D71"/>
    <w:rsid w:val="00540111"/>
    <w:rsid w:val="00540123"/>
    <w:rsid w:val="005401E8"/>
    <w:rsid w:val="005402D3"/>
    <w:rsid w:val="005404C9"/>
    <w:rsid w:val="0054060C"/>
    <w:rsid w:val="0054068A"/>
    <w:rsid w:val="00540777"/>
    <w:rsid w:val="005407FA"/>
    <w:rsid w:val="00540870"/>
    <w:rsid w:val="00540A1B"/>
    <w:rsid w:val="00540C6B"/>
    <w:rsid w:val="00540E28"/>
    <w:rsid w:val="0054108C"/>
    <w:rsid w:val="005411A6"/>
    <w:rsid w:val="0054123D"/>
    <w:rsid w:val="005412CF"/>
    <w:rsid w:val="005412E3"/>
    <w:rsid w:val="00541314"/>
    <w:rsid w:val="00541340"/>
    <w:rsid w:val="00541390"/>
    <w:rsid w:val="00541639"/>
    <w:rsid w:val="0054171F"/>
    <w:rsid w:val="0054176E"/>
    <w:rsid w:val="00541923"/>
    <w:rsid w:val="00541924"/>
    <w:rsid w:val="00541995"/>
    <w:rsid w:val="00542003"/>
    <w:rsid w:val="005421EF"/>
    <w:rsid w:val="0054233B"/>
    <w:rsid w:val="00542443"/>
    <w:rsid w:val="005425B1"/>
    <w:rsid w:val="005426D2"/>
    <w:rsid w:val="005426EE"/>
    <w:rsid w:val="005427AA"/>
    <w:rsid w:val="005428D6"/>
    <w:rsid w:val="00542908"/>
    <w:rsid w:val="00542A84"/>
    <w:rsid w:val="00542AD3"/>
    <w:rsid w:val="00542AF9"/>
    <w:rsid w:val="00542CC8"/>
    <w:rsid w:val="00542D09"/>
    <w:rsid w:val="00542D5C"/>
    <w:rsid w:val="00543065"/>
    <w:rsid w:val="00543266"/>
    <w:rsid w:val="0054370B"/>
    <w:rsid w:val="005438C7"/>
    <w:rsid w:val="00543AD3"/>
    <w:rsid w:val="00543CF1"/>
    <w:rsid w:val="00543F8F"/>
    <w:rsid w:val="00543FD4"/>
    <w:rsid w:val="00544084"/>
    <w:rsid w:val="0054418A"/>
    <w:rsid w:val="0054426C"/>
    <w:rsid w:val="005442B4"/>
    <w:rsid w:val="0054432D"/>
    <w:rsid w:val="005445DC"/>
    <w:rsid w:val="00544855"/>
    <w:rsid w:val="00544AF7"/>
    <w:rsid w:val="00544C02"/>
    <w:rsid w:val="00544D31"/>
    <w:rsid w:val="00544E88"/>
    <w:rsid w:val="00544F45"/>
    <w:rsid w:val="00544FA2"/>
    <w:rsid w:val="005451D5"/>
    <w:rsid w:val="00545223"/>
    <w:rsid w:val="00545280"/>
    <w:rsid w:val="005454AB"/>
    <w:rsid w:val="005458DF"/>
    <w:rsid w:val="00545A9B"/>
    <w:rsid w:val="00545FBD"/>
    <w:rsid w:val="00545FC4"/>
    <w:rsid w:val="00545FEA"/>
    <w:rsid w:val="0054604E"/>
    <w:rsid w:val="005462EF"/>
    <w:rsid w:val="0054661B"/>
    <w:rsid w:val="00546726"/>
    <w:rsid w:val="00546735"/>
    <w:rsid w:val="005467E5"/>
    <w:rsid w:val="0054685F"/>
    <w:rsid w:val="005468B4"/>
    <w:rsid w:val="00546949"/>
    <w:rsid w:val="005469ED"/>
    <w:rsid w:val="00546A3E"/>
    <w:rsid w:val="00546CB7"/>
    <w:rsid w:val="00546CE2"/>
    <w:rsid w:val="00546CFB"/>
    <w:rsid w:val="00546D43"/>
    <w:rsid w:val="00546DD1"/>
    <w:rsid w:val="00546FC3"/>
    <w:rsid w:val="00546FFE"/>
    <w:rsid w:val="00547016"/>
    <w:rsid w:val="005470B2"/>
    <w:rsid w:val="005474DC"/>
    <w:rsid w:val="005475DE"/>
    <w:rsid w:val="005476C3"/>
    <w:rsid w:val="005476D5"/>
    <w:rsid w:val="005478FF"/>
    <w:rsid w:val="005479FD"/>
    <w:rsid w:val="00547A40"/>
    <w:rsid w:val="00547C8D"/>
    <w:rsid w:val="00547CD4"/>
    <w:rsid w:val="00547E1F"/>
    <w:rsid w:val="00547E44"/>
    <w:rsid w:val="00547EB3"/>
    <w:rsid w:val="00547EDE"/>
    <w:rsid w:val="00547EF8"/>
    <w:rsid w:val="00550000"/>
    <w:rsid w:val="0055006B"/>
    <w:rsid w:val="005500F2"/>
    <w:rsid w:val="0055030E"/>
    <w:rsid w:val="005506C3"/>
    <w:rsid w:val="005507AB"/>
    <w:rsid w:val="005507D1"/>
    <w:rsid w:val="00550A07"/>
    <w:rsid w:val="00550B75"/>
    <w:rsid w:val="00550C8C"/>
    <w:rsid w:val="00550D41"/>
    <w:rsid w:val="00550E39"/>
    <w:rsid w:val="00550EB7"/>
    <w:rsid w:val="00551495"/>
    <w:rsid w:val="00551983"/>
    <w:rsid w:val="00551B3D"/>
    <w:rsid w:val="00551BD4"/>
    <w:rsid w:val="00551CE7"/>
    <w:rsid w:val="00551EB1"/>
    <w:rsid w:val="00551F20"/>
    <w:rsid w:val="005521EC"/>
    <w:rsid w:val="005522BC"/>
    <w:rsid w:val="005522E9"/>
    <w:rsid w:val="005523F9"/>
    <w:rsid w:val="00552520"/>
    <w:rsid w:val="005525A4"/>
    <w:rsid w:val="0055272C"/>
    <w:rsid w:val="00552736"/>
    <w:rsid w:val="005527D1"/>
    <w:rsid w:val="00552954"/>
    <w:rsid w:val="0055298E"/>
    <w:rsid w:val="00552998"/>
    <w:rsid w:val="00552D27"/>
    <w:rsid w:val="00552D8E"/>
    <w:rsid w:val="00552E4B"/>
    <w:rsid w:val="00553257"/>
    <w:rsid w:val="0055325C"/>
    <w:rsid w:val="005533AA"/>
    <w:rsid w:val="005533AD"/>
    <w:rsid w:val="0055370B"/>
    <w:rsid w:val="005537FB"/>
    <w:rsid w:val="0055387B"/>
    <w:rsid w:val="00553883"/>
    <w:rsid w:val="005538EB"/>
    <w:rsid w:val="005539C2"/>
    <w:rsid w:val="00553AE9"/>
    <w:rsid w:val="00553CA4"/>
    <w:rsid w:val="00553CE4"/>
    <w:rsid w:val="00553DE2"/>
    <w:rsid w:val="00553EE9"/>
    <w:rsid w:val="0055401F"/>
    <w:rsid w:val="005544D0"/>
    <w:rsid w:val="005545EB"/>
    <w:rsid w:val="005547D7"/>
    <w:rsid w:val="005547FB"/>
    <w:rsid w:val="00554C44"/>
    <w:rsid w:val="00554E10"/>
    <w:rsid w:val="00554E6B"/>
    <w:rsid w:val="00555239"/>
    <w:rsid w:val="00555453"/>
    <w:rsid w:val="00555482"/>
    <w:rsid w:val="005555A5"/>
    <w:rsid w:val="005555E0"/>
    <w:rsid w:val="00555630"/>
    <w:rsid w:val="0055579C"/>
    <w:rsid w:val="00555811"/>
    <w:rsid w:val="00555823"/>
    <w:rsid w:val="0055585F"/>
    <w:rsid w:val="00555B10"/>
    <w:rsid w:val="00555DFC"/>
    <w:rsid w:val="00555FAE"/>
    <w:rsid w:val="0055645E"/>
    <w:rsid w:val="00556460"/>
    <w:rsid w:val="005564E9"/>
    <w:rsid w:val="005564F0"/>
    <w:rsid w:val="00556710"/>
    <w:rsid w:val="0055682E"/>
    <w:rsid w:val="00556AF6"/>
    <w:rsid w:val="00556B03"/>
    <w:rsid w:val="0055715F"/>
    <w:rsid w:val="00557237"/>
    <w:rsid w:val="005574C5"/>
    <w:rsid w:val="005574FC"/>
    <w:rsid w:val="00557516"/>
    <w:rsid w:val="00557728"/>
    <w:rsid w:val="00557B66"/>
    <w:rsid w:val="00557BBD"/>
    <w:rsid w:val="00557BCC"/>
    <w:rsid w:val="00557C25"/>
    <w:rsid w:val="00557CD5"/>
    <w:rsid w:val="00557D45"/>
    <w:rsid w:val="00557DB3"/>
    <w:rsid w:val="005601B5"/>
    <w:rsid w:val="00560202"/>
    <w:rsid w:val="0056024F"/>
    <w:rsid w:val="005602B3"/>
    <w:rsid w:val="005602F4"/>
    <w:rsid w:val="005603B1"/>
    <w:rsid w:val="00560498"/>
    <w:rsid w:val="005605E5"/>
    <w:rsid w:val="005606E3"/>
    <w:rsid w:val="00560787"/>
    <w:rsid w:val="00560813"/>
    <w:rsid w:val="005609CE"/>
    <w:rsid w:val="00560A7D"/>
    <w:rsid w:val="00560CF5"/>
    <w:rsid w:val="00560E9E"/>
    <w:rsid w:val="00560F2A"/>
    <w:rsid w:val="00560F67"/>
    <w:rsid w:val="0056142E"/>
    <w:rsid w:val="0056150E"/>
    <w:rsid w:val="00561617"/>
    <w:rsid w:val="0056169E"/>
    <w:rsid w:val="005619C2"/>
    <w:rsid w:val="00561C81"/>
    <w:rsid w:val="00561EF4"/>
    <w:rsid w:val="00561EFF"/>
    <w:rsid w:val="005620EC"/>
    <w:rsid w:val="0056218E"/>
    <w:rsid w:val="005622DD"/>
    <w:rsid w:val="0056230A"/>
    <w:rsid w:val="00562425"/>
    <w:rsid w:val="005624CD"/>
    <w:rsid w:val="005624D0"/>
    <w:rsid w:val="005624D1"/>
    <w:rsid w:val="005629E1"/>
    <w:rsid w:val="00562ACD"/>
    <w:rsid w:val="00562B5B"/>
    <w:rsid w:val="00562B5E"/>
    <w:rsid w:val="00562CBA"/>
    <w:rsid w:val="00562D9B"/>
    <w:rsid w:val="005630B1"/>
    <w:rsid w:val="00563177"/>
    <w:rsid w:val="005632FE"/>
    <w:rsid w:val="00563300"/>
    <w:rsid w:val="00563394"/>
    <w:rsid w:val="0056345C"/>
    <w:rsid w:val="00563636"/>
    <w:rsid w:val="00563712"/>
    <w:rsid w:val="00563778"/>
    <w:rsid w:val="00563C95"/>
    <w:rsid w:val="00563CA2"/>
    <w:rsid w:val="00563E45"/>
    <w:rsid w:val="00563F0D"/>
    <w:rsid w:val="00563F5C"/>
    <w:rsid w:val="0056426D"/>
    <w:rsid w:val="0056440E"/>
    <w:rsid w:val="0056476B"/>
    <w:rsid w:val="005647C0"/>
    <w:rsid w:val="00564A35"/>
    <w:rsid w:val="00564B2E"/>
    <w:rsid w:val="00564B47"/>
    <w:rsid w:val="00564D38"/>
    <w:rsid w:val="00564D93"/>
    <w:rsid w:val="00564FD7"/>
    <w:rsid w:val="00565130"/>
    <w:rsid w:val="0056544A"/>
    <w:rsid w:val="0056591E"/>
    <w:rsid w:val="00565A08"/>
    <w:rsid w:val="00565D50"/>
    <w:rsid w:val="00565E61"/>
    <w:rsid w:val="00565EEB"/>
    <w:rsid w:val="00565F1C"/>
    <w:rsid w:val="00565F33"/>
    <w:rsid w:val="0056600A"/>
    <w:rsid w:val="00566032"/>
    <w:rsid w:val="005660EF"/>
    <w:rsid w:val="00566190"/>
    <w:rsid w:val="0056621D"/>
    <w:rsid w:val="00566444"/>
    <w:rsid w:val="005664AB"/>
    <w:rsid w:val="00566AD3"/>
    <w:rsid w:val="00566BF9"/>
    <w:rsid w:val="00566CC9"/>
    <w:rsid w:val="00566F6C"/>
    <w:rsid w:val="0056707A"/>
    <w:rsid w:val="00567435"/>
    <w:rsid w:val="005675DB"/>
    <w:rsid w:val="0056769D"/>
    <w:rsid w:val="00567A29"/>
    <w:rsid w:val="00567AE2"/>
    <w:rsid w:val="00567CEE"/>
    <w:rsid w:val="00567D95"/>
    <w:rsid w:val="00567DFB"/>
    <w:rsid w:val="00567E90"/>
    <w:rsid w:val="00567F04"/>
    <w:rsid w:val="00570137"/>
    <w:rsid w:val="0057015D"/>
    <w:rsid w:val="0057015E"/>
    <w:rsid w:val="0057025B"/>
    <w:rsid w:val="0057043C"/>
    <w:rsid w:val="00570509"/>
    <w:rsid w:val="0057057D"/>
    <w:rsid w:val="005707A1"/>
    <w:rsid w:val="005708BE"/>
    <w:rsid w:val="00570958"/>
    <w:rsid w:val="00570A5D"/>
    <w:rsid w:val="00570A8C"/>
    <w:rsid w:val="00570ABE"/>
    <w:rsid w:val="00570BB5"/>
    <w:rsid w:val="00570BC6"/>
    <w:rsid w:val="00570C34"/>
    <w:rsid w:val="00570CB8"/>
    <w:rsid w:val="00570CE7"/>
    <w:rsid w:val="00570DE0"/>
    <w:rsid w:val="0057123B"/>
    <w:rsid w:val="0057135A"/>
    <w:rsid w:val="00571565"/>
    <w:rsid w:val="0057162A"/>
    <w:rsid w:val="00571796"/>
    <w:rsid w:val="00571A36"/>
    <w:rsid w:val="00571AFF"/>
    <w:rsid w:val="00571BA0"/>
    <w:rsid w:val="00571C72"/>
    <w:rsid w:val="00571D68"/>
    <w:rsid w:val="00571D8F"/>
    <w:rsid w:val="00571DF6"/>
    <w:rsid w:val="0057203D"/>
    <w:rsid w:val="005721DC"/>
    <w:rsid w:val="005722F4"/>
    <w:rsid w:val="00572359"/>
    <w:rsid w:val="00572376"/>
    <w:rsid w:val="0057237E"/>
    <w:rsid w:val="005725DD"/>
    <w:rsid w:val="0057268E"/>
    <w:rsid w:val="005727E0"/>
    <w:rsid w:val="0057287A"/>
    <w:rsid w:val="00572B60"/>
    <w:rsid w:val="00572D05"/>
    <w:rsid w:val="00572EED"/>
    <w:rsid w:val="00572EFF"/>
    <w:rsid w:val="00573182"/>
    <w:rsid w:val="005731DA"/>
    <w:rsid w:val="00573468"/>
    <w:rsid w:val="00573540"/>
    <w:rsid w:val="0057358E"/>
    <w:rsid w:val="005739C6"/>
    <w:rsid w:val="005739FD"/>
    <w:rsid w:val="00573A21"/>
    <w:rsid w:val="00573A2B"/>
    <w:rsid w:val="00573B1E"/>
    <w:rsid w:val="00573E8D"/>
    <w:rsid w:val="00573EA3"/>
    <w:rsid w:val="00574102"/>
    <w:rsid w:val="005741CC"/>
    <w:rsid w:val="005742A9"/>
    <w:rsid w:val="00574611"/>
    <w:rsid w:val="005746D7"/>
    <w:rsid w:val="00574CC0"/>
    <w:rsid w:val="00574D03"/>
    <w:rsid w:val="00574EEA"/>
    <w:rsid w:val="00574F47"/>
    <w:rsid w:val="00574FF2"/>
    <w:rsid w:val="005750E7"/>
    <w:rsid w:val="00575128"/>
    <w:rsid w:val="0057527F"/>
    <w:rsid w:val="0057535A"/>
    <w:rsid w:val="0057569C"/>
    <w:rsid w:val="005756AB"/>
    <w:rsid w:val="0057571E"/>
    <w:rsid w:val="00575726"/>
    <w:rsid w:val="005759DB"/>
    <w:rsid w:val="00575B2A"/>
    <w:rsid w:val="00575C97"/>
    <w:rsid w:val="00575D0C"/>
    <w:rsid w:val="00575E9B"/>
    <w:rsid w:val="00575F0E"/>
    <w:rsid w:val="0057607C"/>
    <w:rsid w:val="0057632B"/>
    <w:rsid w:val="00576401"/>
    <w:rsid w:val="00576409"/>
    <w:rsid w:val="00576464"/>
    <w:rsid w:val="0057647D"/>
    <w:rsid w:val="0057653C"/>
    <w:rsid w:val="005765A2"/>
    <w:rsid w:val="0057684B"/>
    <w:rsid w:val="005768E3"/>
    <w:rsid w:val="005768E6"/>
    <w:rsid w:val="005768EA"/>
    <w:rsid w:val="0057695E"/>
    <w:rsid w:val="005769E2"/>
    <w:rsid w:val="00576A7F"/>
    <w:rsid w:val="00576A8D"/>
    <w:rsid w:val="00576BD1"/>
    <w:rsid w:val="00576DA1"/>
    <w:rsid w:val="00576E78"/>
    <w:rsid w:val="00576E7C"/>
    <w:rsid w:val="00576F2D"/>
    <w:rsid w:val="00576F79"/>
    <w:rsid w:val="00577009"/>
    <w:rsid w:val="005773F9"/>
    <w:rsid w:val="00577984"/>
    <w:rsid w:val="00577996"/>
    <w:rsid w:val="00577B03"/>
    <w:rsid w:val="00577B82"/>
    <w:rsid w:val="00577C44"/>
    <w:rsid w:val="00577F91"/>
    <w:rsid w:val="00580071"/>
    <w:rsid w:val="005800F3"/>
    <w:rsid w:val="00580354"/>
    <w:rsid w:val="00580691"/>
    <w:rsid w:val="005806C6"/>
    <w:rsid w:val="00580809"/>
    <w:rsid w:val="0058085D"/>
    <w:rsid w:val="00580914"/>
    <w:rsid w:val="00580AB6"/>
    <w:rsid w:val="00580C12"/>
    <w:rsid w:val="00580EF7"/>
    <w:rsid w:val="00580F46"/>
    <w:rsid w:val="00580F4B"/>
    <w:rsid w:val="0058106F"/>
    <w:rsid w:val="0058114A"/>
    <w:rsid w:val="00581414"/>
    <w:rsid w:val="005814D0"/>
    <w:rsid w:val="005815D6"/>
    <w:rsid w:val="00581659"/>
    <w:rsid w:val="00581BC5"/>
    <w:rsid w:val="00581BD6"/>
    <w:rsid w:val="00581BDF"/>
    <w:rsid w:val="00581D76"/>
    <w:rsid w:val="00581D97"/>
    <w:rsid w:val="00581DB9"/>
    <w:rsid w:val="00581E23"/>
    <w:rsid w:val="00581E9F"/>
    <w:rsid w:val="00581FAF"/>
    <w:rsid w:val="00581FF7"/>
    <w:rsid w:val="00582025"/>
    <w:rsid w:val="00582036"/>
    <w:rsid w:val="0058205E"/>
    <w:rsid w:val="00582129"/>
    <w:rsid w:val="0058224C"/>
    <w:rsid w:val="005823CA"/>
    <w:rsid w:val="00582574"/>
    <w:rsid w:val="00582642"/>
    <w:rsid w:val="005826C9"/>
    <w:rsid w:val="00582724"/>
    <w:rsid w:val="005827DF"/>
    <w:rsid w:val="00582956"/>
    <w:rsid w:val="0058297B"/>
    <w:rsid w:val="00582A82"/>
    <w:rsid w:val="00582B4F"/>
    <w:rsid w:val="00582B82"/>
    <w:rsid w:val="00582DD0"/>
    <w:rsid w:val="00582F6F"/>
    <w:rsid w:val="00582F73"/>
    <w:rsid w:val="00582FA6"/>
    <w:rsid w:val="00582FB7"/>
    <w:rsid w:val="005834CF"/>
    <w:rsid w:val="00583520"/>
    <w:rsid w:val="0058357C"/>
    <w:rsid w:val="00583883"/>
    <w:rsid w:val="005839D2"/>
    <w:rsid w:val="00583ABD"/>
    <w:rsid w:val="00583B6E"/>
    <w:rsid w:val="00583D3C"/>
    <w:rsid w:val="00583D49"/>
    <w:rsid w:val="00584207"/>
    <w:rsid w:val="00584248"/>
    <w:rsid w:val="00584373"/>
    <w:rsid w:val="0058463D"/>
    <w:rsid w:val="0058464A"/>
    <w:rsid w:val="00584908"/>
    <w:rsid w:val="00584B5A"/>
    <w:rsid w:val="00584C86"/>
    <w:rsid w:val="00584CEC"/>
    <w:rsid w:val="00584D36"/>
    <w:rsid w:val="00584DBC"/>
    <w:rsid w:val="00584E9D"/>
    <w:rsid w:val="00585580"/>
    <w:rsid w:val="005855FF"/>
    <w:rsid w:val="005856E6"/>
    <w:rsid w:val="00585904"/>
    <w:rsid w:val="005859D6"/>
    <w:rsid w:val="00585CDD"/>
    <w:rsid w:val="00585DBF"/>
    <w:rsid w:val="00585E34"/>
    <w:rsid w:val="00586145"/>
    <w:rsid w:val="00586181"/>
    <w:rsid w:val="0058630F"/>
    <w:rsid w:val="0058631A"/>
    <w:rsid w:val="0058636E"/>
    <w:rsid w:val="00586377"/>
    <w:rsid w:val="00586658"/>
    <w:rsid w:val="00586743"/>
    <w:rsid w:val="005867A8"/>
    <w:rsid w:val="005867D2"/>
    <w:rsid w:val="0058682F"/>
    <w:rsid w:val="00586908"/>
    <w:rsid w:val="00586956"/>
    <w:rsid w:val="005869AB"/>
    <w:rsid w:val="00586B2A"/>
    <w:rsid w:val="00586E56"/>
    <w:rsid w:val="00586FDD"/>
    <w:rsid w:val="00587105"/>
    <w:rsid w:val="0058721D"/>
    <w:rsid w:val="0058788F"/>
    <w:rsid w:val="00587943"/>
    <w:rsid w:val="00587ADD"/>
    <w:rsid w:val="00587D2C"/>
    <w:rsid w:val="00587F15"/>
    <w:rsid w:val="0059014F"/>
    <w:rsid w:val="0059021D"/>
    <w:rsid w:val="005902FE"/>
    <w:rsid w:val="00590371"/>
    <w:rsid w:val="0059049F"/>
    <w:rsid w:val="00590588"/>
    <w:rsid w:val="005906B8"/>
    <w:rsid w:val="005906DD"/>
    <w:rsid w:val="00590719"/>
    <w:rsid w:val="00590761"/>
    <w:rsid w:val="00590878"/>
    <w:rsid w:val="005908E5"/>
    <w:rsid w:val="00590968"/>
    <w:rsid w:val="00590CB0"/>
    <w:rsid w:val="00590F0C"/>
    <w:rsid w:val="00591373"/>
    <w:rsid w:val="00591391"/>
    <w:rsid w:val="005914E7"/>
    <w:rsid w:val="0059183B"/>
    <w:rsid w:val="005918C2"/>
    <w:rsid w:val="00591971"/>
    <w:rsid w:val="00591976"/>
    <w:rsid w:val="005919C0"/>
    <w:rsid w:val="00591A8A"/>
    <w:rsid w:val="00591AA7"/>
    <w:rsid w:val="00591AFA"/>
    <w:rsid w:val="00591B56"/>
    <w:rsid w:val="00591BC0"/>
    <w:rsid w:val="00591DA5"/>
    <w:rsid w:val="00591E11"/>
    <w:rsid w:val="00591FA0"/>
    <w:rsid w:val="005925B5"/>
    <w:rsid w:val="005927B6"/>
    <w:rsid w:val="005928EC"/>
    <w:rsid w:val="00592BC8"/>
    <w:rsid w:val="00592C61"/>
    <w:rsid w:val="00592DED"/>
    <w:rsid w:val="00592F49"/>
    <w:rsid w:val="00593045"/>
    <w:rsid w:val="00593144"/>
    <w:rsid w:val="0059323C"/>
    <w:rsid w:val="005936DE"/>
    <w:rsid w:val="005937B4"/>
    <w:rsid w:val="00593842"/>
    <w:rsid w:val="005938D9"/>
    <w:rsid w:val="00593952"/>
    <w:rsid w:val="00593A36"/>
    <w:rsid w:val="00593AF6"/>
    <w:rsid w:val="00593BF3"/>
    <w:rsid w:val="00593C78"/>
    <w:rsid w:val="00593F06"/>
    <w:rsid w:val="0059409F"/>
    <w:rsid w:val="0059414B"/>
    <w:rsid w:val="005944BC"/>
    <w:rsid w:val="00594850"/>
    <w:rsid w:val="005948C8"/>
    <w:rsid w:val="005949EE"/>
    <w:rsid w:val="00594A34"/>
    <w:rsid w:val="00594A9A"/>
    <w:rsid w:val="00594BD5"/>
    <w:rsid w:val="00594D8C"/>
    <w:rsid w:val="00594F0E"/>
    <w:rsid w:val="00594F2F"/>
    <w:rsid w:val="0059504C"/>
    <w:rsid w:val="00595120"/>
    <w:rsid w:val="00595280"/>
    <w:rsid w:val="00595295"/>
    <w:rsid w:val="005956B3"/>
    <w:rsid w:val="0059570D"/>
    <w:rsid w:val="00595712"/>
    <w:rsid w:val="00595938"/>
    <w:rsid w:val="00595A11"/>
    <w:rsid w:val="00595C82"/>
    <w:rsid w:val="00595D15"/>
    <w:rsid w:val="00595E38"/>
    <w:rsid w:val="00595F6C"/>
    <w:rsid w:val="00595FE6"/>
    <w:rsid w:val="005960F4"/>
    <w:rsid w:val="00596220"/>
    <w:rsid w:val="005963CA"/>
    <w:rsid w:val="005963FA"/>
    <w:rsid w:val="005967E1"/>
    <w:rsid w:val="00596863"/>
    <w:rsid w:val="005968AA"/>
    <w:rsid w:val="0059691F"/>
    <w:rsid w:val="00596ADC"/>
    <w:rsid w:val="00596CC2"/>
    <w:rsid w:val="00596D01"/>
    <w:rsid w:val="00596D95"/>
    <w:rsid w:val="00596DAC"/>
    <w:rsid w:val="00596DCA"/>
    <w:rsid w:val="0059708A"/>
    <w:rsid w:val="00597325"/>
    <w:rsid w:val="00597330"/>
    <w:rsid w:val="0059773F"/>
    <w:rsid w:val="005977F2"/>
    <w:rsid w:val="0059798C"/>
    <w:rsid w:val="00597A5E"/>
    <w:rsid w:val="00597AB9"/>
    <w:rsid w:val="00597B42"/>
    <w:rsid w:val="00597B47"/>
    <w:rsid w:val="00597FDB"/>
    <w:rsid w:val="005A009A"/>
    <w:rsid w:val="005A075C"/>
    <w:rsid w:val="005A07AD"/>
    <w:rsid w:val="005A0820"/>
    <w:rsid w:val="005A0A03"/>
    <w:rsid w:val="005A0BE7"/>
    <w:rsid w:val="005A0C13"/>
    <w:rsid w:val="005A0C1D"/>
    <w:rsid w:val="005A0CB4"/>
    <w:rsid w:val="005A0E3B"/>
    <w:rsid w:val="005A0E5E"/>
    <w:rsid w:val="005A0FB9"/>
    <w:rsid w:val="005A1038"/>
    <w:rsid w:val="005A1050"/>
    <w:rsid w:val="005A1133"/>
    <w:rsid w:val="005A11E0"/>
    <w:rsid w:val="005A15AA"/>
    <w:rsid w:val="005A1683"/>
    <w:rsid w:val="005A16DE"/>
    <w:rsid w:val="005A1730"/>
    <w:rsid w:val="005A1853"/>
    <w:rsid w:val="005A18F0"/>
    <w:rsid w:val="005A1ADF"/>
    <w:rsid w:val="005A1B67"/>
    <w:rsid w:val="005A1C38"/>
    <w:rsid w:val="005A1CFE"/>
    <w:rsid w:val="005A1D5E"/>
    <w:rsid w:val="005A1ED3"/>
    <w:rsid w:val="005A2033"/>
    <w:rsid w:val="005A2180"/>
    <w:rsid w:val="005A247B"/>
    <w:rsid w:val="005A2486"/>
    <w:rsid w:val="005A24B4"/>
    <w:rsid w:val="005A2583"/>
    <w:rsid w:val="005A27B0"/>
    <w:rsid w:val="005A2974"/>
    <w:rsid w:val="005A29C4"/>
    <w:rsid w:val="005A2AA9"/>
    <w:rsid w:val="005A2AE2"/>
    <w:rsid w:val="005A2AE9"/>
    <w:rsid w:val="005A2BC6"/>
    <w:rsid w:val="005A2CF4"/>
    <w:rsid w:val="005A2D48"/>
    <w:rsid w:val="005A2E33"/>
    <w:rsid w:val="005A3057"/>
    <w:rsid w:val="005A3506"/>
    <w:rsid w:val="005A3584"/>
    <w:rsid w:val="005A358B"/>
    <w:rsid w:val="005A363E"/>
    <w:rsid w:val="005A3AAC"/>
    <w:rsid w:val="005A3B22"/>
    <w:rsid w:val="005A3DBF"/>
    <w:rsid w:val="005A3FA3"/>
    <w:rsid w:val="005A3FC1"/>
    <w:rsid w:val="005A40DF"/>
    <w:rsid w:val="005A4103"/>
    <w:rsid w:val="005A414E"/>
    <w:rsid w:val="005A4284"/>
    <w:rsid w:val="005A4411"/>
    <w:rsid w:val="005A44A2"/>
    <w:rsid w:val="005A44ED"/>
    <w:rsid w:val="005A45D1"/>
    <w:rsid w:val="005A46C2"/>
    <w:rsid w:val="005A47A9"/>
    <w:rsid w:val="005A498A"/>
    <w:rsid w:val="005A49C6"/>
    <w:rsid w:val="005A4ACD"/>
    <w:rsid w:val="005A4F9C"/>
    <w:rsid w:val="005A4FD3"/>
    <w:rsid w:val="005A5089"/>
    <w:rsid w:val="005A5117"/>
    <w:rsid w:val="005A513D"/>
    <w:rsid w:val="005A520A"/>
    <w:rsid w:val="005A541B"/>
    <w:rsid w:val="005A56CE"/>
    <w:rsid w:val="005A5943"/>
    <w:rsid w:val="005A5D07"/>
    <w:rsid w:val="005A5E04"/>
    <w:rsid w:val="005A5E29"/>
    <w:rsid w:val="005A5EB3"/>
    <w:rsid w:val="005A5EC6"/>
    <w:rsid w:val="005A6059"/>
    <w:rsid w:val="005A60F3"/>
    <w:rsid w:val="005A6260"/>
    <w:rsid w:val="005A62D0"/>
    <w:rsid w:val="005A636F"/>
    <w:rsid w:val="005A65A1"/>
    <w:rsid w:val="005A660C"/>
    <w:rsid w:val="005A66B6"/>
    <w:rsid w:val="005A69DE"/>
    <w:rsid w:val="005A6A90"/>
    <w:rsid w:val="005A6BEF"/>
    <w:rsid w:val="005A6DB3"/>
    <w:rsid w:val="005A6ED9"/>
    <w:rsid w:val="005A6F8D"/>
    <w:rsid w:val="005A70E3"/>
    <w:rsid w:val="005A7161"/>
    <w:rsid w:val="005A7167"/>
    <w:rsid w:val="005A7177"/>
    <w:rsid w:val="005A71E6"/>
    <w:rsid w:val="005A747E"/>
    <w:rsid w:val="005A7646"/>
    <w:rsid w:val="005A7662"/>
    <w:rsid w:val="005A76AC"/>
    <w:rsid w:val="005A76D5"/>
    <w:rsid w:val="005A778E"/>
    <w:rsid w:val="005A782C"/>
    <w:rsid w:val="005A7858"/>
    <w:rsid w:val="005A7C82"/>
    <w:rsid w:val="005A7ECA"/>
    <w:rsid w:val="005B00A1"/>
    <w:rsid w:val="005B018A"/>
    <w:rsid w:val="005B0201"/>
    <w:rsid w:val="005B023B"/>
    <w:rsid w:val="005B0310"/>
    <w:rsid w:val="005B045E"/>
    <w:rsid w:val="005B0555"/>
    <w:rsid w:val="005B059D"/>
    <w:rsid w:val="005B06E8"/>
    <w:rsid w:val="005B06F8"/>
    <w:rsid w:val="005B0714"/>
    <w:rsid w:val="005B08C7"/>
    <w:rsid w:val="005B0A76"/>
    <w:rsid w:val="005B0BE4"/>
    <w:rsid w:val="005B0C05"/>
    <w:rsid w:val="005B0E60"/>
    <w:rsid w:val="005B0EF0"/>
    <w:rsid w:val="005B0F01"/>
    <w:rsid w:val="005B14E0"/>
    <w:rsid w:val="005B1760"/>
    <w:rsid w:val="005B1982"/>
    <w:rsid w:val="005B1A52"/>
    <w:rsid w:val="005B1A5A"/>
    <w:rsid w:val="005B1CCB"/>
    <w:rsid w:val="005B1E1A"/>
    <w:rsid w:val="005B1E77"/>
    <w:rsid w:val="005B1E7B"/>
    <w:rsid w:val="005B2031"/>
    <w:rsid w:val="005B2183"/>
    <w:rsid w:val="005B2520"/>
    <w:rsid w:val="005B264A"/>
    <w:rsid w:val="005B26DF"/>
    <w:rsid w:val="005B2800"/>
    <w:rsid w:val="005B2852"/>
    <w:rsid w:val="005B2C2F"/>
    <w:rsid w:val="005B2D6F"/>
    <w:rsid w:val="005B2ECA"/>
    <w:rsid w:val="005B2ED0"/>
    <w:rsid w:val="005B2F42"/>
    <w:rsid w:val="005B2F8C"/>
    <w:rsid w:val="005B3007"/>
    <w:rsid w:val="005B301B"/>
    <w:rsid w:val="005B3257"/>
    <w:rsid w:val="005B325A"/>
    <w:rsid w:val="005B34D3"/>
    <w:rsid w:val="005B36CB"/>
    <w:rsid w:val="005B3862"/>
    <w:rsid w:val="005B39B2"/>
    <w:rsid w:val="005B3B4B"/>
    <w:rsid w:val="005B3B7E"/>
    <w:rsid w:val="005B3C24"/>
    <w:rsid w:val="005B3CB0"/>
    <w:rsid w:val="005B3F96"/>
    <w:rsid w:val="005B4093"/>
    <w:rsid w:val="005B40A3"/>
    <w:rsid w:val="005B4313"/>
    <w:rsid w:val="005B44F1"/>
    <w:rsid w:val="005B4545"/>
    <w:rsid w:val="005B45FC"/>
    <w:rsid w:val="005B46B1"/>
    <w:rsid w:val="005B473F"/>
    <w:rsid w:val="005B47AC"/>
    <w:rsid w:val="005B4C6C"/>
    <w:rsid w:val="005B4D21"/>
    <w:rsid w:val="005B4F20"/>
    <w:rsid w:val="005B5051"/>
    <w:rsid w:val="005B5288"/>
    <w:rsid w:val="005B5588"/>
    <w:rsid w:val="005B56B0"/>
    <w:rsid w:val="005B57E4"/>
    <w:rsid w:val="005B5B18"/>
    <w:rsid w:val="005B5B5C"/>
    <w:rsid w:val="005B5CCB"/>
    <w:rsid w:val="005B5D86"/>
    <w:rsid w:val="005B5FDF"/>
    <w:rsid w:val="005B609B"/>
    <w:rsid w:val="005B62B1"/>
    <w:rsid w:val="005B62E6"/>
    <w:rsid w:val="005B63AF"/>
    <w:rsid w:val="005B64C5"/>
    <w:rsid w:val="005B6559"/>
    <w:rsid w:val="005B65DA"/>
    <w:rsid w:val="005B6864"/>
    <w:rsid w:val="005B6970"/>
    <w:rsid w:val="005B6CDB"/>
    <w:rsid w:val="005B6DDA"/>
    <w:rsid w:val="005B6E2C"/>
    <w:rsid w:val="005B746A"/>
    <w:rsid w:val="005B76AE"/>
    <w:rsid w:val="005B7846"/>
    <w:rsid w:val="005B79FC"/>
    <w:rsid w:val="005B7C9B"/>
    <w:rsid w:val="005B7F94"/>
    <w:rsid w:val="005B7FCB"/>
    <w:rsid w:val="005C01D2"/>
    <w:rsid w:val="005C031E"/>
    <w:rsid w:val="005C0346"/>
    <w:rsid w:val="005C0353"/>
    <w:rsid w:val="005C048B"/>
    <w:rsid w:val="005C0576"/>
    <w:rsid w:val="005C058B"/>
    <w:rsid w:val="005C0699"/>
    <w:rsid w:val="005C072A"/>
    <w:rsid w:val="005C073F"/>
    <w:rsid w:val="005C07D2"/>
    <w:rsid w:val="005C086D"/>
    <w:rsid w:val="005C0CFE"/>
    <w:rsid w:val="005C0DFC"/>
    <w:rsid w:val="005C0E22"/>
    <w:rsid w:val="005C0E56"/>
    <w:rsid w:val="005C108A"/>
    <w:rsid w:val="005C10BC"/>
    <w:rsid w:val="005C1133"/>
    <w:rsid w:val="005C1209"/>
    <w:rsid w:val="005C1371"/>
    <w:rsid w:val="005C1398"/>
    <w:rsid w:val="005C13A1"/>
    <w:rsid w:val="005C14BA"/>
    <w:rsid w:val="005C1531"/>
    <w:rsid w:val="005C1571"/>
    <w:rsid w:val="005C157C"/>
    <w:rsid w:val="005C15EE"/>
    <w:rsid w:val="005C1695"/>
    <w:rsid w:val="005C1914"/>
    <w:rsid w:val="005C1978"/>
    <w:rsid w:val="005C19E0"/>
    <w:rsid w:val="005C1AD3"/>
    <w:rsid w:val="005C1B4C"/>
    <w:rsid w:val="005C1BE9"/>
    <w:rsid w:val="005C2030"/>
    <w:rsid w:val="005C20EE"/>
    <w:rsid w:val="005C23B0"/>
    <w:rsid w:val="005C23F8"/>
    <w:rsid w:val="005C267B"/>
    <w:rsid w:val="005C26C9"/>
    <w:rsid w:val="005C2A87"/>
    <w:rsid w:val="005C2C73"/>
    <w:rsid w:val="005C2C83"/>
    <w:rsid w:val="005C2D39"/>
    <w:rsid w:val="005C3169"/>
    <w:rsid w:val="005C32F7"/>
    <w:rsid w:val="005C3362"/>
    <w:rsid w:val="005C3490"/>
    <w:rsid w:val="005C3751"/>
    <w:rsid w:val="005C38D3"/>
    <w:rsid w:val="005C3A70"/>
    <w:rsid w:val="005C3C17"/>
    <w:rsid w:val="005C3C9A"/>
    <w:rsid w:val="005C3FD6"/>
    <w:rsid w:val="005C40E3"/>
    <w:rsid w:val="005C417D"/>
    <w:rsid w:val="005C4271"/>
    <w:rsid w:val="005C430D"/>
    <w:rsid w:val="005C4319"/>
    <w:rsid w:val="005C4378"/>
    <w:rsid w:val="005C4383"/>
    <w:rsid w:val="005C463E"/>
    <w:rsid w:val="005C46A4"/>
    <w:rsid w:val="005C47D8"/>
    <w:rsid w:val="005C48E3"/>
    <w:rsid w:val="005C4BB1"/>
    <w:rsid w:val="005C4BC4"/>
    <w:rsid w:val="005C4C63"/>
    <w:rsid w:val="005C4C81"/>
    <w:rsid w:val="005C4CD1"/>
    <w:rsid w:val="005C4F28"/>
    <w:rsid w:val="005C5172"/>
    <w:rsid w:val="005C5267"/>
    <w:rsid w:val="005C5319"/>
    <w:rsid w:val="005C53D6"/>
    <w:rsid w:val="005C5661"/>
    <w:rsid w:val="005C5756"/>
    <w:rsid w:val="005C57EB"/>
    <w:rsid w:val="005C59EF"/>
    <w:rsid w:val="005C5AE3"/>
    <w:rsid w:val="005C5B19"/>
    <w:rsid w:val="005C5C14"/>
    <w:rsid w:val="005C5CAC"/>
    <w:rsid w:val="005C5E92"/>
    <w:rsid w:val="005C5F38"/>
    <w:rsid w:val="005C615D"/>
    <w:rsid w:val="005C6237"/>
    <w:rsid w:val="005C6238"/>
    <w:rsid w:val="005C6323"/>
    <w:rsid w:val="005C6431"/>
    <w:rsid w:val="005C6554"/>
    <w:rsid w:val="005C6602"/>
    <w:rsid w:val="005C6836"/>
    <w:rsid w:val="005C6936"/>
    <w:rsid w:val="005C698D"/>
    <w:rsid w:val="005C6A17"/>
    <w:rsid w:val="005C6A69"/>
    <w:rsid w:val="005C6C58"/>
    <w:rsid w:val="005C6DA9"/>
    <w:rsid w:val="005C6DE4"/>
    <w:rsid w:val="005C6DF3"/>
    <w:rsid w:val="005C72A4"/>
    <w:rsid w:val="005C73E9"/>
    <w:rsid w:val="005C741F"/>
    <w:rsid w:val="005C7477"/>
    <w:rsid w:val="005C753E"/>
    <w:rsid w:val="005C7619"/>
    <w:rsid w:val="005C79A1"/>
    <w:rsid w:val="005C79DB"/>
    <w:rsid w:val="005C7A04"/>
    <w:rsid w:val="005C7C0D"/>
    <w:rsid w:val="005C7CCE"/>
    <w:rsid w:val="005C7D16"/>
    <w:rsid w:val="005C7F19"/>
    <w:rsid w:val="005C7FF2"/>
    <w:rsid w:val="005D0193"/>
    <w:rsid w:val="005D0263"/>
    <w:rsid w:val="005D02E5"/>
    <w:rsid w:val="005D0455"/>
    <w:rsid w:val="005D0508"/>
    <w:rsid w:val="005D0574"/>
    <w:rsid w:val="005D0666"/>
    <w:rsid w:val="005D07E6"/>
    <w:rsid w:val="005D08C8"/>
    <w:rsid w:val="005D0A6C"/>
    <w:rsid w:val="005D0AAD"/>
    <w:rsid w:val="005D0B10"/>
    <w:rsid w:val="005D0B2F"/>
    <w:rsid w:val="005D0B80"/>
    <w:rsid w:val="005D0CCF"/>
    <w:rsid w:val="005D104D"/>
    <w:rsid w:val="005D1109"/>
    <w:rsid w:val="005D13F5"/>
    <w:rsid w:val="005D147E"/>
    <w:rsid w:val="005D15E9"/>
    <w:rsid w:val="005D1754"/>
    <w:rsid w:val="005D194B"/>
    <w:rsid w:val="005D1B6A"/>
    <w:rsid w:val="005D1BD9"/>
    <w:rsid w:val="005D1DB9"/>
    <w:rsid w:val="005D1EA8"/>
    <w:rsid w:val="005D2073"/>
    <w:rsid w:val="005D2081"/>
    <w:rsid w:val="005D2186"/>
    <w:rsid w:val="005D22A3"/>
    <w:rsid w:val="005D22C2"/>
    <w:rsid w:val="005D23DA"/>
    <w:rsid w:val="005D24E4"/>
    <w:rsid w:val="005D2534"/>
    <w:rsid w:val="005D25DC"/>
    <w:rsid w:val="005D296C"/>
    <w:rsid w:val="005D29C3"/>
    <w:rsid w:val="005D2B15"/>
    <w:rsid w:val="005D2B5D"/>
    <w:rsid w:val="005D2CAB"/>
    <w:rsid w:val="005D2DCF"/>
    <w:rsid w:val="005D2E41"/>
    <w:rsid w:val="005D31B7"/>
    <w:rsid w:val="005D320E"/>
    <w:rsid w:val="005D3507"/>
    <w:rsid w:val="005D352C"/>
    <w:rsid w:val="005D35F3"/>
    <w:rsid w:val="005D36A4"/>
    <w:rsid w:val="005D3836"/>
    <w:rsid w:val="005D38AD"/>
    <w:rsid w:val="005D38F7"/>
    <w:rsid w:val="005D39A8"/>
    <w:rsid w:val="005D3B18"/>
    <w:rsid w:val="005D3CC0"/>
    <w:rsid w:val="005D3D12"/>
    <w:rsid w:val="005D3D81"/>
    <w:rsid w:val="005D3E09"/>
    <w:rsid w:val="005D3E39"/>
    <w:rsid w:val="005D3F89"/>
    <w:rsid w:val="005D3FA2"/>
    <w:rsid w:val="005D4009"/>
    <w:rsid w:val="005D4127"/>
    <w:rsid w:val="005D4139"/>
    <w:rsid w:val="005D43E0"/>
    <w:rsid w:val="005D44CA"/>
    <w:rsid w:val="005D4EFC"/>
    <w:rsid w:val="005D503E"/>
    <w:rsid w:val="005D50DE"/>
    <w:rsid w:val="005D5243"/>
    <w:rsid w:val="005D5477"/>
    <w:rsid w:val="005D54D7"/>
    <w:rsid w:val="005D554D"/>
    <w:rsid w:val="005D5689"/>
    <w:rsid w:val="005D56E3"/>
    <w:rsid w:val="005D58D5"/>
    <w:rsid w:val="005D5C66"/>
    <w:rsid w:val="005D61D3"/>
    <w:rsid w:val="005D642F"/>
    <w:rsid w:val="005D65A4"/>
    <w:rsid w:val="005D6A38"/>
    <w:rsid w:val="005D739C"/>
    <w:rsid w:val="005D7516"/>
    <w:rsid w:val="005D75BF"/>
    <w:rsid w:val="005D776A"/>
    <w:rsid w:val="005D7770"/>
    <w:rsid w:val="005D786A"/>
    <w:rsid w:val="005D7879"/>
    <w:rsid w:val="005D7891"/>
    <w:rsid w:val="005D78A6"/>
    <w:rsid w:val="005D78C2"/>
    <w:rsid w:val="005D7B59"/>
    <w:rsid w:val="005D7F62"/>
    <w:rsid w:val="005E043C"/>
    <w:rsid w:val="005E0603"/>
    <w:rsid w:val="005E0633"/>
    <w:rsid w:val="005E07F4"/>
    <w:rsid w:val="005E0823"/>
    <w:rsid w:val="005E086B"/>
    <w:rsid w:val="005E0966"/>
    <w:rsid w:val="005E09B1"/>
    <w:rsid w:val="005E0A45"/>
    <w:rsid w:val="005E0D71"/>
    <w:rsid w:val="005E0D87"/>
    <w:rsid w:val="005E1249"/>
    <w:rsid w:val="005E1337"/>
    <w:rsid w:val="005E1456"/>
    <w:rsid w:val="005E14C6"/>
    <w:rsid w:val="005E154A"/>
    <w:rsid w:val="005E1578"/>
    <w:rsid w:val="005E16CA"/>
    <w:rsid w:val="005E181D"/>
    <w:rsid w:val="005E1842"/>
    <w:rsid w:val="005E1A4C"/>
    <w:rsid w:val="005E1A8A"/>
    <w:rsid w:val="005E1C75"/>
    <w:rsid w:val="005E1E23"/>
    <w:rsid w:val="005E1EFC"/>
    <w:rsid w:val="005E1F91"/>
    <w:rsid w:val="005E2045"/>
    <w:rsid w:val="005E20A7"/>
    <w:rsid w:val="005E2211"/>
    <w:rsid w:val="005E23A2"/>
    <w:rsid w:val="005E24B6"/>
    <w:rsid w:val="005E2519"/>
    <w:rsid w:val="005E26C0"/>
    <w:rsid w:val="005E26D9"/>
    <w:rsid w:val="005E2808"/>
    <w:rsid w:val="005E29B8"/>
    <w:rsid w:val="005E29CA"/>
    <w:rsid w:val="005E2A70"/>
    <w:rsid w:val="005E2B25"/>
    <w:rsid w:val="005E2D2F"/>
    <w:rsid w:val="005E2D79"/>
    <w:rsid w:val="005E2E4F"/>
    <w:rsid w:val="005E2EF0"/>
    <w:rsid w:val="005E2F99"/>
    <w:rsid w:val="005E3352"/>
    <w:rsid w:val="005E33CD"/>
    <w:rsid w:val="005E384F"/>
    <w:rsid w:val="005E397E"/>
    <w:rsid w:val="005E3A1E"/>
    <w:rsid w:val="005E3A33"/>
    <w:rsid w:val="005E3B35"/>
    <w:rsid w:val="005E3E1C"/>
    <w:rsid w:val="005E3F9C"/>
    <w:rsid w:val="005E4072"/>
    <w:rsid w:val="005E4115"/>
    <w:rsid w:val="005E420F"/>
    <w:rsid w:val="005E423E"/>
    <w:rsid w:val="005E4254"/>
    <w:rsid w:val="005E433D"/>
    <w:rsid w:val="005E4361"/>
    <w:rsid w:val="005E44DD"/>
    <w:rsid w:val="005E4620"/>
    <w:rsid w:val="005E46E8"/>
    <w:rsid w:val="005E4743"/>
    <w:rsid w:val="005E4862"/>
    <w:rsid w:val="005E4ABF"/>
    <w:rsid w:val="005E4AFD"/>
    <w:rsid w:val="005E4EA8"/>
    <w:rsid w:val="005E4EE6"/>
    <w:rsid w:val="005E51B3"/>
    <w:rsid w:val="005E51FE"/>
    <w:rsid w:val="005E538A"/>
    <w:rsid w:val="005E538D"/>
    <w:rsid w:val="005E55EC"/>
    <w:rsid w:val="005E55FD"/>
    <w:rsid w:val="005E5685"/>
    <w:rsid w:val="005E5C81"/>
    <w:rsid w:val="005E5E28"/>
    <w:rsid w:val="005E5F8D"/>
    <w:rsid w:val="005E6022"/>
    <w:rsid w:val="005E60DC"/>
    <w:rsid w:val="005E62A0"/>
    <w:rsid w:val="005E62AA"/>
    <w:rsid w:val="005E6304"/>
    <w:rsid w:val="005E64DF"/>
    <w:rsid w:val="005E6B0E"/>
    <w:rsid w:val="005E6C8E"/>
    <w:rsid w:val="005E6FF4"/>
    <w:rsid w:val="005E7299"/>
    <w:rsid w:val="005E72C5"/>
    <w:rsid w:val="005E7400"/>
    <w:rsid w:val="005E74F1"/>
    <w:rsid w:val="005E7617"/>
    <w:rsid w:val="005E7692"/>
    <w:rsid w:val="005E76F2"/>
    <w:rsid w:val="005E7721"/>
    <w:rsid w:val="005E78BE"/>
    <w:rsid w:val="005E7AC4"/>
    <w:rsid w:val="005E7EF6"/>
    <w:rsid w:val="005F019B"/>
    <w:rsid w:val="005F0486"/>
    <w:rsid w:val="005F053F"/>
    <w:rsid w:val="005F062D"/>
    <w:rsid w:val="005F062E"/>
    <w:rsid w:val="005F066D"/>
    <w:rsid w:val="005F07A7"/>
    <w:rsid w:val="005F07DB"/>
    <w:rsid w:val="005F0A33"/>
    <w:rsid w:val="005F0B0D"/>
    <w:rsid w:val="005F0CBD"/>
    <w:rsid w:val="005F0E44"/>
    <w:rsid w:val="005F0F15"/>
    <w:rsid w:val="005F0F9A"/>
    <w:rsid w:val="005F10B0"/>
    <w:rsid w:val="005F12EA"/>
    <w:rsid w:val="005F1321"/>
    <w:rsid w:val="005F1358"/>
    <w:rsid w:val="005F1610"/>
    <w:rsid w:val="005F16E0"/>
    <w:rsid w:val="005F1794"/>
    <w:rsid w:val="005F180F"/>
    <w:rsid w:val="005F1A3A"/>
    <w:rsid w:val="005F1C73"/>
    <w:rsid w:val="005F1CFA"/>
    <w:rsid w:val="005F1FCA"/>
    <w:rsid w:val="005F20B2"/>
    <w:rsid w:val="005F21DF"/>
    <w:rsid w:val="005F21F1"/>
    <w:rsid w:val="005F226C"/>
    <w:rsid w:val="005F24AF"/>
    <w:rsid w:val="005F25DC"/>
    <w:rsid w:val="005F2626"/>
    <w:rsid w:val="005F263A"/>
    <w:rsid w:val="005F2C44"/>
    <w:rsid w:val="005F2E50"/>
    <w:rsid w:val="005F3010"/>
    <w:rsid w:val="005F3062"/>
    <w:rsid w:val="005F30B5"/>
    <w:rsid w:val="005F31E6"/>
    <w:rsid w:val="005F3599"/>
    <w:rsid w:val="005F371B"/>
    <w:rsid w:val="005F3B1F"/>
    <w:rsid w:val="005F3DC3"/>
    <w:rsid w:val="005F3F8D"/>
    <w:rsid w:val="005F4074"/>
    <w:rsid w:val="005F4087"/>
    <w:rsid w:val="005F4307"/>
    <w:rsid w:val="005F4409"/>
    <w:rsid w:val="005F443F"/>
    <w:rsid w:val="005F45A0"/>
    <w:rsid w:val="005F4806"/>
    <w:rsid w:val="005F4AAC"/>
    <w:rsid w:val="005F4D9A"/>
    <w:rsid w:val="005F4DFD"/>
    <w:rsid w:val="005F4EE1"/>
    <w:rsid w:val="005F4FAF"/>
    <w:rsid w:val="005F50C1"/>
    <w:rsid w:val="005F519C"/>
    <w:rsid w:val="005F53DB"/>
    <w:rsid w:val="005F5478"/>
    <w:rsid w:val="005F54B3"/>
    <w:rsid w:val="005F55C8"/>
    <w:rsid w:val="005F594F"/>
    <w:rsid w:val="005F5B38"/>
    <w:rsid w:val="005F5C21"/>
    <w:rsid w:val="005F5F8B"/>
    <w:rsid w:val="005F6096"/>
    <w:rsid w:val="005F6389"/>
    <w:rsid w:val="005F6759"/>
    <w:rsid w:val="005F6A2E"/>
    <w:rsid w:val="005F6B50"/>
    <w:rsid w:val="005F6B97"/>
    <w:rsid w:val="005F6E27"/>
    <w:rsid w:val="005F7065"/>
    <w:rsid w:val="005F711B"/>
    <w:rsid w:val="005F7209"/>
    <w:rsid w:val="005F738E"/>
    <w:rsid w:val="005F755B"/>
    <w:rsid w:val="005F763F"/>
    <w:rsid w:val="005F7652"/>
    <w:rsid w:val="005F7999"/>
    <w:rsid w:val="005F7B33"/>
    <w:rsid w:val="005F7D3C"/>
    <w:rsid w:val="005F7D8B"/>
    <w:rsid w:val="005F7DBC"/>
    <w:rsid w:val="005F7EF5"/>
    <w:rsid w:val="005F7EFA"/>
    <w:rsid w:val="005F7F8A"/>
    <w:rsid w:val="006000C4"/>
    <w:rsid w:val="006003B2"/>
    <w:rsid w:val="006003F6"/>
    <w:rsid w:val="00600407"/>
    <w:rsid w:val="0060050C"/>
    <w:rsid w:val="006005D8"/>
    <w:rsid w:val="006006C1"/>
    <w:rsid w:val="006007EE"/>
    <w:rsid w:val="006008D2"/>
    <w:rsid w:val="00600906"/>
    <w:rsid w:val="006009E4"/>
    <w:rsid w:val="00600B0E"/>
    <w:rsid w:val="00600EB5"/>
    <w:rsid w:val="00601409"/>
    <w:rsid w:val="00601412"/>
    <w:rsid w:val="00601419"/>
    <w:rsid w:val="006014E3"/>
    <w:rsid w:val="006015A1"/>
    <w:rsid w:val="006015C6"/>
    <w:rsid w:val="006016F3"/>
    <w:rsid w:val="00601808"/>
    <w:rsid w:val="006019B9"/>
    <w:rsid w:val="00601B51"/>
    <w:rsid w:val="00601BA0"/>
    <w:rsid w:val="00601C05"/>
    <w:rsid w:val="006020FD"/>
    <w:rsid w:val="00602575"/>
    <w:rsid w:val="006025F9"/>
    <w:rsid w:val="00602697"/>
    <w:rsid w:val="00602A5C"/>
    <w:rsid w:val="00602D2D"/>
    <w:rsid w:val="00602EB9"/>
    <w:rsid w:val="00602EC4"/>
    <w:rsid w:val="00602FD8"/>
    <w:rsid w:val="00603978"/>
    <w:rsid w:val="00603AB1"/>
    <w:rsid w:val="00603C67"/>
    <w:rsid w:val="00603CDD"/>
    <w:rsid w:val="00603D07"/>
    <w:rsid w:val="00603ECD"/>
    <w:rsid w:val="00604085"/>
    <w:rsid w:val="00604125"/>
    <w:rsid w:val="00604225"/>
    <w:rsid w:val="00604375"/>
    <w:rsid w:val="00604378"/>
    <w:rsid w:val="0060441B"/>
    <w:rsid w:val="006044D3"/>
    <w:rsid w:val="00604543"/>
    <w:rsid w:val="00604651"/>
    <w:rsid w:val="006046AE"/>
    <w:rsid w:val="00604AE1"/>
    <w:rsid w:val="00604E88"/>
    <w:rsid w:val="006050D0"/>
    <w:rsid w:val="00605218"/>
    <w:rsid w:val="006053FA"/>
    <w:rsid w:val="00605524"/>
    <w:rsid w:val="0060574D"/>
    <w:rsid w:val="00605842"/>
    <w:rsid w:val="006059FA"/>
    <w:rsid w:val="00605E42"/>
    <w:rsid w:val="0060617C"/>
    <w:rsid w:val="00606189"/>
    <w:rsid w:val="006063E4"/>
    <w:rsid w:val="006065D0"/>
    <w:rsid w:val="0060665C"/>
    <w:rsid w:val="006066DC"/>
    <w:rsid w:val="00606736"/>
    <w:rsid w:val="0060681F"/>
    <w:rsid w:val="00606886"/>
    <w:rsid w:val="0060689A"/>
    <w:rsid w:val="0060695E"/>
    <w:rsid w:val="006069CD"/>
    <w:rsid w:val="00606B5C"/>
    <w:rsid w:val="00606D37"/>
    <w:rsid w:val="00606E5D"/>
    <w:rsid w:val="00606E98"/>
    <w:rsid w:val="006070DD"/>
    <w:rsid w:val="0060714F"/>
    <w:rsid w:val="006071B9"/>
    <w:rsid w:val="006071D5"/>
    <w:rsid w:val="006072D0"/>
    <w:rsid w:val="006074CB"/>
    <w:rsid w:val="006074FD"/>
    <w:rsid w:val="0060750B"/>
    <w:rsid w:val="006075F6"/>
    <w:rsid w:val="00607620"/>
    <w:rsid w:val="00607932"/>
    <w:rsid w:val="00607A69"/>
    <w:rsid w:val="00607B32"/>
    <w:rsid w:val="00607B8C"/>
    <w:rsid w:val="00607BA0"/>
    <w:rsid w:val="00607C0B"/>
    <w:rsid w:val="00607F8D"/>
    <w:rsid w:val="00610060"/>
    <w:rsid w:val="006104AB"/>
    <w:rsid w:val="00610515"/>
    <w:rsid w:val="00610559"/>
    <w:rsid w:val="00610566"/>
    <w:rsid w:val="006105FE"/>
    <w:rsid w:val="0061066E"/>
    <w:rsid w:val="006106A8"/>
    <w:rsid w:val="00610855"/>
    <w:rsid w:val="00610A03"/>
    <w:rsid w:val="00610D43"/>
    <w:rsid w:val="00610D69"/>
    <w:rsid w:val="00610DF1"/>
    <w:rsid w:val="00610EDE"/>
    <w:rsid w:val="0061105F"/>
    <w:rsid w:val="0061109D"/>
    <w:rsid w:val="0061125A"/>
    <w:rsid w:val="006113E9"/>
    <w:rsid w:val="0061142B"/>
    <w:rsid w:val="00611437"/>
    <w:rsid w:val="00611550"/>
    <w:rsid w:val="00611752"/>
    <w:rsid w:val="00611756"/>
    <w:rsid w:val="006119BB"/>
    <w:rsid w:val="00611B47"/>
    <w:rsid w:val="00611C0B"/>
    <w:rsid w:val="00611D39"/>
    <w:rsid w:val="00611D3F"/>
    <w:rsid w:val="00611F66"/>
    <w:rsid w:val="00612053"/>
    <w:rsid w:val="0061206C"/>
    <w:rsid w:val="00612303"/>
    <w:rsid w:val="0061237A"/>
    <w:rsid w:val="006123E6"/>
    <w:rsid w:val="006124B1"/>
    <w:rsid w:val="006125EA"/>
    <w:rsid w:val="00612AAE"/>
    <w:rsid w:val="00612B12"/>
    <w:rsid w:val="00612BEB"/>
    <w:rsid w:val="00612C9A"/>
    <w:rsid w:val="00613168"/>
    <w:rsid w:val="0061319D"/>
    <w:rsid w:val="0061343C"/>
    <w:rsid w:val="00613482"/>
    <w:rsid w:val="006134BE"/>
    <w:rsid w:val="00613586"/>
    <w:rsid w:val="006136BA"/>
    <w:rsid w:val="0061371E"/>
    <w:rsid w:val="006137DA"/>
    <w:rsid w:val="006138F2"/>
    <w:rsid w:val="0061398C"/>
    <w:rsid w:val="00613997"/>
    <w:rsid w:val="006139DF"/>
    <w:rsid w:val="00613C4F"/>
    <w:rsid w:val="00613C61"/>
    <w:rsid w:val="00613E0F"/>
    <w:rsid w:val="00614005"/>
    <w:rsid w:val="00614017"/>
    <w:rsid w:val="00614160"/>
    <w:rsid w:val="006141D6"/>
    <w:rsid w:val="00614334"/>
    <w:rsid w:val="006143D8"/>
    <w:rsid w:val="00614620"/>
    <w:rsid w:val="0061462B"/>
    <w:rsid w:val="00614918"/>
    <w:rsid w:val="006149D7"/>
    <w:rsid w:val="006149DB"/>
    <w:rsid w:val="00614FB8"/>
    <w:rsid w:val="00615228"/>
    <w:rsid w:val="006153EA"/>
    <w:rsid w:val="00615585"/>
    <w:rsid w:val="00615853"/>
    <w:rsid w:val="00615914"/>
    <w:rsid w:val="006159F0"/>
    <w:rsid w:val="00615CA0"/>
    <w:rsid w:val="00615CCE"/>
    <w:rsid w:val="00615CE8"/>
    <w:rsid w:val="00615DE3"/>
    <w:rsid w:val="00616029"/>
    <w:rsid w:val="006161E0"/>
    <w:rsid w:val="00616494"/>
    <w:rsid w:val="006164AA"/>
    <w:rsid w:val="006164BA"/>
    <w:rsid w:val="00616813"/>
    <w:rsid w:val="0061694B"/>
    <w:rsid w:val="00616AB2"/>
    <w:rsid w:val="00616AC7"/>
    <w:rsid w:val="00616B6F"/>
    <w:rsid w:val="00616C8A"/>
    <w:rsid w:val="00616E7A"/>
    <w:rsid w:val="00616E93"/>
    <w:rsid w:val="00616F7F"/>
    <w:rsid w:val="00616F8E"/>
    <w:rsid w:val="0061716E"/>
    <w:rsid w:val="006171A3"/>
    <w:rsid w:val="00617778"/>
    <w:rsid w:val="006178F3"/>
    <w:rsid w:val="00617936"/>
    <w:rsid w:val="00617999"/>
    <w:rsid w:val="00617E41"/>
    <w:rsid w:val="00617E8C"/>
    <w:rsid w:val="006202FC"/>
    <w:rsid w:val="006203F4"/>
    <w:rsid w:val="0062042F"/>
    <w:rsid w:val="00620566"/>
    <w:rsid w:val="006205A2"/>
    <w:rsid w:val="00620736"/>
    <w:rsid w:val="00620913"/>
    <w:rsid w:val="0062094B"/>
    <w:rsid w:val="00620C24"/>
    <w:rsid w:val="00620D66"/>
    <w:rsid w:val="00620EC3"/>
    <w:rsid w:val="006210DC"/>
    <w:rsid w:val="006216A6"/>
    <w:rsid w:val="00621B06"/>
    <w:rsid w:val="00621C5D"/>
    <w:rsid w:val="00621E4A"/>
    <w:rsid w:val="006220D6"/>
    <w:rsid w:val="0062212B"/>
    <w:rsid w:val="00622397"/>
    <w:rsid w:val="006223D9"/>
    <w:rsid w:val="006223F3"/>
    <w:rsid w:val="00622447"/>
    <w:rsid w:val="0062285C"/>
    <w:rsid w:val="0062287A"/>
    <w:rsid w:val="00622967"/>
    <w:rsid w:val="0062298D"/>
    <w:rsid w:val="00622AD8"/>
    <w:rsid w:val="00622B0D"/>
    <w:rsid w:val="00622E41"/>
    <w:rsid w:val="00622F45"/>
    <w:rsid w:val="00622FD3"/>
    <w:rsid w:val="00623003"/>
    <w:rsid w:val="00623103"/>
    <w:rsid w:val="0062341A"/>
    <w:rsid w:val="0062347A"/>
    <w:rsid w:val="006234A4"/>
    <w:rsid w:val="006234C0"/>
    <w:rsid w:val="0062354D"/>
    <w:rsid w:val="00623768"/>
    <w:rsid w:val="006237AC"/>
    <w:rsid w:val="006238BE"/>
    <w:rsid w:val="00623918"/>
    <w:rsid w:val="00623B68"/>
    <w:rsid w:val="00623BD0"/>
    <w:rsid w:val="00623D61"/>
    <w:rsid w:val="00623EE0"/>
    <w:rsid w:val="0062401F"/>
    <w:rsid w:val="00624081"/>
    <w:rsid w:val="00624153"/>
    <w:rsid w:val="00624177"/>
    <w:rsid w:val="0062417D"/>
    <w:rsid w:val="0062419C"/>
    <w:rsid w:val="00624356"/>
    <w:rsid w:val="006243E5"/>
    <w:rsid w:val="006244C1"/>
    <w:rsid w:val="0062455B"/>
    <w:rsid w:val="0062461D"/>
    <w:rsid w:val="00624717"/>
    <w:rsid w:val="00624AB5"/>
    <w:rsid w:val="00624B9F"/>
    <w:rsid w:val="00624C1E"/>
    <w:rsid w:val="006251A2"/>
    <w:rsid w:val="00625601"/>
    <w:rsid w:val="00625669"/>
    <w:rsid w:val="0062572C"/>
    <w:rsid w:val="00625779"/>
    <w:rsid w:val="00625910"/>
    <w:rsid w:val="006259FD"/>
    <w:rsid w:val="00625C6B"/>
    <w:rsid w:val="00625CBF"/>
    <w:rsid w:val="00625F5A"/>
    <w:rsid w:val="0062600F"/>
    <w:rsid w:val="00626090"/>
    <w:rsid w:val="006260FB"/>
    <w:rsid w:val="006264F9"/>
    <w:rsid w:val="0062688A"/>
    <w:rsid w:val="00626923"/>
    <w:rsid w:val="00626A97"/>
    <w:rsid w:val="00626B0F"/>
    <w:rsid w:val="00626BE9"/>
    <w:rsid w:val="00626C73"/>
    <w:rsid w:val="00626CAC"/>
    <w:rsid w:val="00626D9F"/>
    <w:rsid w:val="00626DBC"/>
    <w:rsid w:val="00626F54"/>
    <w:rsid w:val="00626F60"/>
    <w:rsid w:val="00627018"/>
    <w:rsid w:val="006270F6"/>
    <w:rsid w:val="00627112"/>
    <w:rsid w:val="006273C0"/>
    <w:rsid w:val="0062757A"/>
    <w:rsid w:val="006276EC"/>
    <w:rsid w:val="00627768"/>
    <w:rsid w:val="006279B8"/>
    <w:rsid w:val="00627A6D"/>
    <w:rsid w:val="00627B4B"/>
    <w:rsid w:val="00627C3E"/>
    <w:rsid w:val="00627DBA"/>
    <w:rsid w:val="00627E20"/>
    <w:rsid w:val="00627E68"/>
    <w:rsid w:val="00630033"/>
    <w:rsid w:val="0063007E"/>
    <w:rsid w:val="006300C0"/>
    <w:rsid w:val="00630218"/>
    <w:rsid w:val="0063040B"/>
    <w:rsid w:val="006304DE"/>
    <w:rsid w:val="00630531"/>
    <w:rsid w:val="00630701"/>
    <w:rsid w:val="0063075E"/>
    <w:rsid w:val="00630837"/>
    <w:rsid w:val="00630871"/>
    <w:rsid w:val="006309BF"/>
    <w:rsid w:val="00630AE2"/>
    <w:rsid w:val="00630B7D"/>
    <w:rsid w:val="00630C11"/>
    <w:rsid w:val="00630CB5"/>
    <w:rsid w:val="00630DC2"/>
    <w:rsid w:val="00630DDF"/>
    <w:rsid w:val="00630EEC"/>
    <w:rsid w:val="00630F3C"/>
    <w:rsid w:val="00631094"/>
    <w:rsid w:val="0063128F"/>
    <w:rsid w:val="00631336"/>
    <w:rsid w:val="00631356"/>
    <w:rsid w:val="00631396"/>
    <w:rsid w:val="006313F9"/>
    <w:rsid w:val="00631517"/>
    <w:rsid w:val="006315D3"/>
    <w:rsid w:val="00631BF5"/>
    <w:rsid w:val="00631D32"/>
    <w:rsid w:val="00631E34"/>
    <w:rsid w:val="00631F44"/>
    <w:rsid w:val="00631F46"/>
    <w:rsid w:val="006320C8"/>
    <w:rsid w:val="006320D6"/>
    <w:rsid w:val="006321B7"/>
    <w:rsid w:val="0063228A"/>
    <w:rsid w:val="006322BC"/>
    <w:rsid w:val="00632302"/>
    <w:rsid w:val="00632312"/>
    <w:rsid w:val="0063244A"/>
    <w:rsid w:val="006324CE"/>
    <w:rsid w:val="006324E8"/>
    <w:rsid w:val="00632546"/>
    <w:rsid w:val="0063263E"/>
    <w:rsid w:val="0063269F"/>
    <w:rsid w:val="00632762"/>
    <w:rsid w:val="00632921"/>
    <w:rsid w:val="006329A1"/>
    <w:rsid w:val="00632A67"/>
    <w:rsid w:val="00632BD2"/>
    <w:rsid w:val="00632D58"/>
    <w:rsid w:val="00632FAE"/>
    <w:rsid w:val="006330A8"/>
    <w:rsid w:val="006331D1"/>
    <w:rsid w:val="006331DA"/>
    <w:rsid w:val="00633238"/>
    <w:rsid w:val="00633298"/>
    <w:rsid w:val="0063332D"/>
    <w:rsid w:val="006335DD"/>
    <w:rsid w:val="006335EF"/>
    <w:rsid w:val="006338D3"/>
    <w:rsid w:val="006339FD"/>
    <w:rsid w:val="00633A8A"/>
    <w:rsid w:val="00633F82"/>
    <w:rsid w:val="00633FDE"/>
    <w:rsid w:val="00634060"/>
    <w:rsid w:val="006340C9"/>
    <w:rsid w:val="0063413E"/>
    <w:rsid w:val="006342AA"/>
    <w:rsid w:val="006343CB"/>
    <w:rsid w:val="006343D8"/>
    <w:rsid w:val="006343E6"/>
    <w:rsid w:val="00634489"/>
    <w:rsid w:val="00634776"/>
    <w:rsid w:val="00634A3D"/>
    <w:rsid w:val="00634BA0"/>
    <w:rsid w:val="00634E81"/>
    <w:rsid w:val="00635057"/>
    <w:rsid w:val="0063529C"/>
    <w:rsid w:val="00635371"/>
    <w:rsid w:val="00635418"/>
    <w:rsid w:val="00635441"/>
    <w:rsid w:val="00635484"/>
    <w:rsid w:val="00635592"/>
    <w:rsid w:val="0063559B"/>
    <w:rsid w:val="00635637"/>
    <w:rsid w:val="006357E5"/>
    <w:rsid w:val="00635880"/>
    <w:rsid w:val="00635A71"/>
    <w:rsid w:val="00635D6B"/>
    <w:rsid w:val="00635D77"/>
    <w:rsid w:val="00635DEF"/>
    <w:rsid w:val="00635FBA"/>
    <w:rsid w:val="00636122"/>
    <w:rsid w:val="006361AA"/>
    <w:rsid w:val="006366ED"/>
    <w:rsid w:val="00636856"/>
    <w:rsid w:val="00636949"/>
    <w:rsid w:val="00636B6E"/>
    <w:rsid w:val="00636B81"/>
    <w:rsid w:val="00636B8C"/>
    <w:rsid w:val="00636C11"/>
    <w:rsid w:val="00636CE6"/>
    <w:rsid w:val="00636D96"/>
    <w:rsid w:val="00636E1B"/>
    <w:rsid w:val="006371A3"/>
    <w:rsid w:val="006371AF"/>
    <w:rsid w:val="00637307"/>
    <w:rsid w:val="006374E5"/>
    <w:rsid w:val="00637855"/>
    <w:rsid w:val="00637ABA"/>
    <w:rsid w:val="00637D85"/>
    <w:rsid w:val="00637F2D"/>
    <w:rsid w:val="00637FC8"/>
    <w:rsid w:val="00640135"/>
    <w:rsid w:val="006401AC"/>
    <w:rsid w:val="006401D0"/>
    <w:rsid w:val="006402CF"/>
    <w:rsid w:val="00640534"/>
    <w:rsid w:val="00640549"/>
    <w:rsid w:val="00640558"/>
    <w:rsid w:val="00640580"/>
    <w:rsid w:val="006405A9"/>
    <w:rsid w:val="006407B2"/>
    <w:rsid w:val="006407D0"/>
    <w:rsid w:val="006408E8"/>
    <w:rsid w:val="00640AA8"/>
    <w:rsid w:val="00640EA0"/>
    <w:rsid w:val="00640FDE"/>
    <w:rsid w:val="006410F8"/>
    <w:rsid w:val="00641169"/>
    <w:rsid w:val="006413A4"/>
    <w:rsid w:val="006414CD"/>
    <w:rsid w:val="00641529"/>
    <w:rsid w:val="00641551"/>
    <w:rsid w:val="006417F2"/>
    <w:rsid w:val="0064198D"/>
    <w:rsid w:val="00641FE3"/>
    <w:rsid w:val="006425F8"/>
    <w:rsid w:val="00642705"/>
    <w:rsid w:val="00642720"/>
    <w:rsid w:val="00642894"/>
    <w:rsid w:val="00642A40"/>
    <w:rsid w:val="00642A8A"/>
    <w:rsid w:val="00642CB8"/>
    <w:rsid w:val="00642EC1"/>
    <w:rsid w:val="0064307B"/>
    <w:rsid w:val="006432C2"/>
    <w:rsid w:val="006433B5"/>
    <w:rsid w:val="0064343B"/>
    <w:rsid w:val="00643642"/>
    <w:rsid w:val="006438B7"/>
    <w:rsid w:val="006438EA"/>
    <w:rsid w:val="00643901"/>
    <w:rsid w:val="00643B9F"/>
    <w:rsid w:val="00643BD3"/>
    <w:rsid w:val="00643EA0"/>
    <w:rsid w:val="00643EBC"/>
    <w:rsid w:val="00643F20"/>
    <w:rsid w:val="00643F9B"/>
    <w:rsid w:val="00644284"/>
    <w:rsid w:val="00644473"/>
    <w:rsid w:val="0064469D"/>
    <w:rsid w:val="00644ACC"/>
    <w:rsid w:val="00644F42"/>
    <w:rsid w:val="00644FA3"/>
    <w:rsid w:val="00644FF7"/>
    <w:rsid w:val="00645053"/>
    <w:rsid w:val="00645278"/>
    <w:rsid w:val="0064544D"/>
    <w:rsid w:val="0064548E"/>
    <w:rsid w:val="00645499"/>
    <w:rsid w:val="0064549A"/>
    <w:rsid w:val="006454D2"/>
    <w:rsid w:val="006454DD"/>
    <w:rsid w:val="00645675"/>
    <w:rsid w:val="006456AD"/>
    <w:rsid w:val="0064585E"/>
    <w:rsid w:val="00645C32"/>
    <w:rsid w:val="00645DCF"/>
    <w:rsid w:val="00645E26"/>
    <w:rsid w:val="00645E4B"/>
    <w:rsid w:val="00645E99"/>
    <w:rsid w:val="006460C1"/>
    <w:rsid w:val="006461A2"/>
    <w:rsid w:val="006462FB"/>
    <w:rsid w:val="00646660"/>
    <w:rsid w:val="00646705"/>
    <w:rsid w:val="0064696F"/>
    <w:rsid w:val="00646B5E"/>
    <w:rsid w:val="00646EBC"/>
    <w:rsid w:val="00646F4E"/>
    <w:rsid w:val="00646F55"/>
    <w:rsid w:val="006473B0"/>
    <w:rsid w:val="006474A3"/>
    <w:rsid w:val="006474CB"/>
    <w:rsid w:val="006474DE"/>
    <w:rsid w:val="00647595"/>
    <w:rsid w:val="00647739"/>
    <w:rsid w:val="0064775E"/>
    <w:rsid w:val="006477BE"/>
    <w:rsid w:val="00647944"/>
    <w:rsid w:val="00647AB8"/>
    <w:rsid w:val="00647BFB"/>
    <w:rsid w:val="00647D5B"/>
    <w:rsid w:val="00647EE0"/>
    <w:rsid w:val="00647F7A"/>
    <w:rsid w:val="00650043"/>
    <w:rsid w:val="006500DF"/>
    <w:rsid w:val="0065017B"/>
    <w:rsid w:val="006502A7"/>
    <w:rsid w:val="0065066A"/>
    <w:rsid w:val="00650701"/>
    <w:rsid w:val="0065078B"/>
    <w:rsid w:val="006507DB"/>
    <w:rsid w:val="0065088E"/>
    <w:rsid w:val="006509FE"/>
    <w:rsid w:val="00650CBC"/>
    <w:rsid w:val="00650D78"/>
    <w:rsid w:val="00650E07"/>
    <w:rsid w:val="00650EAF"/>
    <w:rsid w:val="00650EE0"/>
    <w:rsid w:val="00650F33"/>
    <w:rsid w:val="00650F9C"/>
    <w:rsid w:val="00651212"/>
    <w:rsid w:val="00651242"/>
    <w:rsid w:val="006514C5"/>
    <w:rsid w:val="0065164E"/>
    <w:rsid w:val="00651655"/>
    <w:rsid w:val="00651718"/>
    <w:rsid w:val="006517F7"/>
    <w:rsid w:val="006518B0"/>
    <w:rsid w:val="006519C1"/>
    <w:rsid w:val="00651BE0"/>
    <w:rsid w:val="00651D42"/>
    <w:rsid w:val="00651FBE"/>
    <w:rsid w:val="0065218E"/>
    <w:rsid w:val="006521C7"/>
    <w:rsid w:val="00652556"/>
    <w:rsid w:val="006525E9"/>
    <w:rsid w:val="0065262A"/>
    <w:rsid w:val="006526D8"/>
    <w:rsid w:val="006527FC"/>
    <w:rsid w:val="00652C21"/>
    <w:rsid w:val="00652D63"/>
    <w:rsid w:val="00652E84"/>
    <w:rsid w:val="00653022"/>
    <w:rsid w:val="006532FC"/>
    <w:rsid w:val="006533DC"/>
    <w:rsid w:val="00653614"/>
    <w:rsid w:val="006536BA"/>
    <w:rsid w:val="0065388B"/>
    <w:rsid w:val="006538BB"/>
    <w:rsid w:val="006539C8"/>
    <w:rsid w:val="00653AEA"/>
    <w:rsid w:val="00653BAF"/>
    <w:rsid w:val="00653D8F"/>
    <w:rsid w:val="006540F3"/>
    <w:rsid w:val="00654113"/>
    <w:rsid w:val="0065429F"/>
    <w:rsid w:val="00654349"/>
    <w:rsid w:val="006543F6"/>
    <w:rsid w:val="00654504"/>
    <w:rsid w:val="0065482C"/>
    <w:rsid w:val="006549B0"/>
    <w:rsid w:val="00654BB9"/>
    <w:rsid w:val="00654D0D"/>
    <w:rsid w:val="00654EFA"/>
    <w:rsid w:val="00654F8F"/>
    <w:rsid w:val="00655278"/>
    <w:rsid w:val="0065547A"/>
    <w:rsid w:val="006554B0"/>
    <w:rsid w:val="00655982"/>
    <w:rsid w:val="00655AFF"/>
    <w:rsid w:val="00655CE9"/>
    <w:rsid w:val="00655DD3"/>
    <w:rsid w:val="00655E0C"/>
    <w:rsid w:val="00655FD4"/>
    <w:rsid w:val="00656290"/>
    <w:rsid w:val="00656308"/>
    <w:rsid w:val="006564A0"/>
    <w:rsid w:val="00656749"/>
    <w:rsid w:val="006567D2"/>
    <w:rsid w:val="006568BD"/>
    <w:rsid w:val="00656999"/>
    <w:rsid w:val="00656BE4"/>
    <w:rsid w:val="00656DA9"/>
    <w:rsid w:val="00656EDF"/>
    <w:rsid w:val="00656F78"/>
    <w:rsid w:val="00657072"/>
    <w:rsid w:val="00657473"/>
    <w:rsid w:val="006574D5"/>
    <w:rsid w:val="0065756D"/>
    <w:rsid w:val="00657603"/>
    <w:rsid w:val="0065781D"/>
    <w:rsid w:val="00657BA0"/>
    <w:rsid w:val="00657BB3"/>
    <w:rsid w:val="00657BE0"/>
    <w:rsid w:val="00657BE5"/>
    <w:rsid w:val="00657C2B"/>
    <w:rsid w:val="00657CC9"/>
    <w:rsid w:val="00657D30"/>
    <w:rsid w:val="00657DD9"/>
    <w:rsid w:val="00657E4D"/>
    <w:rsid w:val="00657F78"/>
    <w:rsid w:val="006602A0"/>
    <w:rsid w:val="00660311"/>
    <w:rsid w:val="0066036C"/>
    <w:rsid w:val="0066039D"/>
    <w:rsid w:val="00660549"/>
    <w:rsid w:val="006608BB"/>
    <w:rsid w:val="00660A56"/>
    <w:rsid w:val="00660BD1"/>
    <w:rsid w:val="00660D25"/>
    <w:rsid w:val="00660D35"/>
    <w:rsid w:val="00660E06"/>
    <w:rsid w:val="006611CC"/>
    <w:rsid w:val="00661361"/>
    <w:rsid w:val="00661691"/>
    <w:rsid w:val="006616E6"/>
    <w:rsid w:val="006618A6"/>
    <w:rsid w:val="006619A7"/>
    <w:rsid w:val="00661A04"/>
    <w:rsid w:val="00661ACC"/>
    <w:rsid w:val="00661B4B"/>
    <w:rsid w:val="00661C4D"/>
    <w:rsid w:val="00661FB5"/>
    <w:rsid w:val="00662002"/>
    <w:rsid w:val="006620FF"/>
    <w:rsid w:val="006626F0"/>
    <w:rsid w:val="00662996"/>
    <w:rsid w:val="00662BF5"/>
    <w:rsid w:val="00662C12"/>
    <w:rsid w:val="00662C13"/>
    <w:rsid w:val="00662CCA"/>
    <w:rsid w:val="00663128"/>
    <w:rsid w:val="006631D4"/>
    <w:rsid w:val="006633E9"/>
    <w:rsid w:val="0066360C"/>
    <w:rsid w:val="006636C4"/>
    <w:rsid w:val="0066370D"/>
    <w:rsid w:val="00663795"/>
    <w:rsid w:val="006637ED"/>
    <w:rsid w:val="00663931"/>
    <w:rsid w:val="00663937"/>
    <w:rsid w:val="00663B89"/>
    <w:rsid w:val="00663C4C"/>
    <w:rsid w:val="00663C73"/>
    <w:rsid w:val="00663CDD"/>
    <w:rsid w:val="00663DD2"/>
    <w:rsid w:val="00664146"/>
    <w:rsid w:val="006641FF"/>
    <w:rsid w:val="00664429"/>
    <w:rsid w:val="00664559"/>
    <w:rsid w:val="006646EC"/>
    <w:rsid w:val="006648A1"/>
    <w:rsid w:val="0066493E"/>
    <w:rsid w:val="00664ACD"/>
    <w:rsid w:val="00664B12"/>
    <w:rsid w:val="00664C0A"/>
    <w:rsid w:val="00664C3D"/>
    <w:rsid w:val="00664D2E"/>
    <w:rsid w:val="00664D86"/>
    <w:rsid w:val="00664EAC"/>
    <w:rsid w:val="00664F43"/>
    <w:rsid w:val="00664F96"/>
    <w:rsid w:val="006652BD"/>
    <w:rsid w:val="006653FA"/>
    <w:rsid w:val="00665415"/>
    <w:rsid w:val="00665474"/>
    <w:rsid w:val="006656BE"/>
    <w:rsid w:val="006656F3"/>
    <w:rsid w:val="00665730"/>
    <w:rsid w:val="0066599C"/>
    <w:rsid w:val="00665A1C"/>
    <w:rsid w:val="00665A4A"/>
    <w:rsid w:val="00665AF0"/>
    <w:rsid w:val="00665C9E"/>
    <w:rsid w:val="00665E91"/>
    <w:rsid w:val="00665ED8"/>
    <w:rsid w:val="00665F29"/>
    <w:rsid w:val="00665FA4"/>
    <w:rsid w:val="00666107"/>
    <w:rsid w:val="00666112"/>
    <w:rsid w:val="006661B7"/>
    <w:rsid w:val="006665FE"/>
    <w:rsid w:val="0066675D"/>
    <w:rsid w:val="006669D0"/>
    <w:rsid w:val="00666AE6"/>
    <w:rsid w:val="00666C1E"/>
    <w:rsid w:val="00666C55"/>
    <w:rsid w:val="00666C57"/>
    <w:rsid w:val="00666E4C"/>
    <w:rsid w:val="0066703C"/>
    <w:rsid w:val="00667123"/>
    <w:rsid w:val="00667371"/>
    <w:rsid w:val="00667994"/>
    <w:rsid w:val="006679B5"/>
    <w:rsid w:val="00667B06"/>
    <w:rsid w:val="00667B33"/>
    <w:rsid w:val="00667B66"/>
    <w:rsid w:val="00667EDB"/>
    <w:rsid w:val="00670209"/>
    <w:rsid w:val="00670229"/>
    <w:rsid w:val="0067022D"/>
    <w:rsid w:val="006704F8"/>
    <w:rsid w:val="0067056E"/>
    <w:rsid w:val="00670695"/>
    <w:rsid w:val="006706B1"/>
    <w:rsid w:val="006708CB"/>
    <w:rsid w:val="00670988"/>
    <w:rsid w:val="00670B49"/>
    <w:rsid w:val="00670C37"/>
    <w:rsid w:val="00670D06"/>
    <w:rsid w:val="00670F46"/>
    <w:rsid w:val="006710B8"/>
    <w:rsid w:val="006711C1"/>
    <w:rsid w:val="0067160D"/>
    <w:rsid w:val="006716B2"/>
    <w:rsid w:val="0067170F"/>
    <w:rsid w:val="00671A0C"/>
    <w:rsid w:val="00671A41"/>
    <w:rsid w:val="006720B6"/>
    <w:rsid w:val="006720EA"/>
    <w:rsid w:val="00672310"/>
    <w:rsid w:val="00672345"/>
    <w:rsid w:val="006724CC"/>
    <w:rsid w:val="006726A4"/>
    <w:rsid w:val="006726EB"/>
    <w:rsid w:val="00672713"/>
    <w:rsid w:val="006727F5"/>
    <w:rsid w:val="006728FD"/>
    <w:rsid w:val="00672967"/>
    <w:rsid w:val="00672C09"/>
    <w:rsid w:val="00672D32"/>
    <w:rsid w:val="00672E7A"/>
    <w:rsid w:val="00673052"/>
    <w:rsid w:val="006730E9"/>
    <w:rsid w:val="0067316C"/>
    <w:rsid w:val="006735D5"/>
    <w:rsid w:val="00673648"/>
    <w:rsid w:val="00673768"/>
    <w:rsid w:val="00673828"/>
    <w:rsid w:val="006738B8"/>
    <w:rsid w:val="006738DF"/>
    <w:rsid w:val="0067393C"/>
    <w:rsid w:val="00673CBB"/>
    <w:rsid w:val="00673E24"/>
    <w:rsid w:val="00673F24"/>
    <w:rsid w:val="00673F71"/>
    <w:rsid w:val="00673FF1"/>
    <w:rsid w:val="00673FF7"/>
    <w:rsid w:val="006740E7"/>
    <w:rsid w:val="00674202"/>
    <w:rsid w:val="0067433D"/>
    <w:rsid w:val="0067469C"/>
    <w:rsid w:val="00674706"/>
    <w:rsid w:val="006748C2"/>
    <w:rsid w:val="00674931"/>
    <w:rsid w:val="00674AB7"/>
    <w:rsid w:val="00674C6D"/>
    <w:rsid w:val="00674CD9"/>
    <w:rsid w:val="00674E44"/>
    <w:rsid w:val="00674E4B"/>
    <w:rsid w:val="00674E7A"/>
    <w:rsid w:val="00675035"/>
    <w:rsid w:val="0067506B"/>
    <w:rsid w:val="00675111"/>
    <w:rsid w:val="00675243"/>
    <w:rsid w:val="00675271"/>
    <w:rsid w:val="006755EB"/>
    <w:rsid w:val="0067579B"/>
    <w:rsid w:val="00675821"/>
    <w:rsid w:val="00675AC6"/>
    <w:rsid w:val="00675C73"/>
    <w:rsid w:val="00675EED"/>
    <w:rsid w:val="00675FFC"/>
    <w:rsid w:val="00676185"/>
    <w:rsid w:val="00676218"/>
    <w:rsid w:val="00676326"/>
    <w:rsid w:val="00676405"/>
    <w:rsid w:val="00676414"/>
    <w:rsid w:val="0067643A"/>
    <w:rsid w:val="0067673D"/>
    <w:rsid w:val="006767E3"/>
    <w:rsid w:val="006768F9"/>
    <w:rsid w:val="00676AD2"/>
    <w:rsid w:val="00676CA3"/>
    <w:rsid w:val="00676FA8"/>
    <w:rsid w:val="00677186"/>
    <w:rsid w:val="0067731E"/>
    <w:rsid w:val="006773AB"/>
    <w:rsid w:val="00677437"/>
    <w:rsid w:val="0067747A"/>
    <w:rsid w:val="006777D0"/>
    <w:rsid w:val="00677A47"/>
    <w:rsid w:val="00677C08"/>
    <w:rsid w:val="00677D8B"/>
    <w:rsid w:val="00677D93"/>
    <w:rsid w:val="00677F86"/>
    <w:rsid w:val="00680069"/>
    <w:rsid w:val="006800DC"/>
    <w:rsid w:val="00680512"/>
    <w:rsid w:val="00680625"/>
    <w:rsid w:val="006807A9"/>
    <w:rsid w:val="006807C0"/>
    <w:rsid w:val="006807F5"/>
    <w:rsid w:val="00680A41"/>
    <w:rsid w:val="00680B3F"/>
    <w:rsid w:val="00680D01"/>
    <w:rsid w:val="00680D86"/>
    <w:rsid w:val="00680DDF"/>
    <w:rsid w:val="00680ED7"/>
    <w:rsid w:val="00680EE3"/>
    <w:rsid w:val="0068106F"/>
    <w:rsid w:val="00681181"/>
    <w:rsid w:val="006811FE"/>
    <w:rsid w:val="00681606"/>
    <w:rsid w:val="0068179E"/>
    <w:rsid w:val="00681ACC"/>
    <w:rsid w:val="00681B1E"/>
    <w:rsid w:val="00681BB2"/>
    <w:rsid w:val="00681BDC"/>
    <w:rsid w:val="00681D79"/>
    <w:rsid w:val="00681F27"/>
    <w:rsid w:val="00681FD5"/>
    <w:rsid w:val="006821A5"/>
    <w:rsid w:val="00682273"/>
    <w:rsid w:val="0068227C"/>
    <w:rsid w:val="00682394"/>
    <w:rsid w:val="006828F4"/>
    <w:rsid w:val="00682A24"/>
    <w:rsid w:val="00682AB2"/>
    <w:rsid w:val="00682ACA"/>
    <w:rsid w:val="00682B05"/>
    <w:rsid w:val="00682CC6"/>
    <w:rsid w:val="00682CFE"/>
    <w:rsid w:val="00682FC0"/>
    <w:rsid w:val="006831BE"/>
    <w:rsid w:val="006831F2"/>
    <w:rsid w:val="00683229"/>
    <w:rsid w:val="0068334E"/>
    <w:rsid w:val="00683482"/>
    <w:rsid w:val="006834F6"/>
    <w:rsid w:val="00683558"/>
    <w:rsid w:val="00683652"/>
    <w:rsid w:val="006837BB"/>
    <w:rsid w:val="0068384B"/>
    <w:rsid w:val="00683861"/>
    <w:rsid w:val="0068394F"/>
    <w:rsid w:val="0068399D"/>
    <w:rsid w:val="00683A4B"/>
    <w:rsid w:val="00683BD8"/>
    <w:rsid w:val="00683BE5"/>
    <w:rsid w:val="00683CE3"/>
    <w:rsid w:val="006842A9"/>
    <w:rsid w:val="006844E0"/>
    <w:rsid w:val="00684586"/>
    <w:rsid w:val="00684CEC"/>
    <w:rsid w:val="00684D52"/>
    <w:rsid w:val="00685001"/>
    <w:rsid w:val="00685265"/>
    <w:rsid w:val="0068540F"/>
    <w:rsid w:val="006855A9"/>
    <w:rsid w:val="006855C1"/>
    <w:rsid w:val="0068583A"/>
    <w:rsid w:val="00685936"/>
    <w:rsid w:val="00685A70"/>
    <w:rsid w:val="00685AFA"/>
    <w:rsid w:val="0068600D"/>
    <w:rsid w:val="006860EF"/>
    <w:rsid w:val="00686150"/>
    <w:rsid w:val="00686394"/>
    <w:rsid w:val="006863F3"/>
    <w:rsid w:val="00686508"/>
    <w:rsid w:val="0068656A"/>
    <w:rsid w:val="006865F2"/>
    <w:rsid w:val="00686ADB"/>
    <w:rsid w:val="00686B0B"/>
    <w:rsid w:val="00686EAC"/>
    <w:rsid w:val="00687083"/>
    <w:rsid w:val="00687130"/>
    <w:rsid w:val="006874B0"/>
    <w:rsid w:val="0068758D"/>
    <w:rsid w:val="0068759A"/>
    <w:rsid w:val="00687614"/>
    <w:rsid w:val="00687A26"/>
    <w:rsid w:val="00687B26"/>
    <w:rsid w:val="00687DE5"/>
    <w:rsid w:val="006904B4"/>
    <w:rsid w:val="006904D9"/>
    <w:rsid w:val="00690690"/>
    <w:rsid w:val="006907AE"/>
    <w:rsid w:val="00690807"/>
    <w:rsid w:val="00690894"/>
    <w:rsid w:val="00690AEE"/>
    <w:rsid w:val="00690BB8"/>
    <w:rsid w:val="00690DDE"/>
    <w:rsid w:val="00690EAA"/>
    <w:rsid w:val="00690ED0"/>
    <w:rsid w:val="00690FAD"/>
    <w:rsid w:val="00690FEB"/>
    <w:rsid w:val="00691101"/>
    <w:rsid w:val="00691150"/>
    <w:rsid w:val="006912EA"/>
    <w:rsid w:val="006912FB"/>
    <w:rsid w:val="006913D9"/>
    <w:rsid w:val="006914F3"/>
    <w:rsid w:val="00691540"/>
    <w:rsid w:val="006915F9"/>
    <w:rsid w:val="00691662"/>
    <w:rsid w:val="00691855"/>
    <w:rsid w:val="006918DF"/>
    <w:rsid w:val="0069193E"/>
    <w:rsid w:val="0069196D"/>
    <w:rsid w:val="00691A3D"/>
    <w:rsid w:val="00691C0F"/>
    <w:rsid w:val="00691DA8"/>
    <w:rsid w:val="00691E25"/>
    <w:rsid w:val="00691ED7"/>
    <w:rsid w:val="006921C1"/>
    <w:rsid w:val="00692218"/>
    <w:rsid w:val="00692264"/>
    <w:rsid w:val="006924C2"/>
    <w:rsid w:val="006925DC"/>
    <w:rsid w:val="00692613"/>
    <w:rsid w:val="006927C9"/>
    <w:rsid w:val="00692844"/>
    <w:rsid w:val="0069295E"/>
    <w:rsid w:val="00692D4A"/>
    <w:rsid w:val="00692F0F"/>
    <w:rsid w:val="0069332D"/>
    <w:rsid w:val="0069346D"/>
    <w:rsid w:val="0069374A"/>
    <w:rsid w:val="00693A37"/>
    <w:rsid w:val="00693B0D"/>
    <w:rsid w:val="00693DA9"/>
    <w:rsid w:val="00693DB3"/>
    <w:rsid w:val="00693FA9"/>
    <w:rsid w:val="00694099"/>
    <w:rsid w:val="006940CF"/>
    <w:rsid w:val="0069417D"/>
    <w:rsid w:val="00694295"/>
    <w:rsid w:val="006942D5"/>
    <w:rsid w:val="006943F7"/>
    <w:rsid w:val="006944D5"/>
    <w:rsid w:val="00694610"/>
    <w:rsid w:val="006946D2"/>
    <w:rsid w:val="00694796"/>
    <w:rsid w:val="0069496D"/>
    <w:rsid w:val="00694C4A"/>
    <w:rsid w:val="00694C9F"/>
    <w:rsid w:val="00694D63"/>
    <w:rsid w:val="00694DAE"/>
    <w:rsid w:val="00694E50"/>
    <w:rsid w:val="00694E61"/>
    <w:rsid w:val="00694EDF"/>
    <w:rsid w:val="00694F27"/>
    <w:rsid w:val="00694F88"/>
    <w:rsid w:val="00694FB8"/>
    <w:rsid w:val="00695105"/>
    <w:rsid w:val="00695466"/>
    <w:rsid w:val="0069548C"/>
    <w:rsid w:val="006957D3"/>
    <w:rsid w:val="00695821"/>
    <w:rsid w:val="00695D62"/>
    <w:rsid w:val="00695FDB"/>
    <w:rsid w:val="0069608F"/>
    <w:rsid w:val="00696230"/>
    <w:rsid w:val="006964B3"/>
    <w:rsid w:val="0069670C"/>
    <w:rsid w:val="0069675E"/>
    <w:rsid w:val="0069678C"/>
    <w:rsid w:val="006967EE"/>
    <w:rsid w:val="006968E1"/>
    <w:rsid w:val="00696BCA"/>
    <w:rsid w:val="00696DA7"/>
    <w:rsid w:val="006971C4"/>
    <w:rsid w:val="0069737B"/>
    <w:rsid w:val="00697406"/>
    <w:rsid w:val="00697486"/>
    <w:rsid w:val="006974B3"/>
    <w:rsid w:val="00697566"/>
    <w:rsid w:val="0069796E"/>
    <w:rsid w:val="00697BCD"/>
    <w:rsid w:val="00697BF7"/>
    <w:rsid w:val="00697BFE"/>
    <w:rsid w:val="00697D4F"/>
    <w:rsid w:val="00697D85"/>
    <w:rsid w:val="00697DEF"/>
    <w:rsid w:val="006A03C8"/>
    <w:rsid w:val="006A0410"/>
    <w:rsid w:val="006A050F"/>
    <w:rsid w:val="006A06A2"/>
    <w:rsid w:val="006A0D02"/>
    <w:rsid w:val="006A1181"/>
    <w:rsid w:val="006A1321"/>
    <w:rsid w:val="006A136B"/>
    <w:rsid w:val="006A1451"/>
    <w:rsid w:val="006A14A0"/>
    <w:rsid w:val="006A1851"/>
    <w:rsid w:val="006A19EE"/>
    <w:rsid w:val="006A1A46"/>
    <w:rsid w:val="006A1A61"/>
    <w:rsid w:val="006A1AB5"/>
    <w:rsid w:val="006A1C76"/>
    <w:rsid w:val="006A1C80"/>
    <w:rsid w:val="006A1FED"/>
    <w:rsid w:val="006A2030"/>
    <w:rsid w:val="006A2258"/>
    <w:rsid w:val="006A22CB"/>
    <w:rsid w:val="006A2354"/>
    <w:rsid w:val="006A26F9"/>
    <w:rsid w:val="006A2959"/>
    <w:rsid w:val="006A2A29"/>
    <w:rsid w:val="006A2A8E"/>
    <w:rsid w:val="006A2A98"/>
    <w:rsid w:val="006A2BF8"/>
    <w:rsid w:val="006A2C22"/>
    <w:rsid w:val="006A2F32"/>
    <w:rsid w:val="006A3060"/>
    <w:rsid w:val="006A3090"/>
    <w:rsid w:val="006A342F"/>
    <w:rsid w:val="006A3518"/>
    <w:rsid w:val="006A3596"/>
    <w:rsid w:val="006A360B"/>
    <w:rsid w:val="006A37AC"/>
    <w:rsid w:val="006A392F"/>
    <w:rsid w:val="006A3A7C"/>
    <w:rsid w:val="006A3BC9"/>
    <w:rsid w:val="006A3CA2"/>
    <w:rsid w:val="006A3E57"/>
    <w:rsid w:val="006A411F"/>
    <w:rsid w:val="006A413B"/>
    <w:rsid w:val="006A4199"/>
    <w:rsid w:val="006A4373"/>
    <w:rsid w:val="006A441A"/>
    <w:rsid w:val="006A477A"/>
    <w:rsid w:val="006A48F0"/>
    <w:rsid w:val="006A4BC0"/>
    <w:rsid w:val="006A4CAE"/>
    <w:rsid w:val="006A4EAC"/>
    <w:rsid w:val="006A4FCE"/>
    <w:rsid w:val="006A500C"/>
    <w:rsid w:val="006A5491"/>
    <w:rsid w:val="006A549F"/>
    <w:rsid w:val="006A54B4"/>
    <w:rsid w:val="006A564B"/>
    <w:rsid w:val="006A5923"/>
    <w:rsid w:val="006A596A"/>
    <w:rsid w:val="006A59C4"/>
    <w:rsid w:val="006A5AD7"/>
    <w:rsid w:val="006A5BCB"/>
    <w:rsid w:val="006A5D81"/>
    <w:rsid w:val="006A5E17"/>
    <w:rsid w:val="006A5E52"/>
    <w:rsid w:val="006A5FF6"/>
    <w:rsid w:val="006A658E"/>
    <w:rsid w:val="006A665A"/>
    <w:rsid w:val="006A66D5"/>
    <w:rsid w:val="006A66E5"/>
    <w:rsid w:val="006A6702"/>
    <w:rsid w:val="006A67D3"/>
    <w:rsid w:val="006A68E0"/>
    <w:rsid w:val="006A6A33"/>
    <w:rsid w:val="006A6B7D"/>
    <w:rsid w:val="006A6BBC"/>
    <w:rsid w:val="006A6E8E"/>
    <w:rsid w:val="006A6F85"/>
    <w:rsid w:val="006A6FF8"/>
    <w:rsid w:val="006A7047"/>
    <w:rsid w:val="006A7064"/>
    <w:rsid w:val="006A70D6"/>
    <w:rsid w:val="006A71A5"/>
    <w:rsid w:val="006A71C5"/>
    <w:rsid w:val="006A7290"/>
    <w:rsid w:val="006A7375"/>
    <w:rsid w:val="006A7433"/>
    <w:rsid w:val="006A76C4"/>
    <w:rsid w:val="006A76E9"/>
    <w:rsid w:val="006A77E5"/>
    <w:rsid w:val="006A77EA"/>
    <w:rsid w:val="006A7847"/>
    <w:rsid w:val="006A7C37"/>
    <w:rsid w:val="006A7CE3"/>
    <w:rsid w:val="006A7FEF"/>
    <w:rsid w:val="006B0093"/>
    <w:rsid w:val="006B0156"/>
    <w:rsid w:val="006B0268"/>
    <w:rsid w:val="006B034F"/>
    <w:rsid w:val="006B03D3"/>
    <w:rsid w:val="006B080B"/>
    <w:rsid w:val="006B094A"/>
    <w:rsid w:val="006B0B3B"/>
    <w:rsid w:val="006B0CDB"/>
    <w:rsid w:val="006B0CEE"/>
    <w:rsid w:val="006B0E3C"/>
    <w:rsid w:val="006B14B5"/>
    <w:rsid w:val="006B14BC"/>
    <w:rsid w:val="006B154B"/>
    <w:rsid w:val="006B1626"/>
    <w:rsid w:val="006B16B3"/>
    <w:rsid w:val="006B16E0"/>
    <w:rsid w:val="006B1774"/>
    <w:rsid w:val="006B17B8"/>
    <w:rsid w:val="006B17F0"/>
    <w:rsid w:val="006B18F5"/>
    <w:rsid w:val="006B19E7"/>
    <w:rsid w:val="006B1B6C"/>
    <w:rsid w:val="006B1BCE"/>
    <w:rsid w:val="006B1C81"/>
    <w:rsid w:val="006B1E25"/>
    <w:rsid w:val="006B2111"/>
    <w:rsid w:val="006B21A4"/>
    <w:rsid w:val="006B21ED"/>
    <w:rsid w:val="006B224F"/>
    <w:rsid w:val="006B232D"/>
    <w:rsid w:val="006B2417"/>
    <w:rsid w:val="006B25AE"/>
    <w:rsid w:val="006B27B3"/>
    <w:rsid w:val="006B2914"/>
    <w:rsid w:val="006B29BD"/>
    <w:rsid w:val="006B2ABD"/>
    <w:rsid w:val="006B2C13"/>
    <w:rsid w:val="006B2C65"/>
    <w:rsid w:val="006B2EE8"/>
    <w:rsid w:val="006B3049"/>
    <w:rsid w:val="006B306F"/>
    <w:rsid w:val="006B31A7"/>
    <w:rsid w:val="006B3452"/>
    <w:rsid w:val="006B3507"/>
    <w:rsid w:val="006B375A"/>
    <w:rsid w:val="006B38BC"/>
    <w:rsid w:val="006B39F1"/>
    <w:rsid w:val="006B3DAE"/>
    <w:rsid w:val="006B3DD8"/>
    <w:rsid w:val="006B3F68"/>
    <w:rsid w:val="006B402C"/>
    <w:rsid w:val="006B44B2"/>
    <w:rsid w:val="006B4663"/>
    <w:rsid w:val="006B46BE"/>
    <w:rsid w:val="006B4802"/>
    <w:rsid w:val="006B4C5F"/>
    <w:rsid w:val="006B4E92"/>
    <w:rsid w:val="006B4F69"/>
    <w:rsid w:val="006B5042"/>
    <w:rsid w:val="006B5045"/>
    <w:rsid w:val="006B50BA"/>
    <w:rsid w:val="006B51FC"/>
    <w:rsid w:val="006B52F6"/>
    <w:rsid w:val="006B53CE"/>
    <w:rsid w:val="006B55B1"/>
    <w:rsid w:val="006B5676"/>
    <w:rsid w:val="006B56A2"/>
    <w:rsid w:val="006B57E7"/>
    <w:rsid w:val="006B58F9"/>
    <w:rsid w:val="006B5B40"/>
    <w:rsid w:val="006B5B67"/>
    <w:rsid w:val="006B5B77"/>
    <w:rsid w:val="006B5BE2"/>
    <w:rsid w:val="006B5BEC"/>
    <w:rsid w:val="006B5D4A"/>
    <w:rsid w:val="006B5E1F"/>
    <w:rsid w:val="006B5E31"/>
    <w:rsid w:val="006B62FB"/>
    <w:rsid w:val="006B65B3"/>
    <w:rsid w:val="006B6BF0"/>
    <w:rsid w:val="006B6C49"/>
    <w:rsid w:val="006B6D60"/>
    <w:rsid w:val="006B6E7A"/>
    <w:rsid w:val="006B7017"/>
    <w:rsid w:val="006B71DB"/>
    <w:rsid w:val="006B72EC"/>
    <w:rsid w:val="006B7505"/>
    <w:rsid w:val="006B7586"/>
    <w:rsid w:val="006B76F6"/>
    <w:rsid w:val="006B7845"/>
    <w:rsid w:val="006B7910"/>
    <w:rsid w:val="006B79F8"/>
    <w:rsid w:val="006B7B75"/>
    <w:rsid w:val="006B7B92"/>
    <w:rsid w:val="006B7C85"/>
    <w:rsid w:val="006B7D88"/>
    <w:rsid w:val="006B7FA0"/>
    <w:rsid w:val="006C006C"/>
    <w:rsid w:val="006C0513"/>
    <w:rsid w:val="006C0538"/>
    <w:rsid w:val="006C05F4"/>
    <w:rsid w:val="006C06B3"/>
    <w:rsid w:val="006C082F"/>
    <w:rsid w:val="006C0C43"/>
    <w:rsid w:val="006C0DFE"/>
    <w:rsid w:val="006C0E70"/>
    <w:rsid w:val="006C10F2"/>
    <w:rsid w:val="006C116E"/>
    <w:rsid w:val="006C1407"/>
    <w:rsid w:val="006C1545"/>
    <w:rsid w:val="006C1561"/>
    <w:rsid w:val="006C19B0"/>
    <w:rsid w:val="006C1D55"/>
    <w:rsid w:val="006C1F15"/>
    <w:rsid w:val="006C1F53"/>
    <w:rsid w:val="006C205F"/>
    <w:rsid w:val="006C21A8"/>
    <w:rsid w:val="006C21F4"/>
    <w:rsid w:val="006C245A"/>
    <w:rsid w:val="006C247F"/>
    <w:rsid w:val="006C28A6"/>
    <w:rsid w:val="006C2A62"/>
    <w:rsid w:val="006C2A6C"/>
    <w:rsid w:val="006C2BFF"/>
    <w:rsid w:val="006C2DC9"/>
    <w:rsid w:val="006C2F22"/>
    <w:rsid w:val="006C2FC7"/>
    <w:rsid w:val="006C3062"/>
    <w:rsid w:val="006C326A"/>
    <w:rsid w:val="006C3451"/>
    <w:rsid w:val="006C346D"/>
    <w:rsid w:val="006C3620"/>
    <w:rsid w:val="006C366F"/>
    <w:rsid w:val="006C3696"/>
    <w:rsid w:val="006C36D7"/>
    <w:rsid w:val="006C370F"/>
    <w:rsid w:val="006C37A0"/>
    <w:rsid w:val="006C3B5D"/>
    <w:rsid w:val="006C3C4E"/>
    <w:rsid w:val="006C3D07"/>
    <w:rsid w:val="006C3E32"/>
    <w:rsid w:val="006C3F25"/>
    <w:rsid w:val="006C3FE5"/>
    <w:rsid w:val="006C3FED"/>
    <w:rsid w:val="006C4251"/>
    <w:rsid w:val="006C4313"/>
    <w:rsid w:val="006C43AB"/>
    <w:rsid w:val="006C484F"/>
    <w:rsid w:val="006C4861"/>
    <w:rsid w:val="006C4893"/>
    <w:rsid w:val="006C491C"/>
    <w:rsid w:val="006C4B80"/>
    <w:rsid w:val="006C4C07"/>
    <w:rsid w:val="006C4C9C"/>
    <w:rsid w:val="006C4CA9"/>
    <w:rsid w:val="006C4D18"/>
    <w:rsid w:val="006C4D52"/>
    <w:rsid w:val="006C4F1B"/>
    <w:rsid w:val="006C4F84"/>
    <w:rsid w:val="006C504E"/>
    <w:rsid w:val="006C508E"/>
    <w:rsid w:val="006C53CC"/>
    <w:rsid w:val="006C54AA"/>
    <w:rsid w:val="006C55FA"/>
    <w:rsid w:val="006C59BC"/>
    <w:rsid w:val="006C59EC"/>
    <w:rsid w:val="006C5B65"/>
    <w:rsid w:val="006C5DE3"/>
    <w:rsid w:val="006C5E92"/>
    <w:rsid w:val="006C5F7E"/>
    <w:rsid w:val="006C6088"/>
    <w:rsid w:val="006C620D"/>
    <w:rsid w:val="006C64F4"/>
    <w:rsid w:val="006C659D"/>
    <w:rsid w:val="006C6636"/>
    <w:rsid w:val="006C66F5"/>
    <w:rsid w:val="006C67E1"/>
    <w:rsid w:val="006C67E3"/>
    <w:rsid w:val="006C696E"/>
    <w:rsid w:val="006C6AFC"/>
    <w:rsid w:val="006C6F0B"/>
    <w:rsid w:val="006C7035"/>
    <w:rsid w:val="006C7131"/>
    <w:rsid w:val="006C72D7"/>
    <w:rsid w:val="006C72E6"/>
    <w:rsid w:val="006C7396"/>
    <w:rsid w:val="006C74C7"/>
    <w:rsid w:val="006C74F5"/>
    <w:rsid w:val="006C7533"/>
    <w:rsid w:val="006C7807"/>
    <w:rsid w:val="006C7817"/>
    <w:rsid w:val="006C7860"/>
    <w:rsid w:val="006C79BC"/>
    <w:rsid w:val="006C79EE"/>
    <w:rsid w:val="006C7CC3"/>
    <w:rsid w:val="006C7D08"/>
    <w:rsid w:val="006C7DAA"/>
    <w:rsid w:val="006C7F71"/>
    <w:rsid w:val="006C7F8C"/>
    <w:rsid w:val="006D00FC"/>
    <w:rsid w:val="006D0261"/>
    <w:rsid w:val="006D041A"/>
    <w:rsid w:val="006D06BD"/>
    <w:rsid w:val="006D0785"/>
    <w:rsid w:val="006D085F"/>
    <w:rsid w:val="006D0897"/>
    <w:rsid w:val="006D09D5"/>
    <w:rsid w:val="006D0B69"/>
    <w:rsid w:val="006D0C58"/>
    <w:rsid w:val="006D0EF5"/>
    <w:rsid w:val="006D0F3F"/>
    <w:rsid w:val="006D0F7C"/>
    <w:rsid w:val="006D111F"/>
    <w:rsid w:val="006D1235"/>
    <w:rsid w:val="006D165E"/>
    <w:rsid w:val="006D176A"/>
    <w:rsid w:val="006D1826"/>
    <w:rsid w:val="006D1965"/>
    <w:rsid w:val="006D1A88"/>
    <w:rsid w:val="006D1B92"/>
    <w:rsid w:val="006D1CE2"/>
    <w:rsid w:val="006D1D9B"/>
    <w:rsid w:val="006D1DA9"/>
    <w:rsid w:val="006D1EAD"/>
    <w:rsid w:val="006D1F7F"/>
    <w:rsid w:val="006D1FFD"/>
    <w:rsid w:val="006D2415"/>
    <w:rsid w:val="006D2833"/>
    <w:rsid w:val="006D28F7"/>
    <w:rsid w:val="006D2B45"/>
    <w:rsid w:val="006D2B8D"/>
    <w:rsid w:val="006D2C5D"/>
    <w:rsid w:val="006D2DD0"/>
    <w:rsid w:val="006D320E"/>
    <w:rsid w:val="006D3736"/>
    <w:rsid w:val="006D3765"/>
    <w:rsid w:val="006D37B4"/>
    <w:rsid w:val="006D3A41"/>
    <w:rsid w:val="006D3D6B"/>
    <w:rsid w:val="006D3E20"/>
    <w:rsid w:val="006D3E4B"/>
    <w:rsid w:val="006D3FA4"/>
    <w:rsid w:val="006D4357"/>
    <w:rsid w:val="006D44B2"/>
    <w:rsid w:val="006D468F"/>
    <w:rsid w:val="006D47BA"/>
    <w:rsid w:val="006D480B"/>
    <w:rsid w:val="006D4979"/>
    <w:rsid w:val="006D4A8C"/>
    <w:rsid w:val="006D503B"/>
    <w:rsid w:val="006D52A6"/>
    <w:rsid w:val="006D533F"/>
    <w:rsid w:val="006D53C4"/>
    <w:rsid w:val="006D54B4"/>
    <w:rsid w:val="006D555E"/>
    <w:rsid w:val="006D5872"/>
    <w:rsid w:val="006D58CF"/>
    <w:rsid w:val="006D5904"/>
    <w:rsid w:val="006D5914"/>
    <w:rsid w:val="006D591F"/>
    <w:rsid w:val="006D593F"/>
    <w:rsid w:val="006D5978"/>
    <w:rsid w:val="006D5AB6"/>
    <w:rsid w:val="006D5ACF"/>
    <w:rsid w:val="006D5B20"/>
    <w:rsid w:val="006D5B57"/>
    <w:rsid w:val="006D5B7D"/>
    <w:rsid w:val="006D5B91"/>
    <w:rsid w:val="006D5C32"/>
    <w:rsid w:val="006D5D1F"/>
    <w:rsid w:val="006D5DA0"/>
    <w:rsid w:val="006D5DD6"/>
    <w:rsid w:val="006D5EE6"/>
    <w:rsid w:val="006D5EEC"/>
    <w:rsid w:val="006D5F65"/>
    <w:rsid w:val="006D662B"/>
    <w:rsid w:val="006D683C"/>
    <w:rsid w:val="006D69D9"/>
    <w:rsid w:val="006D6C59"/>
    <w:rsid w:val="006D6E75"/>
    <w:rsid w:val="006D6F05"/>
    <w:rsid w:val="006D722A"/>
    <w:rsid w:val="006D72C9"/>
    <w:rsid w:val="006D74DD"/>
    <w:rsid w:val="006D7527"/>
    <w:rsid w:val="006D76A1"/>
    <w:rsid w:val="006D7CB8"/>
    <w:rsid w:val="006E00B6"/>
    <w:rsid w:val="006E0178"/>
    <w:rsid w:val="006E02E2"/>
    <w:rsid w:val="006E04D8"/>
    <w:rsid w:val="006E05A8"/>
    <w:rsid w:val="006E0616"/>
    <w:rsid w:val="006E0BB0"/>
    <w:rsid w:val="006E100A"/>
    <w:rsid w:val="006E102F"/>
    <w:rsid w:val="006E1254"/>
    <w:rsid w:val="006E13AF"/>
    <w:rsid w:val="006E148D"/>
    <w:rsid w:val="006E1704"/>
    <w:rsid w:val="006E18E3"/>
    <w:rsid w:val="006E196D"/>
    <w:rsid w:val="006E1A65"/>
    <w:rsid w:val="006E1ACF"/>
    <w:rsid w:val="006E1FEC"/>
    <w:rsid w:val="006E2077"/>
    <w:rsid w:val="006E212C"/>
    <w:rsid w:val="006E2165"/>
    <w:rsid w:val="006E22E5"/>
    <w:rsid w:val="006E2485"/>
    <w:rsid w:val="006E254B"/>
    <w:rsid w:val="006E25CC"/>
    <w:rsid w:val="006E25CE"/>
    <w:rsid w:val="006E272E"/>
    <w:rsid w:val="006E2C75"/>
    <w:rsid w:val="006E2D7E"/>
    <w:rsid w:val="006E2F9B"/>
    <w:rsid w:val="006E30FC"/>
    <w:rsid w:val="006E3221"/>
    <w:rsid w:val="006E32E9"/>
    <w:rsid w:val="006E3358"/>
    <w:rsid w:val="006E3433"/>
    <w:rsid w:val="006E369D"/>
    <w:rsid w:val="006E370E"/>
    <w:rsid w:val="006E37EF"/>
    <w:rsid w:val="006E399B"/>
    <w:rsid w:val="006E39C7"/>
    <w:rsid w:val="006E3BA9"/>
    <w:rsid w:val="006E3D1A"/>
    <w:rsid w:val="006E4057"/>
    <w:rsid w:val="006E40D4"/>
    <w:rsid w:val="006E41DB"/>
    <w:rsid w:val="006E437F"/>
    <w:rsid w:val="006E43A6"/>
    <w:rsid w:val="006E43BA"/>
    <w:rsid w:val="006E4649"/>
    <w:rsid w:val="006E4692"/>
    <w:rsid w:val="006E469B"/>
    <w:rsid w:val="006E476F"/>
    <w:rsid w:val="006E49A5"/>
    <w:rsid w:val="006E4A52"/>
    <w:rsid w:val="006E4BC9"/>
    <w:rsid w:val="006E4C26"/>
    <w:rsid w:val="006E4D07"/>
    <w:rsid w:val="006E4D4A"/>
    <w:rsid w:val="006E4D7A"/>
    <w:rsid w:val="006E4E30"/>
    <w:rsid w:val="006E4E5D"/>
    <w:rsid w:val="006E4EA4"/>
    <w:rsid w:val="006E4EE3"/>
    <w:rsid w:val="006E4F4C"/>
    <w:rsid w:val="006E5038"/>
    <w:rsid w:val="006E5129"/>
    <w:rsid w:val="006E5132"/>
    <w:rsid w:val="006E5230"/>
    <w:rsid w:val="006E53A3"/>
    <w:rsid w:val="006E55D0"/>
    <w:rsid w:val="006E59EF"/>
    <w:rsid w:val="006E5AE0"/>
    <w:rsid w:val="006E5B7C"/>
    <w:rsid w:val="006E5BDE"/>
    <w:rsid w:val="006E6187"/>
    <w:rsid w:val="006E62DB"/>
    <w:rsid w:val="006E6628"/>
    <w:rsid w:val="006E67B1"/>
    <w:rsid w:val="006E67DC"/>
    <w:rsid w:val="006E6A0F"/>
    <w:rsid w:val="006E6AD6"/>
    <w:rsid w:val="006E6C5A"/>
    <w:rsid w:val="006E6CED"/>
    <w:rsid w:val="006E6E2A"/>
    <w:rsid w:val="006E6F4C"/>
    <w:rsid w:val="006E704A"/>
    <w:rsid w:val="006E7054"/>
    <w:rsid w:val="006E7055"/>
    <w:rsid w:val="006E758E"/>
    <w:rsid w:val="006E75BE"/>
    <w:rsid w:val="006E763D"/>
    <w:rsid w:val="006E763F"/>
    <w:rsid w:val="006E7820"/>
    <w:rsid w:val="006E7B3A"/>
    <w:rsid w:val="006E7BDA"/>
    <w:rsid w:val="006E7C03"/>
    <w:rsid w:val="006E7DDE"/>
    <w:rsid w:val="006F01C8"/>
    <w:rsid w:val="006F0260"/>
    <w:rsid w:val="006F0278"/>
    <w:rsid w:val="006F0314"/>
    <w:rsid w:val="006F0362"/>
    <w:rsid w:val="006F05E1"/>
    <w:rsid w:val="006F08BD"/>
    <w:rsid w:val="006F08D3"/>
    <w:rsid w:val="006F08FD"/>
    <w:rsid w:val="006F0A01"/>
    <w:rsid w:val="006F0CE1"/>
    <w:rsid w:val="006F1242"/>
    <w:rsid w:val="006F125A"/>
    <w:rsid w:val="006F132E"/>
    <w:rsid w:val="006F1539"/>
    <w:rsid w:val="006F1671"/>
    <w:rsid w:val="006F1749"/>
    <w:rsid w:val="006F18F8"/>
    <w:rsid w:val="006F1971"/>
    <w:rsid w:val="006F1A1C"/>
    <w:rsid w:val="006F1A48"/>
    <w:rsid w:val="006F1A70"/>
    <w:rsid w:val="006F1E1A"/>
    <w:rsid w:val="006F1E60"/>
    <w:rsid w:val="006F200D"/>
    <w:rsid w:val="006F20AA"/>
    <w:rsid w:val="006F20CA"/>
    <w:rsid w:val="006F2345"/>
    <w:rsid w:val="006F23C9"/>
    <w:rsid w:val="006F245D"/>
    <w:rsid w:val="006F24BB"/>
    <w:rsid w:val="006F25D8"/>
    <w:rsid w:val="006F292C"/>
    <w:rsid w:val="006F298C"/>
    <w:rsid w:val="006F2A4D"/>
    <w:rsid w:val="006F2E61"/>
    <w:rsid w:val="006F2F0D"/>
    <w:rsid w:val="006F3072"/>
    <w:rsid w:val="006F3281"/>
    <w:rsid w:val="006F32EB"/>
    <w:rsid w:val="006F355A"/>
    <w:rsid w:val="006F361D"/>
    <w:rsid w:val="006F366F"/>
    <w:rsid w:val="006F3698"/>
    <w:rsid w:val="006F37EC"/>
    <w:rsid w:val="006F3880"/>
    <w:rsid w:val="006F39DF"/>
    <w:rsid w:val="006F3C30"/>
    <w:rsid w:val="006F3C6B"/>
    <w:rsid w:val="006F4051"/>
    <w:rsid w:val="006F41D3"/>
    <w:rsid w:val="006F41F5"/>
    <w:rsid w:val="006F42FE"/>
    <w:rsid w:val="006F4309"/>
    <w:rsid w:val="006F4446"/>
    <w:rsid w:val="006F4499"/>
    <w:rsid w:val="006F46DF"/>
    <w:rsid w:val="006F4A0B"/>
    <w:rsid w:val="006F4A29"/>
    <w:rsid w:val="006F4B05"/>
    <w:rsid w:val="006F4B06"/>
    <w:rsid w:val="006F4B7C"/>
    <w:rsid w:val="006F4B8F"/>
    <w:rsid w:val="006F4D58"/>
    <w:rsid w:val="006F501E"/>
    <w:rsid w:val="006F5142"/>
    <w:rsid w:val="006F5188"/>
    <w:rsid w:val="006F53A7"/>
    <w:rsid w:val="006F5466"/>
    <w:rsid w:val="006F58D5"/>
    <w:rsid w:val="006F594B"/>
    <w:rsid w:val="006F5AD6"/>
    <w:rsid w:val="006F5C43"/>
    <w:rsid w:val="006F5CAC"/>
    <w:rsid w:val="006F5CBD"/>
    <w:rsid w:val="006F5E92"/>
    <w:rsid w:val="006F615C"/>
    <w:rsid w:val="006F61DD"/>
    <w:rsid w:val="006F6275"/>
    <w:rsid w:val="006F6310"/>
    <w:rsid w:val="006F63FD"/>
    <w:rsid w:val="006F6414"/>
    <w:rsid w:val="006F64CF"/>
    <w:rsid w:val="006F6780"/>
    <w:rsid w:val="006F682D"/>
    <w:rsid w:val="006F688D"/>
    <w:rsid w:val="006F68B8"/>
    <w:rsid w:val="006F68BC"/>
    <w:rsid w:val="006F69A0"/>
    <w:rsid w:val="006F6A74"/>
    <w:rsid w:val="006F6B66"/>
    <w:rsid w:val="006F6C7D"/>
    <w:rsid w:val="006F6CAB"/>
    <w:rsid w:val="006F6FD8"/>
    <w:rsid w:val="006F7022"/>
    <w:rsid w:val="006F70DE"/>
    <w:rsid w:val="006F7278"/>
    <w:rsid w:val="006F732E"/>
    <w:rsid w:val="006F7349"/>
    <w:rsid w:val="006F73EC"/>
    <w:rsid w:val="006F7457"/>
    <w:rsid w:val="006F757F"/>
    <w:rsid w:val="006F7778"/>
    <w:rsid w:val="006F77D4"/>
    <w:rsid w:val="006F78DE"/>
    <w:rsid w:val="006F7978"/>
    <w:rsid w:val="006F799B"/>
    <w:rsid w:val="006F7A7B"/>
    <w:rsid w:val="006F7C06"/>
    <w:rsid w:val="006F7DFD"/>
    <w:rsid w:val="006F7F10"/>
    <w:rsid w:val="006F7F16"/>
    <w:rsid w:val="007003D3"/>
    <w:rsid w:val="00700407"/>
    <w:rsid w:val="007004C5"/>
    <w:rsid w:val="0070051A"/>
    <w:rsid w:val="0070065F"/>
    <w:rsid w:val="00700768"/>
    <w:rsid w:val="007008E9"/>
    <w:rsid w:val="00700A41"/>
    <w:rsid w:val="00700A66"/>
    <w:rsid w:val="00700AE2"/>
    <w:rsid w:val="00700D1E"/>
    <w:rsid w:val="00700EB8"/>
    <w:rsid w:val="00701014"/>
    <w:rsid w:val="007011AC"/>
    <w:rsid w:val="007015D9"/>
    <w:rsid w:val="00701935"/>
    <w:rsid w:val="00701B1E"/>
    <w:rsid w:val="00701B58"/>
    <w:rsid w:val="00701B95"/>
    <w:rsid w:val="00701C54"/>
    <w:rsid w:val="00701CE8"/>
    <w:rsid w:val="00701F30"/>
    <w:rsid w:val="00702117"/>
    <w:rsid w:val="007021CE"/>
    <w:rsid w:val="00702AB1"/>
    <w:rsid w:val="00702E4C"/>
    <w:rsid w:val="00702F39"/>
    <w:rsid w:val="007030A2"/>
    <w:rsid w:val="007030CE"/>
    <w:rsid w:val="007032E7"/>
    <w:rsid w:val="00703362"/>
    <w:rsid w:val="00703540"/>
    <w:rsid w:val="007038A3"/>
    <w:rsid w:val="007038AA"/>
    <w:rsid w:val="00703928"/>
    <w:rsid w:val="00703A04"/>
    <w:rsid w:val="00703B47"/>
    <w:rsid w:val="00703B6D"/>
    <w:rsid w:val="00703EA5"/>
    <w:rsid w:val="00703F00"/>
    <w:rsid w:val="00703FB6"/>
    <w:rsid w:val="0070416F"/>
    <w:rsid w:val="007041A1"/>
    <w:rsid w:val="0070428B"/>
    <w:rsid w:val="007046CB"/>
    <w:rsid w:val="0070479B"/>
    <w:rsid w:val="007047AB"/>
    <w:rsid w:val="007047C0"/>
    <w:rsid w:val="00704821"/>
    <w:rsid w:val="007049BC"/>
    <w:rsid w:val="007049EC"/>
    <w:rsid w:val="00704AE6"/>
    <w:rsid w:val="00704B04"/>
    <w:rsid w:val="00704B46"/>
    <w:rsid w:val="00704C31"/>
    <w:rsid w:val="00704D10"/>
    <w:rsid w:val="00704D8F"/>
    <w:rsid w:val="00704EF9"/>
    <w:rsid w:val="00704F86"/>
    <w:rsid w:val="00704FF6"/>
    <w:rsid w:val="0070502D"/>
    <w:rsid w:val="007051A1"/>
    <w:rsid w:val="00705339"/>
    <w:rsid w:val="007053D4"/>
    <w:rsid w:val="007053F6"/>
    <w:rsid w:val="00705433"/>
    <w:rsid w:val="0070544F"/>
    <w:rsid w:val="00705765"/>
    <w:rsid w:val="00705835"/>
    <w:rsid w:val="00705945"/>
    <w:rsid w:val="0070596F"/>
    <w:rsid w:val="00705B2E"/>
    <w:rsid w:val="00705D3D"/>
    <w:rsid w:val="00705E98"/>
    <w:rsid w:val="0070604C"/>
    <w:rsid w:val="00706446"/>
    <w:rsid w:val="007064B3"/>
    <w:rsid w:val="00706580"/>
    <w:rsid w:val="007065BF"/>
    <w:rsid w:val="007067AF"/>
    <w:rsid w:val="007067D2"/>
    <w:rsid w:val="007067DF"/>
    <w:rsid w:val="0070690A"/>
    <w:rsid w:val="00706925"/>
    <w:rsid w:val="007069DA"/>
    <w:rsid w:val="00706BDB"/>
    <w:rsid w:val="00706E9B"/>
    <w:rsid w:val="00707343"/>
    <w:rsid w:val="0070740A"/>
    <w:rsid w:val="0070752C"/>
    <w:rsid w:val="00707568"/>
    <w:rsid w:val="00707639"/>
    <w:rsid w:val="00707B24"/>
    <w:rsid w:val="00707DBB"/>
    <w:rsid w:val="00707DCA"/>
    <w:rsid w:val="00707F7C"/>
    <w:rsid w:val="00710082"/>
    <w:rsid w:val="007101DD"/>
    <w:rsid w:val="00710220"/>
    <w:rsid w:val="00710494"/>
    <w:rsid w:val="00710501"/>
    <w:rsid w:val="0071069A"/>
    <w:rsid w:val="007106C3"/>
    <w:rsid w:val="00710844"/>
    <w:rsid w:val="00710896"/>
    <w:rsid w:val="00710987"/>
    <w:rsid w:val="00710B02"/>
    <w:rsid w:val="00710F6F"/>
    <w:rsid w:val="007110A1"/>
    <w:rsid w:val="007111B2"/>
    <w:rsid w:val="00711242"/>
    <w:rsid w:val="0071127D"/>
    <w:rsid w:val="007112BD"/>
    <w:rsid w:val="00711470"/>
    <w:rsid w:val="007114DB"/>
    <w:rsid w:val="00711951"/>
    <w:rsid w:val="00711953"/>
    <w:rsid w:val="00711D54"/>
    <w:rsid w:val="00711E31"/>
    <w:rsid w:val="00711E6A"/>
    <w:rsid w:val="00711F4F"/>
    <w:rsid w:val="00711F82"/>
    <w:rsid w:val="00712129"/>
    <w:rsid w:val="007121A9"/>
    <w:rsid w:val="00712423"/>
    <w:rsid w:val="007125A3"/>
    <w:rsid w:val="00712651"/>
    <w:rsid w:val="0071268D"/>
    <w:rsid w:val="00712769"/>
    <w:rsid w:val="0071277D"/>
    <w:rsid w:val="00712843"/>
    <w:rsid w:val="007129FD"/>
    <w:rsid w:val="00712C33"/>
    <w:rsid w:val="007130FC"/>
    <w:rsid w:val="007131AD"/>
    <w:rsid w:val="007134B8"/>
    <w:rsid w:val="007134CB"/>
    <w:rsid w:val="00713BC8"/>
    <w:rsid w:val="00713C22"/>
    <w:rsid w:val="00713CD4"/>
    <w:rsid w:val="00713D36"/>
    <w:rsid w:val="00713DBE"/>
    <w:rsid w:val="00713FC7"/>
    <w:rsid w:val="0071427C"/>
    <w:rsid w:val="0071427F"/>
    <w:rsid w:val="007143B3"/>
    <w:rsid w:val="0071440D"/>
    <w:rsid w:val="00714508"/>
    <w:rsid w:val="0071451A"/>
    <w:rsid w:val="0071461F"/>
    <w:rsid w:val="00714736"/>
    <w:rsid w:val="0071493E"/>
    <w:rsid w:val="00714983"/>
    <w:rsid w:val="00714C7F"/>
    <w:rsid w:val="00714EF7"/>
    <w:rsid w:val="0071500B"/>
    <w:rsid w:val="00715693"/>
    <w:rsid w:val="007156C3"/>
    <w:rsid w:val="00715817"/>
    <w:rsid w:val="00715C64"/>
    <w:rsid w:val="00715D1C"/>
    <w:rsid w:val="00715E41"/>
    <w:rsid w:val="007160CC"/>
    <w:rsid w:val="007160F0"/>
    <w:rsid w:val="0071630D"/>
    <w:rsid w:val="007164B5"/>
    <w:rsid w:val="00716745"/>
    <w:rsid w:val="0071689D"/>
    <w:rsid w:val="00716930"/>
    <w:rsid w:val="00716AB4"/>
    <w:rsid w:val="00716C8A"/>
    <w:rsid w:val="00716DB9"/>
    <w:rsid w:val="00717064"/>
    <w:rsid w:val="007170CA"/>
    <w:rsid w:val="0071716E"/>
    <w:rsid w:val="007172BD"/>
    <w:rsid w:val="00717333"/>
    <w:rsid w:val="0071744B"/>
    <w:rsid w:val="007175F1"/>
    <w:rsid w:val="007176DE"/>
    <w:rsid w:val="00717707"/>
    <w:rsid w:val="007178E1"/>
    <w:rsid w:val="00717989"/>
    <w:rsid w:val="00717B6E"/>
    <w:rsid w:val="00717C3B"/>
    <w:rsid w:val="00717DF2"/>
    <w:rsid w:val="00717E88"/>
    <w:rsid w:val="00717F42"/>
    <w:rsid w:val="00717FE0"/>
    <w:rsid w:val="00720116"/>
    <w:rsid w:val="007202A1"/>
    <w:rsid w:val="0072036B"/>
    <w:rsid w:val="007204B2"/>
    <w:rsid w:val="007205AD"/>
    <w:rsid w:val="007206A8"/>
    <w:rsid w:val="0072092E"/>
    <w:rsid w:val="00720CCA"/>
    <w:rsid w:val="00720E7C"/>
    <w:rsid w:val="00720E94"/>
    <w:rsid w:val="00720FCB"/>
    <w:rsid w:val="00721151"/>
    <w:rsid w:val="00721218"/>
    <w:rsid w:val="007212CD"/>
    <w:rsid w:val="0072137E"/>
    <w:rsid w:val="0072154F"/>
    <w:rsid w:val="00721560"/>
    <w:rsid w:val="007216DD"/>
    <w:rsid w:val="00721790"/>
    <w:rsid w:val="007218CD"/>
    <w:rsid w:val="00721919"/>
    <w:rsid w:val="00721AA2"/>
    <w:rsid w:val="00721AB2"/>
    <w:rsid w:val="00721AF7"/>
    <w:rsid w:val="00721EA5"/>
    <w:rsid w:val="00721FC9"/>
    <w:rsid w:val="007220BA"/>
    <w:rsid w:val="007220D0"/>
    <w:rsid w:val="00722127"/>
    <w:rsid w:val="00722151"/>
    <w:rsid w:val="00722261"/>
    <w:rsid w:val="00722584"/>
    <w:rsid w:val="0072278C"/>
    <w:rsid w:val="00722980"/>
    <w:rsid w:val="007229DD"/>
    <w:rsid w:val="00722B12"/>
    <w:rsid w:val="00722B74"/>
    <w:rsid w:val="00723368"/>
    <w:rsid w:val="007235F5"/>
    <w:rsid w:val="007236EC"/>
    <w:rsid w:val="00723910"/>
    <w:rsid w:val="00723958"/>
    <w:rsid w:val="00723B52"/>
    <w:rsid w:val="00723E83"/>
    <w:rsid w:val="00723E95"/>
    <w:rsid w:val="00723EE7"/>
    <w:rsid w:val="00724100"/>
    <w:rsid w:val="00724255"/>
    <w:rsid w:val="0072438A"/>
    <w:rsid w:val="007246B6"/>
    <w:rsid w:val="00724939"/>
    <w:rsid w:val="00724B0C"/>
    <w:rsid w:val="00724B18"/>
    <w:rsid w:val="00724BF3"/>
    <w:rsid w:val="00724C85"/>
    <w:rsid w:val="00724D5A"/>
    <w:rsid w:val="00724EC2"/>
    <w:rsid w:val="00725219"/>
    <w:rsid w:val="007252AB"/>
    <w:rsid w:val="00725361"/>
    <w:rsid w:val="007253F7"/>
    <w:rsid w:val="0072551F"/>
    <w:rsid w:val="00725726"/>
    <w:rsid w:val="00725761"/>
    <w:rsid w:val="00725AA0"/>
    <w:rsid w:val="00725BBD"/>
    <w:rsid w:val="00725C2B"/>
    <w:rsid w:val="00725C35"/>
    <w:rsid w:val="00725F22"/>
    <w:rsid w:val="00726011"/>
    <w:rsid w:val="00726014"/>
    <w:rsid w:val="00726368"/>
    <w:rsid w:val="00726377"/>
    <w:rsid w:val="0072658F"/>
    <w:rsid w:val="007265AD"/>
    <w:rsid w:val="00726795"/>
    <w:rsid w:val="0072683F"/>
    <w:rsid w:val="00726A1F"/>
    <w:rsid w:val="00726DA7"/>
    <w:rsid w:val="00727045"/>
    <w:rsid w:val="007270F6"/>
    <w:rsid w:val="00727263"/>
    <w:rsid w:val="007274C2"/>
    <w:rsid w:val="00727B0A"/>
    <w:rsid w:val="00727B3B"/>
    <w:rsid w:val="00727DB0"/>
    <w:rsid w:val="00727DF8"/>
    <w:rsid w:val="00727E16"/>
    <w:rsid w:val="00727F81"/>
    <w:rsid w:val="007300C7"/>
    <w:rsid w:val="0073021E"/>
    <w:rsid w:val="00730283"/>
    <w:rsid w:val="007302D2"/>
    <w:rsid w:val="00730471"/>
    <w:rsid w:val="00730560"/>
    <w:rsid w:val="00730866"/>
    <w:rsid w:val="00730C93"/>
    <w:rsid w:val="00730E1E"/>
    <w:rsid w:val="00730E93"/>
    <w:rsid w:val="007310A9"/>
    <w:rsid w:val="007310B2"/>
    <w:rsid w:val="007313F9"/>
    <w:rsid w:val="007315AB"/>
    <w:rsid w:val="007315B3"/>
    <w:rsid w:val="00731684"/>
    <w:rsid w:val="007319D3"/>
    <w:rsid w:val="00731BB7"/>
    <w:rsid w:val="00731E48"/>
    <w:rsid w:val="00731E72"/>
    <w:rsid w:val="00731F0B"/>
    <w:rsid w:val="00731F81"/>
    <w:rsid w:val="00731FD0"/>
    <w:rsid w:val="00732200"/>
    <w:rsid w:val="0073223F"/>
    <w:rsid w:val="00732415"/>
    <w:rsid w:val="0073257F"/>
    <w:rsid w:val="007328B1"/>
    <w:rsid w:val="00732B31"/>
    <w:rsid w:val="00733366"/>
    <w:rsid w:val="007334B1"/>
    <w:rsid w:val="007334DB"/>
    <w:rsid w:val="007335F6"/>
    <w:rsid w:val="007335FD"/>
    <w:rsid w:val="007335FE"/>
    <w:rsid w:val="00733B07"/>
    <w:rsid w:val="00733BAE"/>
    <w:rsid w:val="00733CD2"/>
    <w:rsid w:val="00733D3C"/>
    <w:rsid w:val="00733E24"/>
    <w:rsid w:val="0073415C"/>
    <w:rsid w:val="00734206"/>
    <w:rsid w:val="00734218"/>
    <w:rsid w:val="0073444A"/>
    <w:rsid w:val="00734515"/>
    <w:rsid w:val="007345B5"/>
    <w:rsid w:val="00734615"/>
    <w:rsid w:val="00734786"/>
    <w:rsid w:val="0073480C"/>
    <w:rsid w:val="00734AF8"/>
    <w:rsid w:val="00734BF6"/>
    <w:rsid w:val="00734BF8"/>
    <w:rsid w:val="00734D54"/>
    <w:rsid w:val="00734D6D"/>
    <w:rsid w:val="00734DA4"/>
    <w:rsid w:val="00734F1E"/>
    <w:rsid w:val="00734FF3"/>
    <w:rsid w:val="007351DD"/>
    <w:rsid w:val="007353DD"/>
    <w:rsid w:val="007354B5"/>
    <w:rsid w:val="0073551E"/>
    <w:rsid w:val="00735728"/>
    <w:rsid w:val="00735789"/>
    <w:rsid w:val="007357BF"/>
    <w:rsid w:val="00735865"/>
    <w:rsid w:val="00735C0F"/>
    <w:rsid w:val="00735C87"/>
    <w:rsid w:val="00735D78"/>
    <w:rsid w:val="00735DE7"/>
    <w:rsid w:val="00735E97"/>
    <w:rsid w:val="00735F10"/>
    <w:rsid w:val="007360C2"/>
    <w:rsid w:val="007361C2"/>
    <w:rsid w:val="00736274"/>
    <w:rsid w:val="007363E5"/>
    <w:rsid w:val="007365EF"/>
    <w:rsid w:val="00736B56"/>
    <w:rsid w:val="00736BD7"/>
    <w:rsid w:val="00736CC0"/>
    <w:rsid w:val="00736D29"/>
    <w:rsid w:val="00736D9C"/>
    <w:rsid w:val="00736DAE"/>
    <w:rsid w:val="00736F65"/>
    <w:rsid w:val="007370EB"/>
    <w:rsid w:val="00737380"/>
    <w:rsid w:val="00737554"/>
    <w:rsid w:val="00737680"/>
    <w:rsid w:val="00737727"/>
    <w:rsid w:val="007378BC"/>
    <w:rsid w:val="00737B47"/>
    <w:rsid w:val="00737CF2"/>
    <w:rsid w:val="00737DB7"/>
    <w:rsid w:val="00737E76"/>
    <w:rsid w:val="00740131"/>
    <w:rsid w:val="007403C5"/>
    <w:rsid w:val="00740431"/>
    <w:rsid w:val="007404E7"/>
    <w:rsid w:val="0074056C"/>
    <w:rsid w:val="007406AF"/>
    <w:rsid w:val="00740B44"/>
    <w:rsid w:val="00740CAC"/>
    <w:rsid w:val="00740D61"/>
    <w:rsid w:val="00740E61"/>
    <w:rsid w:val="00740EBA"/>
    <w:rsid w:val="00740F8C"/>
    <w:rsid w:val="007410A1"/>
    <w:rsid w:val="007410A9"/>
    <w:rsid w:val="0074114F"/>
    <w:rsid w:val="00741637"/>
    <w:rsid w:val="00741750"/>
    <w:rsid w:val="00741CB8"/>
    <w:rsid w:val="00741D14"/>
    <w:rsid w:val="00741D7B"/>
    <w:rsid w:val="00741EA4"/>
    <w:rsid w:val="00741F46"/>
    <w:rsid w:val="007422EB"/>
    <w:rsid w:val="007422FC"/>
    <w:rsid w:val="00742B62"/>
    <w:rsid w:val="00742D59"/>
    <w:rsid w:val="00742DFE"/>
    <w:rsid w:val="00742E55"/>
    <w:rsid w:val="00742F5C"/>
    <w:rsid w:val="00743108"/>
    <w:rsid w:val="0074315C"/>
    <w:rsid w:val="00743316"/>
    <w:rsid w:val="0074340D"/>
    <w:rsid w:val="007434F8"/>
    <w:rsid w:val="007435C3"/>
    <w:rsid w:val="007435CC"/>
    <w:rsid w:val="0074371C"/>
    <w:rsid w:val="00743842"/>
    <w:rsid w:val="00743B9F"/>
    <w:rsid w:val="00743D5D"/>
    <w:rsid w:val="00743D9F"/>
    <w:rsid w:val="00743F9D"/>
    <w:rsid w:val="00744305"/>
    <w:rsid w:val="00744493"/>
    <w:rsid w:val="00744610"/>
    <w:rsid w:val="00744B1F"/>
    <w:rsid w:val="00744C66"/>
    <w:rsid w:val="00744D08"/>
    <w:rsid w:val="00744E26"/>
    <w:rsid w:val="0074534A"/>
    <w:rsid w:val="0074559F"/>
    <w:rsid w:val="00745631"/>
    <w:rsid w:val="0074575D"/>
    <w:rsid w:val="007457C7"/>
    <w:rsid w:val="00745A79"/>
    <w:rsid w:val="00745AB8"/>
    <w:rsid w:val="00745B55"/>
    <w:rsid w:val="00745DF2"/>
    <w:rsid w:val="00745FED"/>
    <w:rsid w:val="00746123"/>
    <w:rsid w:val="00746657"/>
    <w:rsid w:val="00746674"/>
    <w:rsid w:val="00746676"/>
    <w:rsid w:val="00746677"/>
    <w:rsid w:val="007466AC"/>
    <w:rsid w:val="007467F3"/>
    <w:rsid w:val="00746912"/>
    <w:rsid w:val="00746AEA"/>
    <w:rsid w:val="00746E3D"/>
    <w:rsid w:val="00746EF1"/>
    <w:rsid w:val="00746FCB"/>
    <w:rsid w:val="0074713F"/>
    <w:rsid w:val="00747292"/>
    <w:rsid w:val="0074750F"/>
    <w:rsid w:val="007476F9"/>
    <w:rsid w:val="0074772A"/>
    <w:rsid w:val="007477E7"/>
    <w:rsid w:val="00747B08"/>
    <w:rsid w:val="00747B1A"/>
    <w:rsid w:val="00747C2E"/>
    <w:rsid w:val="0075004B"/>
    <w:rsid w:val="007500CC"/>
    <w:rsid w:val="00750347"/>
    <w:rsid w:val="00750450"/>
    <w:rsid w:val="00750454"/>
    <w:rsid w:val="00750983"/>
    <w:rsid w:val="00750B11"/>
    <w:rsid w:val="00750EAD"/>
    <w:rsid w:val="00750F2C"/>
    <w:rsid w:val="00750F91"/>
    <w:rsid w:val="00750FA1"/>
    <w:rsid w:val="0075108A"/>
    <w:rsid w:val="0075132C"/>
    <w:rsid w:val="007514B2"/>
    <w:rsid w:val="0075153D"/>
    <w:rsid w:val="007515AD"/>
    <w:rsid w:val="007516B9"/>
    <w:rsid w:val="00751712"/>
    <w:rsid w:val="007517A8"/>
    <w:rsid w:val="00751899"/>
    <w:rsid w:val="00751A0C"/>
    <w:rsid w:val="00751A80"/>
    <w:rsid w:val="00751AC1"/>
    <w:rsid w:val="00751ACD"/>
    <w:rsid w:val="00751F49"/>
    <w:rsid w:val="00751F54"/>
    <w:rsid w:val="00752002"/>
    <w:rsid w:val="00752034"/>
    <w:rsid w:val="0075221F"/>
    <w:rsid w:val="00752296"/>
    <w:rsid w:val="007522F6"/>
    <w:rsid w:val="007524CA"/>
    <w:rsid w:val="007526AA"/>
    <w:rsid w:val="00753175"/>
    <w:rsid w:val="00753337"/>
    <w:rsid w:val="0075333B"/>
    <w:rsid w:val="00753507"/>
    <w:rsid w:val="00753557"/>
    <w:rsid w:val="007535B8"/>
    <w:rsid w:val="00753631"/>
    <w:rsid w:val="007536DF"/>
    <w:rsid w:val="0075377D"/>
    <w:rsid w:val="007539A2"/>
    <w:rsid w:val="007539CE"/>
    <w:rsid w:val="00753AD4"/>
    <w:rsid w:val="00753E30"/>
    <w:rsid w:val="00753EE3"/>
    <w:rsid w:val="00753F6E"/>
    <w:rsid w:val="00753FBC"/>
    <w:rsid w:val="00754104"/>
    <w:rsid w:val="007542A1"/>
    <w:rsid w:val="007543CE"/>
    <w:rsid w:val="00754743"/>
    <w:rsid w:val="0075499E"/>
    <w:rsid w:val="00754A04"/>
    <w:rsid w:val="00754A5D"/>
    <w:rsid w:val="00754B6C"/>
    <w:rsid w:val="00754C0A"/>
    <w:rsid w:val="00754D60"/>
    <w:rsid w:val="00754DD0"/>
    <w:rsid w:val="00754E09"/>
    <w:rsid w:val="00754E29"/>
    <w:rsid w:val="00754F1F"/>
    <w:rsid w:val="00755126"/>
    <w:rsid w:val="0075517F"/>
    <w:rsid w:val="00755199"/>
    <w:rsid w:val="007551D8"/>
    <w:rsid w:val="007552A8"/>
    <w:rsid w:val="00755308"/>
    <w:rsid w:val="00755630"/>
    <w:rsid w:val="0075566D"/>
    <w:rsid w:val="007557A1"/>
    <w:rsid w:val="00755E2E"/>
    <w:rsid w:val="00755E9D"/>
    <w:rsid w:val="007561AC"/>
    <w:rsid w:val="00756563"/>
    <w:rsid w:val="007566C2"/>
    <w:rsid w:val="007566ED"/>
    <w:rsid w:val="0075674B"/>
    <w:rsid w:val="00756985"/>
    <w:rsid w:val="00756A02"/>
    <w:rsid w:val="00756B2D"/>
    <w:rsid w:val="00756C2B"/>
    <w:rsid w:val="00756C57"/>
    <w:rsid w:val="00756D1F"/>
    <w:rsid w:val="00757017"/>
    <w:rsid w:val="0075709F"/>
    <w:rsid w:val="0075711C"/>
    <w:rsid w:val="00757139"/>
    <w:rsid w:val="00757217"/>
    <w:rsid w:val="00757237"/>
    <w:rsid w:val="007573E0"/>
    <w:rsid w:val="00757A5D"/>
    <w:rsid w:val="00757B9F"/>
    <w:rsid w:val="00757C5F"/>
    <w:rsid w:val="00757C7A"/>
    <w:rsid w:val="00757CC5"/>
    <w:rsid w:val="00757E10"/>
    <w:rsid w:val="00757E7D"/>
    <w:rsid w:val="00757FBB"/>
    <w:rsid w:val="007601D2"/>
    <w:rsid w:val="0076037F"/>
    <w:rsid w:val="00760467"/>
    <w:rsid w:val="0076048F"/>
    <w:rsid w:val="007604A4"/>
    <w:rsid w:val="00760548"/>
    <w:rsid w:val="0076056E"/>
    <w:rsid w:val="007605C8"/>
    <w:rsid w:val="00760647"/>
    <w:rsid w:val="007606B0"/>
    <w:rsid w:val="007606C3"/>
    <w:rsid w:val="007607F1"/>
    <w:rsid w:val="00760971"/>
    <w:rsid w:val="00760FD0"/>
    <w:rsid w:val="0076100B"/>
    <w:rsid w:val="007610B0"/>
    <w:rsid w:val="007612C7"/>
    <w:rsid w:val="0076131F"/>
    <w:rsid w:val="00761380"/>
    <w:rsid w:val="00761387"/>
    <w:rsid w:val="00761388"/>
    <w:rsid w:val="00761879"/>
    <w:rsid w:val="00761910"/>
    <w:rsid w:val="007619D5"/>
    <w:rsid w:val="00761A2D"/>
    <w:rsid w:val="00761BED"/>
    <w:rsid w:val="00761CC0"/>
    <w:rsid w:val="00761D7A"/>
    <w:rsid w:val="0076224C"/>
    <w:rsid w:val="007623CB"/>
    <w:rsid w:val="00762477"/>
    <w:rsid w:val="00762540"/>
    <w:rsid w:val="007626C8"/>
    <w:rsid w:val="007627AF"/>
    <w:rsid w:val="007627ED"/>
    <w:rsid w:val="00762866"/>
    <w:rsid w:val="007628CD"/>
    <w:rsid w:val="007628D5"/>
    <w:rsid w:val="00762A79"/>
    <w:rsid w:val="00762BF6"/>
    <w:rsid w:val="00762CA7"/>
    <w:rsid w:val="00762CF3"/>
    <w:rsid w:val="00762E8A"/>
    <w:rsid w:val="00762ED8"/>
    <w:rsid w:val="00762F78"/>
    <w:rsid w:val="00763128"/>
    <w:rsid w:val="0076316C"/>
    <w:rsid w:val="00763335"/>
    <w:rsid w:val="007634E5"/>
    <w:rsid w:val="00763895"/>
    <w:rsid w:val="0076396D"/>
    <w:rsid w:val="00763A4F"/>
    <w:rsid w:val="00763AB2"/>
    <w:rsid w:val="00763BFC"/>
    <w:rsid w:val="00763C25"/>
    <w:rsid w:val="00763C2B"/>
    <w:rsid w:val="00763DD5"/>
    <w:rsid w:val="00763EB3"/>
    <w:rsid w:val="00763F11"/>
    <w:rsid w:val="00763FC9"/>
    <w:rsid w:val="00764178"/>
    <w:rsid w:val="0076419C"/>
    <w:rsid w:val="007642D4"/>
    <w:rsid w:val="0076433F"/>
    <w:rsid w:val="00764391"/>
    <w:rsid w:val="007643E8"/>
    <w:rsid w:val="007645CF"/>
    <w:rsid w:val="007646B8"/>
    <w:rsid w:val="0076493A"/>
    <w:rsid w:val="007649D9"/>
    <w:rsid w:val="00764A17"/>
    <w:rsid w:val="00764B63"/>
    <w:rsid w:val="00764B93"/>
    <w:rsid w:val="00764C7A"/>
    <w:rsid w:val="00764DAC"/>
    <w:rsid w:val="00764E1C"/>
    <w:rsid w:val="00764FDE"/>
    <w:rsid w:val="00764FED"/>
    <w:rsid w:val="0076534E"/>
    <w:rsid w:val="00765353"/>
    <w:rsid w:val="007653D5"/>
    <w:rsid w:val="007654C4"/>
    <w:rsid w:val="0076550A"/>
    <w:rsid w:val="00765550"/>
    <w:rsid w:val="00765885"/>
    <w:rsid w:val="00765B15"/>
    <w:rsid w:val="00765BC7"/>
    <w:rsid w:val="00765D3F"/>
    <w:rsid w:val="00765FD2"/>
    <w:rsid w:val="007660C9"/>
    <w:rsid w:val="0076613E"/>
    <w:rsid w:val="00766175"/>
    <w:rsid w:val="007662C9"/>
    <w:rsid w:val="00766413"/>
    <w:rsid w:val="007664FB"/>
    <w:rsid w:val="007665F0"/>
    <w:rsid w:val="00766A3F"/>
    <w:rsid w:val="00766B0C"/>
    <w:rsid w:val="00766D48"/>
    <w:rsid w:val="00766D8C"/>
    <w:rsid w:val="00766F2D"/>
    <w:rsid w:val="00767085"/>
    <w:rsid w:val="007675D0"/>
    <w:rsid w:val="007677A9"/>
    <w:rsid w:val="007677FC"/>
    <w:rsid w:val="00767A1E"/>
    <w:rsid w:val="00767A41"/>
    <w:rsid w:val="00767BAD"/>
    <w:rsid w:val="00767BBC"/>
    <w:rsid w:val="00767EC1"/>
    <w:rsid w:val="00770101"/>
    <w:rsid w:val="007705AA"/>
    <w:rsid w:val="00770845"/>
    <w:rsid w:val="007708C9"/>
    <w:rsid w:val="00770974"/>
    <w:rsid w:val="00770B43"/>
    <w:rsid w:val="00770BB6"/>
    <w:rsid w:val="00770C2A"/>
    <w:rsid w:val="00770C41"/>
    <w:rsid w:val="00770CD9"/>
    <w:rsid w:val="00770E2A"/>
    <w:rsid w:val="0077104A"/>
    <w:rsid w:val="00771093"/>
    <w:rsid w:val="007710BF"/>
    <w:rsid w:val="00771193"/>
    <w:rsid w:val="007712A2"/>
    <w:rsid w:val="007714EC"/>
    <w:rsid w:val="007715F7"/>
    <w:rsid w:val="0077160C"/>
    <w:rsid w:val="00771768"/>
    <w:rsid w:val="00771951"/>
    <w:rsid w:val="00771A1E"/>
    <w:rsid w:val="00771C13"/>
    <w:rsid w:val="00771DA5"/>
    <w:rsid w:val="00771DC3"/>
    <w:rsid w:val="00771FD3"/>
    <w:rsid w:val="0077216A"/>
    <w:rsid w:val="007721CE"/>
    <w:rsid w:val="0077226A"/>
    <w:rsid w:val="007722BB"/>
    <w:rsid w:val="0077252A"/>
    <w:rsid w:val="007726ED"/>
    <w:rsid w:val="00772850"/>
    <w:rsid w:val="007728C4"/>
    <w:rsid w:val="00772AE2"/>
    <w:rsid w:val="00772BD3"/>
    <w:rsid w:val="00772BFC"/>
    <w:rsid w:val="00772C63"/>
    <w:rsid w:val="00772E16"/>
    <w:rsid w:val="00772F9C"/>
    <w:rsid w:val="0077311A"/>
    <w:rsid w:val="0077312E"/>
    <w:rsid w:val="00773185"/>
    <w:rsid w:val="007732EC"/>
    <w:rsid w:val="0077344D"/>
    <w:rsid w:val="007734B9"/>
    <w:rsid w:val="0077355C"/>
    <w:rsid w:val="00773622"/>
    <w:rsid w:val="007736E1"/>
    <w:rsid w:val="0077377E"/>
    <w:rsid w:val="00773840"/>
    <w:rsid w:val="00773846"/>
    <w:rsid w:val="00773905"/>
    <w:rsid w:val="0077390B"/>
    <w:rsid w:val="00773B4A"/>
    <w:rsid w:val="00773B67"/>
    <w:rsid w:val="00773BC2"/>
    <w:rsid w:val="00773C24"/>
    <w:rsid w:val="00773D72"/>
    <w:rsid w:val="00773FAF"/>
    <w:rsid w:val="00774147"/>
    <w:rsid w:val="007742CC"/>
    <w:rsid w:val="00774439"/>
    <w:rsid w:val="007745A4"/>
    <w:rsid w:val="007748E8"/>
    <w:rsid w:val="00774A41"/>
    <w:rsid w:val="00774EAC"/>
    <w:rsid w:val="00775070"/>
    <w:rsid w:val="007751F7"/>
    <w:rsid w:val="00775230"/>
    <w:rsid w:val="00775422"/>
    <w:rsid w:val="007754CA"/>
    <w:rsid w:val="00775554"/>
    <w:rsid w:val="007756E7"/>
    <w:rsid w:val="0077594B"/>
    <w:rsid w:val="007759BA"/>
    <w:rsid w:val="00775B78"/>
    <w:rsid w:val="00775C31"/>
    <w:rsid w:val="00775C7A"/>
    <w:rsid w:val="00775EE3"/>
    <w:rsid w:val="00775F0D"/>
    <w:rsid w:val="00775F41"/>
    <w:rsid w:val="007761D0"/>
    <w:rsid w:val="00776277"/>
    <w:rsid w:val="00776566"/>
    <w:rsid w:val="007765C8"/>
    <w:rsid w:val="00776792"/>
    <w:rsid w:val="007768E8"/>
    <w:rsid w:val="00776B1F"/>
    <w:rsid w:val="00776CDF"/>
    <w:rsid w:val="00776EE2"/>
    <w:rsid w:val="00776F6E"/>
    <w:rsid w:val="00777053"/>
    <w:rsid w:val="0077719C"/>
    <w:rsid w:val="007771C1"/>
    <w:rsid w:val="00777631"/>
    <w:rsid w:val="00777721"/>
    <w:rsid w:val="0077791A"/>
    <w:rsid w:val="0077791D"/>
    <w:rsid w:val="00777BD8"/>
    <w:rsid w:val="00777D84"/>
    <w:rsid w:val="00777E17"/>
    <w:rsid w:val="00777E49"/>
    <w:rsid w:val="00777E80"/>
    <w:rsid w:val="00780294"/>
    <w:rsid w:val="00780328"/>
    <w:rsid w:val="00780388"/>
    <w:rsid w:val="0078048B"/>
    <w:rsid w:val="007807AE"/>
    <w:rsid w:val="0078099D"/>
    <w:rsid w:val="00780A80"/>
    <w:rsid w:val="00780C32"/>
    <w:rsid w:val="00780C39"/>
    <w:rsid w:val="00780CB2"/>
    <w:rsid w:val="00780DFF"/>
    <w:rsid w:val="00781050"/>
    <w:rsid w:val="007810E4"/>
    <w:rsid w:val="007812A9"/>
    <w:rsid w:val="007813C8"/>
    <w:rsid w:val="00781454"/>
    <w:rsid w:val="0078165D"/>
    <w:rsid w:val="00781709"/>
    <w:rsid w:val="00781721"/>
    <w:rsid w:val="00781A8B"/>
    <w:rsid w:val="00781C17"/>
    <w:rsid w:val="00781C7B"/>
    <w:rsid w:val="00782076"/>
    <w:rsid w:val="007821E7"/>
    <w:rsid w:val="00782218"/>
    <w:rsid w:val="00782760"/>
    <w:rsid w:val="00782879"/>
    <w:rsid w:val="00782915"/>
    <w:rsid w:val="00782944"/>
    <w:rsid w:val="00782A2B"/>
    <w:rsid w:val="00782B0A"/>
    <w:rsid w:val="00782C85"/>
    <w:rsid w:val="00782CF3"/>
    <w:rsid w:val="00782E09"/>
    <w:rsid w:val="00782FDE"/>
    <w:rsid w:val="007830DA"/>
    <w:rsid w:val="00783133"/>
    <w:rsid w:val="00783306"/>
    <w:rsid w:val="007833EE"/>
    <w:rsid w:val="007835F8"/>
    <w:rsid w:val="00783610"/>
    <w:rsid w:val="00783673"/>
    <w:rsid w:val="007838A4"/>
    <w:rsid w:val="00783AAC"/>
    <w:rsid w:val="00783AC8"/>
    <w:rsid w:val="00783B63"/>
    <w:rsid w:val="00783C93"/>
    <w:rsid w:val="00783FE6"/>
    <w:rsid w:val="007840B8"/>
    <w:rsid w:val="00784221"/>
    <w:rsid w:val="007842DD"/>
    <w:rsid w:val="007843D3"/>
    <w:rsid w:val="007844A7"/>
    <w:rsid w:val="00784508"/>
    <w:rsid w:val="0078486C"/>
    <w:rsid w:val="007848AE"/>
    <w:rsid w:val="00784954"/>
    <w:rsid w:val="00784A53"/>
    <w:rsid w:val="00784A61"/>
    <w:rsid w:val="00784A73"/>
    <w:rsid w:val="00784A9E"/>
    <w:rsid w:val="00784C01"/>
    <w:rsid w:val="00784C76"/>
    <w:rsid w:val="00784C9B"/>
    <w:rsid w:val="00784D6E"/>
    <w:rsid w:val="00784FCD"/>
    <w:rsid w:val="00785005"/>
    <w:rsid w:val="007850A3"/>
    <w:rsid w:val="00785126"/>
    <w:rsid w:val="007852AE"/>
    <w:rsid w:val="00785444"/>
    <w:rsid w:val="007855AE"/>
    <w:rsid w:val="007856B0"/>
    <w:rsid w:val="007856EE"/>
    <w:rsid w:val="00785795"/>
    <w:rsid w:val="00785A02"/>
    <w:rsid w:val="00785A49"/>
    <w:rsid w:val="00785C79"/>
    <w:rsid w:val="00785E51"/>
    <w:rsid w:val="00785E89"/>
    <w:rsid w:val="007860D5"/>
    <w:rsid w:val="0078636D"/>
    <w:rsid w:val="00786380"/>
    <w:rsid w:val="0078653D"/>
    <w:rsid w:val="00786790"/>
    <w:rsid w:val="0078686A"/>
    <w:rsid w:val="00786B93"/>
    <w:rsid w:val="00786F8E"/>
    <w:rsid w:val="00786FE9"/>
    <w:rsid w:val="00787090"/>
    <w:rsid w:val="007871C5"/>
    <w:rsid w:val="007872A6"/>
    <w:rsid w:val="00787525"/>
    <w:rsid w:val="00787544"/>
    <w:rsid w:val="00787601"/>
    <w:rsid w:val="0078770B"/>
    <w:rsid w:val="00787D39"/>
    <w:rsid w:val="00790095"/>
    <w:rsid w:val="00790295"/>
    <w:rsid w:val="0079042A"/>
    <w:rsid w:val="007904A3"/>
    <w:rsid w:val="007907C1"/>
    <w:rsid w:val="007908D7"/>
    <w:rsid w:val="00790BE3"/>
    <w:rsid w:val="00790CFC"/>
    <w:rsid w:val="0079104A"/>
    <w:rsid w:val="007911CF"/>
    <w:rsid w:val="0079125E"/>
    <w:rsid w:val="007913E9"/>
    <w:rsid w:val="007914FE"/>
    <w:rsid w:val="0079151E"/>
    <w:rsid w:val="0079153C"/>
    <w:rsid w:val="0079180D"/>
    <w:rsid w:val="00791872"/>
    <w:rsid w:val="007918B4"/>
    <w:rsid w:val="00791930"/>
    <w:rsid w:val="00791A07"/>
    <w:rsid w:val="00791AF4"/>
    <w:rsid w:val="00791EF9"/>
    <w:rsid w:val="00791F59"/>
    <w:rsid w:val="0079200D"/>
    <w:rsid w:val="0079202B"/>
    <w:rsid w:val="00792154"/>
    <w:rsid w:val="0079215A"/>
    <w:rsid w:val="0079220D"/>
    <w:rsid w:val="00792240"/>
    <w:rsid w:val="00792268"/>
    <w:rsid w:val="0079238A"/>
    <w:rsid w:val="007924F9"/>
    <w:rsid w:val="00792718"/>
    <w:rsid w:val="0079273F"/>
    <w:rsid w:val="00792803"/>
    <w:rsid w:val="0079282E"/>
    <w:rsid w:val="0079282F"/>
    <w:rsid w:val="007928E9"/>
    <w:rsid w:val="00792AAC"/>
    <w:rsid w:val="00792AE0"/>
    <w:rsid w:val="00792B8B"/>
    <w:rsid w:val="00792DC6"/>
    <w:rsid w:val="00792F23"/>
    <w:rsid w:val="00792F45"/>
    <w:rsid w:val="00793158"/>
    <w:rsid w:val="00793279"/>
    <w:rsid w:val="007933F9"/>
    <w:rsid w:val="00793407"/>
    <w:rsid w:val="0079347E"/>
    <w:rsid w:val="00793881"/>
    <w:rsid w:val="00793980"/>
    <w:rsid w:val="00793A05"/>
    <w:rsid w:val="00793B29"/>
    <w:rsid w:val="00793BA9"/>
    <w:rsid w:val="00793BCE"/>
    <w:rsid w:val="00793CCA"/>
    <w:rsid w:val="00793DD9"/>
    <w:rsid w:val="00793EC0"/>
    <w:rsid w:val="00794021"/>
    <w:rsid w:val="00794282"/>
    <w:rsid w:val="007942CE"/>
    <w:rsid w:val="007943CE"/>
    <w:rsid w:val="0079460C"/>
    <w:rsid w:val="00794617"/>
    <w:rsid w:val="0079477E"/>
    <w:rsid w:val="0079478E"/>
    <w:rsid w:val="0079482C"/>
    <w:rsid w:val="00794B02"/>
    <w:rsid w:val="00794BA2"/>
    <w:rsid w:val="00794BEA"/>
    <w:rsid w:val="00794D72"/>
    <w:rsid w:val="00794DC2"/>
    <w:rsid w:val="00794F22"/>
    <w:rsid w:val="00794F6F"/>
    <w:rsid w:val="00795047"/>
    <w:rsid w:val="007950C3"/>
    <w:rsid w:val="00795199"/>
    <w:rsid w:val="007951F2"/>
    <w:rsid w:val="0079525F"/>
    <w:rsid w:val="007952DB"/>
    <w:rsid w:val="007953AA"/>
    <w:rsid w:val="00795477"/>
    <w:rsid w:val="00795542"/>
    <w:rsid w:val="0079555B"/>
    <w:rsid w:val="0079579B"/>
    <w:rsid w:val="00795806"/>
    <w:rsid w:val="00795810"/>
    <w:rsid w:val="00795A8C"/>
    <w:rsid w:val="00795D3B"/>
    <w:rsid w:val="00795E13"/>
    <w:rsid w:val="00796325"/>
    <w:rsid w:val="00796409"/>
    <w:rsid w:val="007965D2"/>
    <w:rsid w:val="00796769"/>
    <w:rsid w:val="007967C9"/>
    <w:rsid w:val="00796DA7"/>
    <w:rsid w:val="00796E58"/>
    <w:rsid w:val="00796EE7"/>
    <w:rsid w:val="00797099"/>
    <w:rsid w:val="0079746E"/>
    <w:rsid w:val="007974DD"/>
    <w:rsid w:val="007976AC"/>
    <w:rsid w:val="007977E6"/>
    <w:rsid w:val="00797859"/>
    <w:rsid w:val="0079787F"/>
    <w:rsid w:val="00797B23"/>
    <w:rsid w:val="00797C48"/>
    <w:rsid w:val="007A0110"/>
    <w:rsid w:val="007A015E"/>
    <w:rsid w:val="007A01C6"/>
    <w:rsid w:val="007A03E4"/>
    <w:rsid w:val="007A04C9"/>
    <w:rsid w:val="007A059D"/>
    <w:rsid w:val="007A0600"/>
    <w:rsid w:val="007A064F"/>
    <w:rsid w:val="007A068B"/>
    <w:rsid w:val="007A0779"/>
    <w:rsid w:val="007A078B"/>
    <w:rsid w:val="007A07E4"/>
    <w:rsid w:val="007A0AD5"/>
    <w:rsid w:val="007A0AF1"/>
    <w:rsid w:val="007A0AFB"/>
    <w:rsid w:val="007A0BD0"/>
    <w:rsid w:val="007A0D6A"/>
    <w:rsid w:val="007A0FCF"/>
    <w:rsid w:val="007A0FE6"/>
    <w:rsid w:val="007A105C"/>
    <w:rsid w:val="007A1137"/>
    <w:rsid w:val="007A1310"/>
    <w:rsid w:val="007A139B"/>
    <w:rsid w:val="007A159B"/>
    <w:rsid w:val="007A16A7"/>
    <w:rsid w:val="007A17DE"/>
    <w:rsid w:val="007A1839"/>
    <w:rsid w:val="007A1A02"/>
    <w:rsid w:val="007A1B11"/>
    <w:rsid w:val="007A1EDD"/>
    <w:rsid w:val="007A23B1"/>
    <w:rsid w:val="007A2975"/>
    <w:rsid w:val="007A29B4"/>
    <w:rsid w:val="007A2A02"/>
    <w:rsid w:val="007A2BD2"/>
    <w:rsid w:val="007A30A6"/>
    <w:rsid w:val="007A30A8"/>
    <w:rsid w:val="007A30B4"/>
    <w:rsid w:val="007A3146"/>
    <w:rsid w:val="007A335E"/>
    <w:rsid w:val="007A347D"/>
    <w:rsid w:val="007A34BF"/>
    <w:rsid w:val="007A3516"/>
    <w:rsid w:val="007A3543"/>
    <w:rsid w:val="007A35E6"/>
    <w:rsid w:val="007A3999"/>
    <w:rsid w:val="007A3D10"/>
    <w:rsid w:val="007A3DCA"/>
    <w:rsid w:val="007A3E26"/>
    <w:rsid w:val="007A3F8A"/>
    <w:rsid w:val="007A4053"/>
    <w:rsid w:val="007A40C2"/>
    <w:rsid w:val="007A424F"/>
    <w:rsid w:val="007A44BA"/>
    <w:rsid w:val="007A4611"/>
    <w:rsid w:val="007A47AF"/>
    <w:rsid w:val="007A4962"/>
    <w:rsid w:val="007A4A37"/>
    <w:rsid w:val="007A4ED0"/>
    <w:rsid w:val="007A50B7"/>
    <w:rsid w:val="007A5237"/>
    <w:rsid w:val="007A532A"/>
    <w:rsid w:val="007A56E1"/>
    <w:rsid w:val="007A573D"/>
    <w:rsid w:val="007A57DA"/>
    <w:rsid w:val="007A5883"/>
    <w:rsid w:val="007A5888"/>
    <w:rsid w:val="007A5BC5"/>
    <w:rsid w:val="007A5FBA"/>
    <w:rsid w:val="007A5FBB"/>
    <w:rsid w:val="007A5FD1"/>
    <w:rsid w:val="007A602A"/>
    <w:rsid w:val="007A6035"/>
    <w:rsid w:val="007A603C"/>
    <w:rsid w:val="007A61AC"/>
    <w:rsid w:val="007A6463"/>
    <w:rsid w:val="007A65C1"/>
    <w:rsid w:val="007A6938"/>
    <w:rsid w:val="007A69B3"/>
    <w:rsid w:val="007A6A4E"/>
    <w:rsid w:val="007A6B47"/>
    <w:rsid w:val="007A6C32"/>
    <w:rsid w:val="007A6D7B"/>
    <w:rsid w:val="007A6ED0"/>
    <w:rsid w:val="007A6EEF"/>
    <w:rsid w:val="007A6F23"/>
    <w:rsid w:val="007A708D"/>
    <w:rsid w:val="007A7192"/>
    <w:rsid w:val="007A7560"/>
    <w:rsid w:val="007A76A5"/>
    <w:rsid w:val="007A7709"/>
    <w:rsid w:val="007A77B8"/>
    <w:rsid w:val="007A77D9"/>
    <w:rsid w:val="007A796D"/>
    <w:rsid w:val="007A79AD"/>
    <w:rsid w:val="007A7A56"/>
    <w:rsid w:val="007A7C1E"/>
    <w:rsid w:val="007A7F8F"/>
    <w:rsid w:val="007B01E0"/>
    <w:rsid w:val="007B026D"/>
    <w:rsid w:val="007B032A"/>
    <w:rsid w:val="007B0406"/>
    <w:rsid w:val="007B06F4"/>
    <w:rsid w:val="007B0704"/>
    <w:rsid w:val="007B0892"/>
    <w:rsid w:val="007B08CB"/>
    <w:rsid w:val="007B0C1D"/>
    <w:rsid w:val="007B0CAD"/>
    <w:rsid w:val="007B0CB7"/>
    <w:rsid w:val="007B0E7F"/>
    <w:rsid w:val="007B0F8A"/>
    <w:rsid w:val="007B0FF6"/>
    <w:rsid w:val="007B0FF9"/>
    <w:rsid w:val="007B110A"/>
    <w:rsid w:val="007B126C"/>
    <w:rsid w:val="007B13BE"/>
    <w:rsid w:val="007B14FC"/>
    <w:rsid w:val="007B1577"/>
    <w:rsid w:val="007B163E"/>
    <w:rsid w:val="007B182B"/>
    <w:rsid w:val="007B19B2"/>
    <w:rsid w:val="007B19E6"/>
    <w:rsid w:val="007B1B65"/>
    <w:rsid w:val="007B1CED"/>
    <w:rsid w:val="007B1DC7"/>
    <w:rsid w:val="007B1E05"/>
    <w:rsid w:val="007B1E0C"/>
    <w:rsid w:val="007B209B"/>
    <w:rsid w:val="007B2161"/>
    <w:rsid w:val="007B21F5"/>
    <w:rsid w:val="007B2303"/>
    <w:rsid w:val="007B2325"/>
    <w:rsid w:val="007B23ED"/>
    <w:rsid w:val="007B250D"/>
    <w:rsid w:val="007B263B"/>
    <w:rsid w:val="007B264E"/>
    <w:rsid w:val="007B26C8"/>
    <w:rsid w:val="007B2780"/>
    <w:rsid w:val="007B2A82"/>
    <w:rsid w:val="007B2B31"/>
    <w:rsid w:val="007B2BC4"/>
    <w:rsid w:val="007B2BF1"/>
    <w:rsid w:val="007B2E54"/>
    <w:rsid w:val="007B342B"/>
    <w:rsid w:val="007B3961"/>
    <w:rsid w:val="007B3977"/>
    <w:rsid w:val="007B39D0"/>
    <w:rsid w:val="007B3C9E"/>
    <w:rsid w:val="007B3D47"/>
    <w:rsid w:val="007B403B"/>
    <w:rsid w:val="007B412B"/>
    <w:rsid w:val="007B4329"/>
    <w:rsid w:val="007B4345"/>
    <w:rsid w:val="007B43C1"/>
    <w:rsid w:val="007B4807"/>
    <w:rsid w:val="007B482C"/>
    <w:rsid w:val="007B483C"/>
    <w:rsid w:val="007B4902"/>
    <w:rsid w:val="007B4A08"/>
    <w:rsid w:val="007B4A10"/>
    <w:rsid w:val="007B4A8B"/>
    <w:rsid w:val="007B4A96"/>
    <w:rsid w:val="007B4A9F"/>
    <w:rsid w:val="007B4E28"/>
    <w:rsid w:val="007B4FC9"/>
    <w:rsid w:val="007B501D"/>
    <w:rsid w:val="007B5256"/>
    <w:rsid w:val="007B53A6"/>
    <w:rsid w:val="007B552F"/>
    <w:rsid w:val="007B585F"/>
    <w:rsid w:val="007B596F"/>
    <w:rsid w:val="007B59F4"/>
    <w:rsid w:val="007B5B9F"/>
    <w:rsid w:val="007B5C18"/>
    <w:rsid w:val="007B5DF2"/>
    <w:rsid w:val="007B5DF4"/>
    <w:rsid w:val="007B623B"/>
    <w:rsid w:val="007B6373"/>
    <w:rsid w:val="007B64F9"/>
    <w:rsid w:val="007B66D0"/>
    <w:rsid w:val="007B685A"/>
    <w:rsid w:val="007B6A1D"/>
    <w:rsid w:val="007B6DA7"/>
    <w:rsid w:val="007B6DDE"/>
    <w:rsid w:val="007B70F5"/>
    <w:rsid w:val="007B711B"/>
    <w:rsid w:val="007B71D5"/>
    <w:rsid w:val="007B74EB"/>
    <w:rsid w:val="007B77F1"/>
    <w:rsid w:val="007B7879"/>
    <w:rsid w:val="007B7BF1"/>
    <w:rsid w:val="007B7CF9"/>
    <w:rsid w:val="007B7F5C"/>
    <w:rsid w:val="007C00B4"/>
    <w:rsid w:val="007C01C7"/>
    <w:rsid w:val="007C01FA"/>
    <w:rsid w:val="007C0251"/>
    <w:rsid w:val="007C041F"/>
    <w:rsid w:val="007C0972"/>
    <w:rsid w:val="007C0C9F"/>
    <w:rsid w:val="007C0D95"/>
    <w:rsid w:val="007C0E5B"/>
    <w:rsid w:val="007C0F35"/>
    <w:rsid w:val="007C103C"/>
    <w:rsid w:val="007C114E"/>
    <w:rsid w:val="007C1167"/>
    <w:rsid w:val="007C121E"/>
    <w:rsid w:val="007C1443"/>
    <w:rsid w:val="007C1518"/>
    <w:rsid w:val="007C15E3"/>
    <w:rsid w:val="007C1636"/>
    <w:rsid w:val="007C16A9"/>
    <w:rsid w:val="007C16E1"/>
    <w:rsid w:val="007C179A"/>
    <w:rsid w:val="007C1BF3"/>
    <w:rsid w:val="007C1C75"/>
    <w:rsid w:val="007C1CD0"/>
    <w:rsid w:val="007C1E39"/>
    <w:rsid w:val="007C1FD9"/>
    <w:rsid w:val="007C21A3"/>
    <w:rsid w:val="007C21FD"/>
    <w:rsid w:val="007C22CA"/>
    <w:rsid w:val="007C24BE"/>
    <w:rsid w:val="007C25D7"/>
    <w:rsid w:val="007C2661"/>
    <w:rsid w:val="007C27B2"/>
    <w:rsid w:val="007C29C1"/>
    <w:rsid w:val="007C2A8B"/>
    <w:rsid w:val="007C2B80"/>
    <w:rsid w:val="007C2CDA"/>
    <w:rsid w:val="007C2DFD"/>
    <w:rsid w:val="007C330B"/>
    <w:rsid w:val="007C331F"/>
    <w:rsid w:val="007C3344"/>
    <w:rsid w:val="007C355F"/>
    <w:rsid w:val="007C3642"/>
    <w:rsid w:val="007C3646"/>
    <w:rsid w:val="007C3679"/>
    <w:rsid w:val="007C38DD"/>
    <w:rsid w:val="007C39B4"/>
    <w:rsid w:val="007C3B5A"/>
    <w:rsid w:val="007C3B8F"/>
    <w:rsid w:val="007C3BE7"/>
    <w:rsid w:val="007C3C67"/>
    <w:rsid w:val="007C3CE7"/>
    <w:rsid w:val="007C3F2A"/>
    <w:rsid w:val="007C411F"/>
    <w:rsid w:val="007C423A"/>
    <w:rsid w:val="007C43FA"/>
    <w:rsid w:val="007C452B"/>
    <w:rsid w:val="007C4624"/>
    <w:rsid w:val="007C4754"/>
    <w:rsid w:val="007C4835"/>
    <w:rsid w:val="007C48AB"/>
    <w:rsid w:val="007C49B8"/>
    <w:rsid w:val="007C4B38"/>
    <w:rsid w:val="007C4FFB"/>
    <w:rsid w:val="007C5212"/>
    <w:rsid w:val="007C523A"/>
    <w:rsid w:val="007C52F2"/>
    <w:rsid w:val="007C5350"/>
    <w:rsid w:val="007C55A1"/>
    <w:rsid w:val="007C55CD"/>
    <w:rsid w:val="007C55F1"/>
    <w:rsid w:val="007C5662"/>
    <w:rsid w:val="007C56CB"/>
    <w:rsid w:val="007C56DF"/>
    <w:rsid w:val="007C5749"/>
    <w:rsid w:val="007C58E7"/>
    <w:rsid w:val="007C59B3"/>
    <w:rsid w:val="007C5EF4"/>
    <w:rsid w:val="007C6091"/>
    <w:rsid w:val="007C6135"/>
    <w:rsid w:val="007C6199"/>
    <w:rsid w:val="007C6239"/>
    <w:rsid w:val="007C6314"/>
    <w:rsid w:val="007C6348"/>
    <w:rsid w:val="007C646D"/>
    <w:rsid w:val="007C65D2"/>
    <w:rsid w:val="007C6687"/>
    <w:rsid w:val="007C6744"/>
    <w:rsid w:val="007C6750"/>
    <w:rsid w:val="007C6B2D"/>
    <w:rsid w:val="007C6C56"/>
    <w:rsid w:val="007C6D6D"/>
    <w:rsid w:val="007C6D80"/>
    <w:rsid w:val="007C6E45"/>
    <w:rsid w:val="007C6FC5"/>
    <w:rsid w:val="007C719E"/>
    <w:rsid w:val="007C72EE"/>
    <w:rsid w:val="007C7564"/>
    <w:rsid w:val="007C79BB"/>
    <w:rsid w:val="007C7B1D"/>
    <w:rsid w:val="007C7ECA"/>
    <w:rsid w:val="007D00DA"/>
    <w:rsid w:val="007D01CF"/>
    <w:rsid w:val="007D0288"/>
    <w:rsid w:val="007D0346"/>
    <w:rsid w:val="007D03D8"/>
    <w:rsid w:val="007D046E"/>
    <w:rsid w:val="007D0866"/>
    <w:rsid w:val="007D08F0"/>
    <w:rsid w:val="007D098E"/>
    <w:rsid w:val="007D0A5E"/>
    <w:rsid w:val="007D0B21"/>
    <w:rsid w:val="007D0B56"/>
    <w:rsid w:val="007D0DB3"/>
    <w:rsid w:val="007D0E16"/>
    <w:rsid w:val="007D0ED8"/>
    <w:rsid w:val="007D0F45"/>
    <w:rsid w:val="007D0FDE"/>
    <w:rsid w:val="007D1011"/>
    <w:rsid w:val="007D13B4"/>
    <w:rsid w:val="007D14A1"/>
    <w:rsid w:val="007D1607"/>
    <w:rsid w:val="007D17F4"/>
    <w:rsid w:val="007D1867"/>
    <w:rsid w:val="007D19A8"/>
    <w:rsid w:val="007D1A6E"/>
    <w:rsid w:val="007D1B99"/>
    <w:rsid w:val="007D1C58"/>
    <w:rsid w:val="007D1C6C"/>
    <w:rsid w:val="007D1CF5"/>
    <w:rsid w:val="007D1F80"/>
    <w:rsid w:val="007D2021"/>
    <w:rsid w:val="007D2042"/>
    <w:rsid w:val="007D206C"/>
    <w:rsid w:val="007D20AE"/>
    <w:rsid w:val="007D221B"/>
    <w:rsid w:val="007D2269"/>
    <w:rsid w:val="007D234A"/>
    <w:rsid w:val="007D2543"/>
    <w:rsid w:val="007D25FF"/>
    <w:rsid w:val="007D2906"/>
    <w:rsid w:val="007D2970"/>
    <w:rsid w:val="007D2A55"/>
    <w:rsid w:val="007D2B0D"/>
    <w:rsid w:val="007D2B42"/>
    <w:rsid w:val="007D2BB4"/>
    <w:rsid w:val="007D2BE4"/>
    <w:rsid w:val="007D2C27"/>
    <w:rsid w:val="007D2E49"/>
    <w:rsid w:val="007D2EE9"/>
    <w:rsid w:val="007D30BA"/>
    <w:rsid w:val="007D347F"/>
    <w:rsid w:val="007D3515"/>
    <w:rsid w:val="007D358F"/>
    <w:rsid w:val="007D3630"/>
    <w:rsid w:val="007D38CA"/>
    <w:rsid w:val="007D393F"/>
    <w:rsid w:val="007D3C47"/>
    <w:rsid w:val="007D3D44"/>
    <w:rsid w:val="007D3D82"/>
    <w:rsid w:val="007D3E9B"/>
    <w:rsid w:val="007D4359"/>
    <w:rsid w:val="007D4381"/>
    <w:rsid w:val="007D453D"/>
    <w:rsid w:val="007D4575"/>
    <w:rsid w:val="007D459B"/>
    <w:rsid w:val="007D4668"/>
    <w:rsid w:val="007D482C"/>
    <w:rsid w:val="007D489E"/>
    <w:rsid w:val="007D48A5"/>
    <w:rsid w:val="007D48E7"/>
    <w:rsid w:val="007D49BA"/>
    <w:rsid w:val="007D4B07"/>
    <w:rsid w:val="007D4C6C"/>
    <w:rsid w:val="007D4C6E"/>
    <w:rsid w:val="007D4CE7"/>
    <w:rsid w:val="007D4EA2"/>
    <w:rsid w:val="007D5257"/>
    <w:rsid w:val="007D5384"/>
    <w:rsid w:val="007D55F2"/>
    <w:rsid w:val="007D58F5"/>
    <w:rsid w:val="007D5933"/>
    <w:rsid w:val="007D59B8"/>
    <w:rsid w:val="007D5A5A"/>
    <w:rsid w:val="007D5BED"/>
    <w:rsid w:val="007D5D7F"/>
    <w:rsid w:val="007D5E8B"/>
    <w:rsid w:val="007D5FDF"/>
    <w:rsid w:val="007D607E"/>
    <w:rsid w:val="007D60AD"/>
    <w:rsid w:val="007D6170"/>
    <w:rsid w:val="007D64AF"/>
    <w:rsid w:val="007D662B"/>
    <w:rsid w:val="007D6841"/>
    <w:rsid w:val="007D68C3"/>
    <w:rsid w:val="007D6967"/>
    <w:rsid w:val="007D6A82"/>
    <w:rsid w:val="007D6B9D"/>
    <w:rsid w:val="007D6CB6"/>
    <w:rsid w:val="007D6D42"/>
    <w:rsid w:val="007D6E92"/>
    <w:rsid w:val="007D6F36"/>
    <w:rsid w:val="007D724F"/>
    <w:rsid w:val="007D7506"/>
    <w:rsid w:val="007D7509"/>
    <w:rsid w:val="007D7708"/>
    <w:rsid w:val="007D78C7"/>
    <w:rsid w:val="007D796E"/>
    <w:rsid w:val="007D7D4B"/>
    <w:rsid w:val="007E003C"/>
    <w:rsid w:val="007E017A"/>
    <w:rsid w:val="007E01BE"/>
    <w:rsid w:val="007E0225"/>
    <w:rsid w:val="007E02A9"/>
    <w:rsid w:val="007E02F0"/>
    <w:rsid w:val="007E03CA"/>
    <w:rsid w:val="007E0453"/>
    <w:rsid w:val="007E04EA"/>
    <w:rsid w:val="007E06C0"/>
    <w:rsid w:val="007E07CF"/>
    <w:rsid w:val="007E0CE7"/>
    <w:rsid w:val="007E0CFD"/>
    <w:rsid w:val="007E0D8F"/>
    <w:rsid w:val="007E0F00"/>
    <w:rsid w:val="007E0F7D"/>
    <w:rsid w:val="007E0F84"/>
    <w:rsid w:val="007E0FBC"/>
    <w:rsid w:val="007E1173"/>
    <w:rsid w:val="007E1379"/>
    <w:rsid w:val="007E13F6"/>
    <w:rsid w:val="007E14ED"/>
    <w:rsid w:val="007E17D4"/>
    <w:rsid w:val="007E1AEE"/>
    <w:rsid w:val="007E222B"/>
    <w:rsid w:val="007E2476"/>
    <w:rsid w:val="007E24F1"/>
    <w:rsid w:val="007E263F"/>
    <w:rsid w:val="007E28A8"/>
    <w:rsid w:val="007E2901"/>
    <w:rsid w:val="007E29B8"/>
    <w:rsid w:val="007E29E3"/>
    <w:rsid w:val="007E2AAF"/>
    <w:rsid w:val="007E2AB1"/>
    <w:rsid w:val="007E2AD1"/>
    <w:rsid w:val="007E2AF4"/>
    <w:rsid w:val="007E2CB5"/>
    <w:rsid w:val="007E2D04"/>
    <w:rsid w:val="007E2E35"/>
    <w:rsid w:val="007E2F03"/>
    <w:rsid w:val="007E3115"/>
    <w:rsid w:val="007E311A"/>
    <w:rsid w:val="007E3131"/>
    <w:rsid w:val="007E3303"/>
    <w:rsid w:val="007E34CE"/>
    <w:rsid w:val="007E3641"/>
    <w:rsid w:val="007E36B7"/>
    <w:rsid w:val="007E37AE"/>
    <w:rsid w:val="007E3826"/>
    <w:rsid w:val="007E3BD1"/>
    <w:rsid w:val="007E3D57"/>
    <w:rsid w:val="007E3DD0"/>
    <w:rsid w:val="007E40CA"/>
    <w:rsid w:val="007E418E"/>
    <w:rsid w:val="007E45FC"/>
    <w:rsid w:val="007E463B"/>
    <w:rsid w:val="007E4858"/>
    <w:rsid w:val="007E492E"/>
    <w:rsid w:val="007E4960"/>
    <w:rsid w:val="007E4B81"/>
    <w:rsid w:val="007E4C90"/>
    <w:rsid w:val="007E51DB"/>
    <w:rsid w:val="007E5404"/>
    <w:rsid w:val="007E544C"/>
    <w:rsid w:val="007E5709"/>
    <w:rsid w:val="007E58B6"/>
    <w:rsid w:val="007E5B6C"/>
    <w:rsid w:val="007E5B9E"/>
    <w:rsid w:val="007E5C6C"/>
    <w:rsid w:val="007E5CC4"/>
    <w:rsid w:val="007E5DE9"/>
    <w:rsid w:val="007E5F37"/>
    <w:rsid w:val="007E5F41"/>
    <w:rsid w:val="007E6024"/>
    <w:rsid w:val="007E6664"/>
    <w:rsid w:val="007E669D"/>
    <w:rsid w:val="007E66E4"/>
    <w:rsid w:val="007E69A0"/>
    <w:rsid w:val="007E6BA2"/>
    <w:rsid w:val="007E6C12"/>
    <w:rsid w:val="007E6DB5"/>
    <w:rsid w:val="007E6DD0"/>
    <w:rsid w:val="007E6E0A"/>
    <w:rsid w:val="007E6FAC"/>
    <w:rsid w:val="007E7013"/>
    <w:rsid w:val="007E70AB"/>
    <w:rsid w:val="007E71DF"/>
    <w:rsid w:val="007E7336"/>
    <w:rsid w:val="007E73FC"/>
    <w:rsid w:val="007E76B6"/>
    <w:rsid w:val="007E7706"/>
    <w:rsid w:val="007E774C"/>
    <w:rsid w:val="007E77A5"/>
    <w:rsid w:val="007E77D0"/>
    <w:rsid w:val="007E7CCD"/>
    <w:rsid w:val="007E7EF2"/>
    <w:rsid w:val="007F0183"/>
    <w:rsid w:val="007F0379"/>
    <w:rsid w:val="007F0506"/>
    <w:rsid w:val="007F0976"/>
    <w:rsid w:val="007F0ACF"/>
    <w:rsid w:val="007F0BE1"/>
    <w:rsid w:val="007F0CF7"/>
    <w:rsid w:val="007F0EFD"/>
    <w:rsid w:val="007F0FB1"/>
    <w:rsid w:val="007F107A"/>
    <w:rsid w:val="007F1632"/>
    <w:rsid w:val="007F1B36"/>
    <w:rsid w:val="007F1B68"/>
    <w:rsid w:val="007F1DFC"/>
    <w:rsid w:val="007F1F29"/>
    <w:rsid w:val="007F2004"/>
    <w:rsid w:val="007F2015"/>
    <w:rsid w:val="007F2101"/>
    <w:rsid w:val="007F24B9"/>
    <w:rsid w:val="007F24D9"/>
    <w:rsid w:val="007F2532"/>
    <w:rsid w:val="007F294E"/>
    <w:rsid w:val="007F2CAC"/>
    <w:rsid w:val="007F2D3B"/>
    <w:rsid w:val="007F2E42"/>
    <w:rsid w:val="007F2ECD"/>
    <w:rsid w:val="007F2F54"/>
    <w:rsid w:val="007F3099"/>
    <w:rsid w:val="007F31BB"/>
    <w:rsid w:val="007F33AC"/>
    <w:rsid w:val="007F3476"/>
    <w:rsid w:val="007F3762"/>
    <w:rsid w:val="007F3AAD"/>
    <w:rsid w:val="007F3B49"/>
    <w:rsid w:val="007F3E7B"/>
    <w:rsid w:val="007F3F82"/>
    <w:rsid w:val="007F42E8"/>
    <w:rsid w:val="007F4334"/>
    <w:rsid w:val="007F4390"/>
    <w:rsid w:val="007F4468"/>
    <w:rsid w:val="007F4528"/>
    <w:rsid w:val="007F47D2"/>
    <w:rsid w:val="007F4937"/>
    <w:rsid w:val="007F4A57"/>
    <w:rsid w:val="007F4B05"/>
    <w:rsid w:val="007F4B49"/>
    <w:rsid w:val="007F4B91"/>
    <w:rsid w:val="007F4B99"/>
    <w:rsid w:val="007F4B9B"/>
    <w:rsid w:val="007F4E6D"/>
    <w:rsid w:val="007F50A3"/>
    <w:rsid w:val="007F5150"/>
    <w:rsid w:val="007F527D"/>
    <w:rsid w:val="007F5286"/>
    <w:rsid w:val="007F535D"/>
    <w:rsid w:val="007F545E"/>
    <w:rsid w:val="007F54AA"/>
    <w:rsid w:val="007F54DD"/>
    <w:rsid w:val="007F559F"/>
    <w:rsid w:val="007F55FC"/>
    <w:rsid w:val="007F568E"/>
    <w:rsid w:val="007F56DD"/>
    <w:rsid w:val="007F582F"/>
    <w:rsid w:val="007F5983"/>
    <w:rsid w:val="007F5A7C"/>
    <w:rsid w:val="007F5BEB"/>
    <w:rsid w:val="007F5CBA"/>
    <w:rsid w:val="007F5D4E"/>
    <w:rsid w:val="007F5D53"/>
    <w:rsid w:val="007F5DC7"/>
    <w:rsid w:val="007F5E55"/>
    <w:rsid w:val="007F5F8E"/>
    <w:rsid w:val="007F608B"/>
    <w:rsid w:val="007F61FB"/>
    <w:rsid w:val="007F6263"/>
    <w:rsid w:val="007F657A"/>
    <w:rsid w:val="007F6783"/>
    <w:rsid w:val="007F688C"/>
    <w:rsid w:val="007F6F4C"/>
    <w:rsid w:val="007F7500"/>
    <w:rsid w:val="007F7507"/>
    <w:rsid w:val="007F77A2"/>
    <w:rsid w:val="007F78CF"/>
    <w:rsid w:val="007F7AFF"/>
    <w:rsid w:val="007F7DE5"/>
    <w:rsid w:val="007F7EFD"/>
    <w:rsid w:val="00800297"/>
    <w:rsid w:val="008002F7"/>
    <w:rsid w:val="0080046E"/>
    <w:rsid w:val="008005E4"/>
    <w:rsid w:val="008005F5"/>
    <w:rsid w:val="00800615"/>
    <w:rsid w:val="0080073C"/>
    <w:rsid w:val="008007B3"/>
    <w:rsid w:val="008007F5"/>
    <w:rsid w:val="00800931"/>
    <w:rsid w:val="008009C1"/>
    <w:rsid w:val="00800A77"/>
    <w:rsid w:val="00800CBF"/>
    <w:rsid w:val="00800DD8"/>
    <w:rsid w:val="00800E5A"/>
    <w:rsid w:val="00800EA4"/>
    <w:rsid w:val="00800EB8"/>
    <w:rsid w:val="00801328"/>
    <w:rsid w:val="00801390"/>
    <w:rsid w:val="0080147D"/>
    <w:rsid w:val="008015E6"/>
    <w:rsid w:val="0080187C"/>
    <w:rsid w:val="008018EF"/>
    <w:rsid w:val="008019A3"/>
    <w:rsid w:val="00801B87"/>
    <w:rsid w:val="00801D2D"/>
    <w:rsid w:val="00801E9C"/>
    <w:rsid w:val="00801F79"/>
    <w:rsid w:val="00802021"/>
    <w:rsid w:val="00802045"/>
    <w:rsid w:val="0080233A"/>
    <w:rsid w:val="00802448"/>
    <w:rsid w:val="00802481"/>
    <w:rsid w:val="008025BE"/>
    <w:rsid w:val="00802967"/>
    <w:rsid w:val="00802A12"/>
    <w:rsid w:val="00802A19"/>
    <w:rsid w:val="00802B3D"/>
    <w:rsid w:val="00802DA1"/>
    <w:rsid w:val="00802DEB"/>
    <w:rsid w:val="00802E0C"/>
    <w:rsid w:val="00802F2F"/>
    <w:rsid w:val="00802FD3"/>
    <w:rsid w:val="00802FE3"/>
    <w:rsid w:val="00803245"/>
    <w:rsid w:val="008032CC"/>
    <w:rsid w:val="00803346"/>
    <w:rsid w:val="00803352"/>
    <w:rsid w:val="008033C7"/>
    <w:rsid w:val="00803425"/>
    <w:rsid w:val="00803488"/>
    <w:rsid w:val="0080386C"/>
    <w:rsid w:val="008038F5"/>
    <w:rsid w:val="00803A90"/>
    <w:rsid w:val="00803BDC"/>
    <w:rsid w:val="00803FAC"/>
    <w:rsid w:val="0080441F"/>
    <w:rsid w:val="008044AB"/>
    <w:rsid w:val="008044B9"/>
    <w:rsid w:val="00804681"/>
    <w:rsid w:val="00804683"/>
    <w:rsid w:val="008048A3"/>
    <w:rsid w:val="00804908"/>
    <w:rsid w:val="00804A99"/>
    <w:rsid w:val="00804BC6"/>
    <w:rsid w:val="00804BF5"/>
    <w:rsid w:val="00804E68"/>
    <w:rsid w:val="00804E8D"/>
    <w:rsid w:val="00804F9B"/>
    <w:rsid w:val="0080507E"/>
    <w:rsid w:val="0080512D"/>
    <w:rsid w:val="0080517C"/>
    <w:rsid w:val="008052DB"/>
    <w:rsid w:val="008056BE"/>
    <w:rsid w:val="008057C9"/>
    <w:rsid w:val="00805803"/>
    <w:rsid w:val="00805813"/>
    <w:rsid w:val="00805860"/>
    <w:rsid w:val="00805A32"/>
    <w:rsid w:val="00805B08"/>
    <w:rsid w:val="00805BE5"/>
    <w:rsid w:val="00805D49"/>
    <w:rsid w:val="00805F11"/>
    <w:rsid w:val="00806489"/>
    <w:rsid w:val="008064A0"/>
    <w:rsid w:val="008064AA"/>
    <w:rsid w:val="008064E7"/>
    <w:rsid w:val="008064ED"/>
    <w:rsid w:val="00806683"/>
    <w:rsid w:val="008068C4"/>
    <w:rsid w:val="00806BB0"/>
    <w:rsid w:val="00806C05"/>
    <w:rsid w:val="00806E8E"/>
    <w:rsid w:val="00806FDE"/>
    <w:rsid w:val="00806FE6"/>
    <w:rsid w:val="00807058"/>
    <w:rsid w:val="00807108"/>
    <w:rsid w:val="00807241"/>
    <w:rsid w:val="00807330"/>
    <w:rsid w:val="008073A0"/>
    <w:rsid w:val="00807426"/>
    <w:rsid w:val="00807465"/>
    <w:rsid w:val="00807500"/>
    <w:rsid w:val="00807519"/>
    <w:rsid w:val="00807986"/>
    <w:rsid w:val="00807C9D"/>
    <w:rsid w:val="00807F43"/>
    <w:rsid w:val="00807F6D"/>
    <w:rsid w:val="00810095"/>
    <w:rsid w:val="00810386"/>
    <w:rsid w:val="008103C5"/>
    <w:rsid w:val="008103F6"/>
    <w:rsid w:val="0081040B"/>
    <w:rsid w:val="008104AE"/>
    <w:rsid w:val="0081058F"/>
    <w:rsid w:val="00810656"/>
    <w:rsid w:val="00810790"/>
    <w:rsid w:val="00810BF2"/>
    <w:rsid w:val="00810DCC"/>
    <w:rsid w:val="00810FE4"/>
    <w:rsid w:val="008115B2"/>
    <w:rsid w:val="0081179C"/>
    <w:rsid w:val="00811801"/>
    <w:rsid w:val="00811901"/>
    <w:rsid w:val="00811994"/>
    <w:rsid w:val="00811A1F"/>
    <w:rsid w:val="00812766"/>
    <w:rsid w:val="008127AE"/>
    <w:rsid w:val="0081284E"/>
    <w:rsid w:val="00812876"/>
    <w:rsid w:val="0081295E"/>
    <w:rsid w:val="00812B7E"/>
    <w:rsid w:val="00812D92"/>
    <w:rsid w:val="00812DF7"/>
    <w:rsid w:val="00812E0A"/>
    <w:rsid w:val="00812F37"/>
    <w:rsid w:val="00812F3A"/>
    <w:rsid w:val="00813073"/>
    <w:rsid w:val="00813096"/>
    <w:rsid w:val="00813333"/>
    <w:rsid w:val="0081353C"/>
    <w:rsid w:val="0081365A"/>
    <w:rsid w:val="00813679"/>
    <w:rsid w:val="00813767"/>
    <w:rsid w:val="008137B9"/>
    <w:rsid w:val="008138C5"/>
    <w:rsid w:val="00813987"/>
    <w:rsid w:val="008139F5"/>
    <w:rsid w:val="00813B1F"/>
    <w:rsid w:val="00813B59"/>
    <w:rsid w:val="00813D8E"/>
    <w:rsid w:val="00813DF5"/>
    <w:rsid w:val="00813EB8"/>
    <w:rsid w:val="00813ECE"/>
    <w:rsid w:val="008149AA"/>
    <w:rsid w:val="00814B0A"/>
    <w:rsid w:val="00814DCC"/>
    <w:rsid w:val="00814E4A"/>
    <w:rsid w:val="00814EA6"/>
    <w:rsid w:val="00814F67"/>
    <w:rsid w:val="00814F86"/>
    <w:rsid w:val="00814FC1"/>
    <w:rsid w:val="00815007"/>
    <w:rsid w:val="00815013"/>
    <w:rsid w:val="00815054"/>
    <w:rsid w:val="00815140"/>
    <w:rsid w:val="008155B0"/>
    <w:rsid w:val="00815712"/>
    <w:rsid w:val="00815889"/>
    <w:rsid w:val="008158CF"/>
    <w:rsid w:val="00815985"/>
    <w:rsid w:val="00815A51"/>
    <w:rsid w:val="00815B11"/>
    <w:rsid w:val="00815B4F"/>
    <w:rsid w:val="00815CEF"/>
    <w:rsid w:val="00815DF6"/>
    <w:rsid w:val="00815E3C"/>
    <w:rsid w:val="00815E9E"/>
    <w:rsid w:val="0081601D"/>
    <w:rsid w:val="00816098"/>
    <w:rsid w:val="008163D4"/>
    <w:rsid w:val="008163EE"/>
    <w:rsid w:val="0081640B"/>
    <w:rsid w:val="00816687"/>
    <w:rsid w:val="0081668A"/>
    <w:rsid w:val="00816738"/>
    <w:rsid w:val="008167D0"/>
    <w:rsid w:val="00816B58"/>
    <w:rsid w:val="00816BAD"/>
    <w:rsid w:val="00816C3D"/>
    <w:rsid w:val="00816E99"/>
    <w:rsid w:val="00816ED7"/>
    <w:rsid w:val="00816FAD"/>
    <w:rsid w:val="00817148"/>
    <w:rsid w:val="0081729F"/>
    <w:rsid w:val="00817421"/>
    <w:rsid w:val="00817612"/>
    <w:rsid w:val="0081766E"/>
    <w:rsid w:val="00817782"/>
    <w:rsid w:val="008177D2"/>
    <w:rsid w:val="008177DF"/>
    <w:rsid w:val="008179A2"/>
    <w:rsid w:val="00817DEA"/>
    <w:rsid w:val="00817E33"/>
    <w:rsid w:val="008201A7"/>
    <w:rsid w:val="008203A9"/>
    <w:rsid w:val="008205DC"/>
    <w:rsid w:val="00820742"/>
    <w:rsid w:val="008208F7"/>
    <w:rsid w:val="00820D64"/>
    <w:rsid w:val="00820F5D"/>
    <w:rsid w:val="0082103B"/>
    <w:rsid w:val="0082119B"/>
    <w:rsid w:val="008211CE"/>
    <w:rsid w:val="0082128F"/>
    <w:rsid w:val="00821324"/>
    <w:rsid w:val="008214D7"/>
    <w:rsid w:val="0082152E"/>
    <w:rsid w:val="0082164A"/>
    <w:rsid w:val="008216FA"/>
    <w:rsid w:val="0082178C"/>
    <w:rsid w:val="0082186F"/>
    <w:rsid w:val="008218AD"/>
    <w:rsid w:val="0082191E"/>
    <w:rsid w:val="00821AD0"/>
    <w:rsid w:val="00821BBF"/>
    <w:rsid w:val="00821CB6"/>
    <w:rsid w:val="00821CD3"/>
    <w:rsid w:val="00821EB5"/>
    <w:rsid w:val="0082205D"/>
    <w:rsid w:val="008220C7"/>
    <w:rsid w:val="008222BE"/>
    <w:rsid w:val="00822359"/>
    <w:rsid w:val="0082289C"/>
    <w:rsid w:val="00822B8F"/>
    <w:rsid w:val="00822D4D"/>
    <w:rsid w:val="008230D9"/>
    <w:rsid w:val="008235BC"/>
    <w:rsid w:val="008238A0"/>
    <w:rsid w:val="00823925"/>
    <w:rsid w:val="00823A98"/>
    <w:rsid w:val="00823AB9"/>
    <w:rsid w:val="00823CA7"/>
    <w:rsid w:val="00823D70"/>
    <w:rsid w:val="00823DB9"/>
    <w:rsid w:val="00823F44"/>
    <w:rsid w:val="008240C2"/>
    <w:rsid w:val="008243E9"/>
    <w:rsid w:val="0082452D"/>
    <w:rsid w:val="0082455A"/>
    <w:rsid w:val="00824589"/>
    <w:rsid w:val="008245D0"/>
    <w:rsid w:val="0082467E"/>
    <w:rsid w:val="0082472D"/>
    <w:rsid w:val="00824789"/>
    <w:rsid w:val="008248C4"/>
    <w:rsid w:val="008251E9"/>
    <w:rsid w:val="0082559D"/>
    <w:rsid w:val="00825663"/>
    <w:rsid w:val="0082591B"/>
    <w:rsid w:val="00825F38"/>
    <w:rsid w:val="0082610A"/>
    <w:rsid w:val="008263F6"/>
    <w:rsid w:val="00826402"/>
    <w:rsid w:val="00826525"/>
    <w:rsid w:val="00826606"/>
    <w:rsid w:val="0082670C"/>
    <w:rsid w:val="0082678C"/>
    <w:rsid w:val="00826A96"/>
    <w:rsid w:val="00826CF3"/>
    <w:rsid w:val="00826D1E"/>
    <w:rsid w:val="0082701F"/>
    <w:rsid w:val="008270BD"/>
    <w:rsid w:val="00827264"/>
    <w:rsid w:val="008272BE"/>
    <w:rsid w:val="008272CD"/>
    <w:rsid w:val="008273BD"/>
    <w:rsid w:val="00827415"/>
    <w:rsid w:val="008277AB"/>
    <w:rsid w:val="00827945"/>
    <w:rsid w:val="00827A5C"/>
    <w:rsid w:val="00827B92"/>
    <w:rsid w:val="00827D27"/>
    <w:rsid w:val="00830042"/>
    <w:rsid w:val="008303F7"/>
    <w:rsid w:val="00830663"/>
    <w:rsid w:val="008306D2"/>
    <w:rsid w:val="0083077E"/>
    <w:rsid w:val="00830A61"/>
    <w:rsid w:val="00830DB0"/>
    <w:rsid w:val="00830DEE"/>
    <w:rsid w:val="00830E57"/>
    <w:rsid w:val="00831057"/>
    <w:rsid w:val="0083109B"/>
    <w:rsid w:val="008312E3"/>
    <w:rsid w:val="00831356"/>
    <w:rsid w:val="00831629"/>
    <w:rsid w:val="00831956"/>
    <w:rsid w:val="00831B2E"/>
    <w:rsid w:val="00831BA7"/>
    <w:rsid w:val="00831BD3"/>
    <w:rsid w:val="00831D84"/>
    <w:rsid w:val="00831D8C"/>
    <w:rsid w:val="0083204A"/>
    <w:rsid w:val="0083211A"/>
    <w:rsid w:val="008322B4"/>
    <w:rsid w:val="00832616"/>
    <w:rsid w:val="0083269D"/>
    <w:rsid w:val="008326E8"/>
    <w:rsid w:val="008327D9"/>
    <w:rsid w:val="00832AF9"/>
    <w:rsid w:val="00833138"/>
    <w:rsid w:val="00833174"/>
    <w:rsid w:val="0083318E"/>
    <w:rsid w:val="008331C5"/>
    <w:rsid w:val="0083388B"/>
    <w:rsid w:val="00833950"/>
    <w:rsid w:val="00833B3D"/>
    <w:rsid w:val="00833BC6"/>
    <w:rsid w:val="00833D49"/>
    <w:rsid w:val="00833DA2"/>
    <w:rsid w:val="00833DD8"/>
    <w:rsid w:val="00833FA5"/>
    <w:rsid w:val="00833FBB"/>
    <w:rsid w:val="0083403E"/>
    <w:rsid w:val="00834157"/>
    <w:rsid w:val="008342B5"/>
    <w:rsid w:val="00834464"/>
    <w:rsid w:val="00834539"/>
    <w:rsid w:val="008347B6"/>
    <w:rsid w:val="008348F9"/>
    <w:rsid w:val="00834A55"/>
    <w:rsid w:val="00834B41"/>
    <w:rsid w:val="00834BCF"/>
    <w:rsid w:val="00834BD7"/>
    <w:rsid w:val="00834C9B"/>
    <w:rsid w:val="008350CB"/>
    <w:rsid w:val="008350E5"/>
    <w:rsid w:val="00835110"/>
    <w:rsid w:val="0083512A"/>
    <w:rsid w:val="008351D0"/>
    <w:rsid w:val="008352C2"/>
    <w:rsid w:val="008353BE"/>
    <w:rsid w:val="00835527"/>
    <w:rsid w:val="0083555A"/>
    <w:rsid w:val="0083563A"/>
    <w:rsid w:val="00835854"/>
    <w:rsid w:val="008358A4"/>
    <w:rsid w:val="00835A5D"/>
    <w:rsid w:val="00835BFC"/>
    <w:rsid w:val="00835C2D"/>
    <w:rsid w:val="00835C74"/>
    <w:rsid w:val="00835D5E"/>
    <w:rsid w:val="00835DC7"/>
    <w:rsid w:val="00835E25"/>
    <w:rsid w:val="00835F91"/>
    <w:rsid w:val="00835FB4"/>
    <w:rsid w:val="00836512"/>
    <w:rsid w:val="0083725E"/>
    <w:rsid w:val="00837398"/>
    <w:rsid w:val="008374AD"/>
    <w:rsid w:val="008374DD"/>
    <w:rsid w:val="00837651"/>
    <w:rsid w:val="00837944"/>
    <w:rsid w:val="00837C69"/>
    <w:rsid w:val="00837CBD"/>
    <w:rsid w:val="00837D0A"/>
    <w:rsid w:val="008400F2"/>
    <w:rsid w:val="008405F4"/>
    <w:rsid w:val="008406AF"/>
    <w:rsid w:val="00840762"/>
    <w:rsid w:val="00840844"/>
    <w:rsid w:val="00840861"/>
    <w:rsid w:val="00840952"/>
    <w:rsid w:val="00840BC4"/>
    <w:rsid w:val="00840CEB"/>
    <w:rsid w:val="00840FF4"/>
    <w:rsid w:val="0084131C"/>
    <w:rsid w:val="00841815"/>
    <w:rsid w:val="008418EB"/>
    <w:rsid w:val="00841B46"/>
    <w:rsid w:val="00841D3F"/>
    <w:rsid w:val="00842058"/>
    <w:rsid w:val="0084227C"/>
    <w:rsid w:val="008422DE"/>
    <w:rsid w:val="0084232C"/>
    <w:rsid w:val="008423ED"/>
    <w:rsid w:val="00842493"/>
    <w:rsid w:val="008424D1"/>
    <w:rsid w:val="008425FC"/>
    <w:rsid w:val="00842694"/>
    <w:rsid w:val="0084287C"/>
    <w:rsid w:val="00842929"/>
    <w:rsid w:val="00842AE9"/>
    <w:rsid w:val="00842B8D"/>
    <w:rsid w:val="00842DBC"/>
    <w:rsid w:val="00842E24"/>
    <w:rsid w:val="00842E51"/>
    <w:rsid w:val="00842E7E"/>
    <w:rsid w:val="00842F1C"/>
    <w:rsid w:val="00843047"/>
    <w:rsid w:val="008433F5"/>
    <w:rsid w:val="00843488"/>
    <w:rsid w:val="00843535"/>
    <w:rsid w:val="00843635"/>
    <w:rsid w:val="00843732"/>
    <w:rsid w:val="008437C7"/>
    <w:rsid w:val="00843897"/>
    <w:rsid w:val="008438D9"/>
    <w:rsid w:val="00843930"/>
    <w:rsid w:val="0084394D"/>
    <w:rsid w:val="00843962"/>
    <w:rsid w:val="00843996"/>
    <w:rsid w:val="00843AA5"/>
    <w:rsid w:val="00843BCA"/>
    <w:rsid w:val="00843C66"/>
    <w:rsid w:val="00843C6E"/>
    <w:rsid w:val="00843C7A"/>
    <w:rsid w:val="00843D9C"/>
    <w:rsid w:val="00843E05"/>
    <w:rsid w:val="00843EEA"/>
    <w:rsid w:val="00844214"/>
    <w:rsid w:val="008442B5"/>
    <w:rsid w:val="00844536"/>
    <w:rsid w:val="008445AB"/>
    <w:rsid w:val="008446A3"/>
    <w:rsid w:val="00844756"/>
    <w:rsid w:val="008447BD"/>
    <w:rsid w:val="008449F9"/>
    <w:rsid w:val="00844EE5"/>
    <w:rsid w:val="00845235"/>
    <w:rsid w:val="008452A8"/>
    <w:rsid w:val="008452D6"/>
    <w:rsid w:val="008452F7"/>
    <w:rsid w:val="0084543C"/>
    <w:rsid w:val="0084552E"/>
    <w:rsid w:val="00845570"/>
    <w:rsid w:val="008455C1"/>
    <w:rsid w:val="008456ED"/>
    <w:rsid w:val="008457A1"/>
    <w:rsid w:val="00845A54"/>
    <w:rsid w:val="00845BAC"/>
    <w:rsid w:val="00845DDF"/>
    <w:rsid w:val="00845E9E"/>
    <w:rsid w:val="00845EBA"/>
    <w:rsid w:val="00845ED4"/>
    <w:rsid w:val="00845F1B"/>
    <w:rsid w:val="0084615F"/>
    <w:rsid w:val="0084663F"/>
    <w:rsid w:val="00846655"/>
    <w:rsid w:val="00846885"/>
    <w:rsid w:val="0084693E"/>
    <w:rsid w:val="00846C66"/>
    <w:rsid w:val="00846C6A"/>
    <w:rsid w:val="00846E26"/>
    <w:rsid w:val="00846E35"/>
    <w:rsid w:val="00846E3C"/>
    <w:rsid w:val="008472B4"/>
    <w:rsid w:val="008472CE"/>
    <w:rsid w:val="00847454"/>
    <w:rsid w:val="0084746F"/>
    <w:rsid w:val="008475B5"/>
    <w:rsid w:val="008475C1"/>
    <w:rsid w:val="00847657"/>
    <w:rsid w:val="00847699"/>
    <w:rsid w:val="00847CBF"/>
    <w:rsid w:val="00847E1A"/>
    <w:rsid w:val="00847E63"/>
    <w:rsid w:val="0085029A"/>
    <w:rsid w:val="00850409"/>
    <w:rsid w:val="0085065D"/>
    <w:rsid w:val="00850680"/>
    <w:rsid w:val="008506E4"/>
    <w:rsid w:val="008507D5"/>
    <w:rsid w:val="00850C97"/>
    <w:rsid w:val="00850CAE"/>
    <w:rsid w:val="00850CD5"/>
    <w:rsid w:val="00850D50"/>
    <w:rsid w:val="00850E3C"/>
    <w:rsid w:val="00850E55"/>
    <w:rsid w:val="00850F17"/>
    <w:rsid w:val="00850F2C"/>
    <w:rsid w:val="00850F47"/>
    <w:rsid w:val="008512E4"/>
    <w:rsid w:val="008514A0"/>
    <w:rsid w:val="008514A9"/>
    <w:rsid w:val="0085163C"/>
    <w:rsid w:val="0085167E"/>
    <w:rsid w:val="00851750"/>
    <w:rsid w:val="0085178B"/>
    <w:rsid w:val="0085186F"/>
    <w:rsid w:val="008518E0"/>
    <w:rsid w:val="00851C2D"/>
    <w:rsid w:val="00851ECA"/>
    <w:rsid w:val="00851EEF"/>
    <w:rsid w:val="00851FD2"/>
    <w:rsid w:val="00852016"/>
    <w:rsid w:val="008520B3"/>
    <w:rsid w:val="00852124"/>
    <w:rsid w:val="008521AD"/>
    <w:rsid w:val="008521B6"/>
    <w:rsid w:val="0085235C"/>
    <w:rsid w:val="00852539"/>
    <w:rsid w:val="008525B1"/>
    <w:rsid w:val="00852A1B"/>
    <w:rsid w:val="00852B3B"/>
    <w:rsid w:val="00852B76"/>
    <w:rsid w:val="00852BB0"/>
    <w:rsid w:val="00852BEC"/>
    <w:rsid w:val="00852C4B"/>
    <w:rsid w:val="00852DF7"/>
    <w:rsid w:val="00852F83"/>
    <w:rsid w:val="00853116"/>
    <w:rsid w:val="008531A6"/>
    <w:rsid w:val="008531AA"/>
    <w:rsid w:val="00853200"/>
    <w:rsid w:val="00853302"/>
    <w:rsid w:val="00853328"/>
    <w:rsid w:val="00853385"/>
    <w:rsid w:val="008535A8"/>
    <w:rsid w:val="00853886"/>
    <w:rsid w:val="00853A48"/>
    <w:rsid w:val="00853B25"/>
    <w:rsid w:val="00853C84"/>
    <w:rsid w:val="00854000"/>
    <w:rsid w:val="00854261"/>
    <w:rsid w:val="00854417"/>
    <w:rsid w:val="0085441A"/>
    <w:rsid w:val="008544BF"/>
    <w:rsid w:val="00854619"/>
    <w:rsid w:val="0085468F"/>
    <w:rsid w:val="00854692"/>
    <w:rsid w:val="008547C6"/>
    <w:rsid w:val="008549D6"/>
    <w:rsid w:val="00854CB8"/>
    <w:rsid w:val="00854D31"/>
    <w:rsid w:val="0085533C"/>
    <w:rsid w:val="0085535B"/>
    <w:rsid w:val="00855589"/>
    <w:rsid w:val="00855925"/>
    <w:rsid w:val="00855A41"/>
    <w:rsid w:val="00855AAD"/>
    <w:rsid w:val="00855B26"/>
    <w:rsid w:val="00855B78"/>
    <w:rsid w:val="00855BC5"/>
    <w:rsid w:val="00855D20"/>
    <w:rsid w:val="00855D9A"/>
    <w:rsid w:val="00855E51"/>
    <w:rsid w:val="00856051"/>
    <w:rsid w:val="008563AE"/>
    <w:rsid w:val="008564CA"/>
    <w:rsid w:val="0085659C"/>
    <w:rsid w:val="00856613"/>
    <w:rsid w:val="00856846"/>
    <w:rsid w:val="0085691C"/>
    <w:rsid w:val="00856DBC"/>
    <w:rsid w:val="00856FB7"/>
    <w:rsid w:val="008573DC"/>
    <w:rsid w:val="00857486"/>
    <w:rsid w:val="008574FD"/>
    <w:rsid w:val="00857BAA"/>
    <w:rsid w:val="00857BD4"/>
    <w:rsid w:val="00857CC5"/>
    <w:rsid w:val="00857CD1"/>
    <w:rsid w:val="008600B8"/>
    <w:rsid w:val="008600B9"/>
    <w:rsid w:val="008600D8"/>
    <w:rsid w:val="00860516"/>
    <w:rsid w:val="008605F0"/>
    <w:rsid w:val="00860684"/>
    <w:rsid w:val="0086076F"/>
    <w:rsid w:val="008607D7"/>
    <w:rsid w:val="008607DF"/>
    <w:rsid w:val="008608A9"/>
    <w:rsid w:val="00860BC7"/>
    <w:rsid w:val="00860EF6"/>
    <w:rsid w:val="00861066"/>
    <w:rsid w:val="008611EF"/>
    <w:rsid w:val="008613BD"/>
    <w:rsid w:val="0086146F"/>
    <w:rsid w:val="008614BE"/>
    <w:rsid w:val="008616E8"/>
    <w:rsid w:val="008617EB"/>
    <w:rsid w:val="0086197A"/>
    <w:rsid w:val="00861AED"/>
    <w:rsid w:val="00861C06"/>
    <w:rsid w:val="00861C51"/>
    <w:rsid w:val="00861DB4"/>
    <w:rsid w:val="00861E5E"/>
    <w:rsid w:val="00861FE1"/>
    <w:rsid w:val="00862413"/>
    <w:rsid w:val="0086246F"/>
    <w:rsid w:val="00862505"/>
    <w:rsid w:val="008625BB"/>
    <w:rsid w:val="008626FA"/>
    <w:rsid w:val="0086275D"/>
    <w:rsid w:val="0086299D"/>
    <w:rsid w:val="008629F7"/>
    <w:rsid w:val="00862AA7"/>
    <w:rsid w:val="00862ACB"/>
    <w:rsid w:val="00862B73"/>
    <w:rsid w:val="00863191"/>
    <w:rsid w:val="0086319E"/>
    <w:rsid w:val="0086339B"/>
    <w:rsid w:val="00863656"/>
    <w:rsid w:val="008637D9"/>
    <w:rsid w:val="008637E8"/>
    <w:rsid w:val="00863828"/>
    <w:rsid w:val="00863864"/>
    <w:rsid w:val="00863942"/>
    <w:rsid w:val="0086394D"/>
    <w:rsid w:val="00863A43"/>
    <w:rsid w:val="00863BCC"/>
    <w:rsid w:val="00863BF6"/>
    <w:rsid w:val="00863E39"/>
    <w:rsid w:val="00863F71"/>
    <w:rsid w:val="0086414C"/>
    <w:rsid w:val="0086424E"/>
    <w:rsid w:val="008642DD"/>
    <w:rsid w:val="00864486"/>
    <w:rsid w:val="008644EF"/>
    <w:rsid w:val="0086482A"/>
    <w:rsid w:val="00864979"/>
    <w:rsid w:val="00864AA5"/>
    <w:rsid w:val="00864C82"/>
    <w:rsid w:val="00864CD2"/>
    <w:rsid w:val="0086511A"/>
    <w:rsid w:val="008654EA"/>
    <w:rsid w:val="008657E2"/>
    <w:rsid w:val="008659B7"/>
    <w:rsid w:val="00865DA2"/>
    <w:rsid w:val="00865DD4"/>
    <w:rsid w:val="00865F6B"/>
    <w:rsid w:val="00865F70"/>
    <w:rsid w:val="0086613C"/>
    <w:rsid w:val="00866219"/>
    <w:rsid w:val="008662B3"/>
    <w:rsid w:val="00866322"/>
    <w:rsid w:val="0086646B"/>
    <w:rsid w:val="008666A7"/>
    <w:rsid w:val="0086687B"/>
    <w:rsid w:val="008668D0"/>
    <w:rsid w:val="0086693C"/>
    <w:rsid w:val="00866A51"/>
    <w:rsid w:val="00866B1E"/>
    <w:rsid w:val="00866B44"/>
    <w:rsid w:val="00866D6F"/>
    <w:rsid w:val="00867000"/>
    <w:rsid w:val="008670DD"/>
    <w:rsid w:val="008671B9"/>
    <w:rsid w:val="00867231"/>
    <w:rsid w:val="0086733A"/>
    <w:rsid w:val="00867447"/>
    <w:rsid w:val="0086746A"/>
    <w:rsid w:val="008674C0"/>
    <w:rsid w:val="008674C6"/>
    <w:rsid w:val="0086758F"/>
    <w:rsid w:val="00867725"/>
    <w:rsid w:val="00867886"/>
    <w:rsid w:val="00867A91"/>
    <w:rsid w:val="00867AD2"/>
    <w:rsid w:val="00867D0B"/>
    <w:rsid w:val="00867D37"/>
    <w:rsid w:val="00867D82"/>
    <w:rsid w:val="008701B8"/>
    <w:rsid w:val="008701FB"/>
    <w:rsid w:val="00870305"/>
    <w:rsid w:val="0087043F"/>
    <w:rsid w:val="00870519"/>
    <w:rsid w:val="008709F9"/>
    <w:rsid w:val="00870B34"/>
    <w:rsid w:val="00870E05"/>
    <w:rsid w:val="00870F8E"/>
    <w:rsid w:val="0087105A"/>
    <w:rsid w:val="00871085"/>
    <w:rsid w:val="008710D6"/>
    <w:rsid w:val="0087111C"/>
    <w:rsid w:val="0087114C"/>
    <w:rsid w:val="00871384"/>
    <w:rsid w:val="00871388"/>
    <w:rsid w:val="008713E7"/>
    <w:rsid w:val="008719C0"/>
    <w:rsid w:val="00871DC9"/>
    <w:rsid w:val="00871E55"/>
    <w:rsid w:val="00871FE9"/>
    <w:rsid w:val="00872196"/>
    <w:rsid w:val="0087222B"/>
    <w:rsid w:val="00872388"/>
    <w:rsid w:val="00872564"/>
    <w:rsid w:val="008725C1"/>
    <w:rsid w:val="008726C1"/>
    <w:rsid w:val="00872AEA"/>
    <w:rsid w:val="00872B90"/>
    <w:rsid w:val="00872E79"/>
    <w:rsid w:val="00873007"/>
    <w:rsid w:val="008730A2"/>
    <w:rsid w:val="0087332D"/>
    <w:rsid w:val="0087347A"/>
    <w:rsid w:val="0087352A"/>
    <w:rsid w:val="00873647"/>
    <w:rsid w:val="008738A9"/>
    <w:rsid w:val="008738EA"/>
    <w:rsid w:val="00873A65"/>
    <w:rsid w:val="00873AAD"/>
    <w:rsid w:val="00873BED"/>
    <w:rsid w:val="00873D40"/>
    <w:rsid w:val="00873E9F"/>
    <w:rsid w:val="00873F01"/>
    <w:rsid w:val="00873F38"/>
    <w:rsid w:val="0087481E"/>
    <w:rsid w:val="00874B4E"/>
    <w:rsid w:val="00874BB9"/>
    <w:rsid w:val="00874BD6"/>
    <w:rsid w:val="00874C21"/>
    <w:rsid w:val="00874CC3"/>
    <w:rsid w:val="00874FED"/>
    <w:rsid w:val="00875278"/>
    <w:rsid w:val="0087535D"/>
    <w:rsid w:val="008753E5"/>
    <w:rsid w:val="008755CB"/>
    <w:rsid w:val="00875625"/>
    <w:rsid w:val="0087562E"/>
    <w:rsid w:val="008756AD"/>
    <w:rsid w:val="008759B4"/>
    <w:rsid w:val="00875A0A"/>
    <w:rsid w:val="00875C0D"/>
    <w:rsid w:val="00875C67"/>
    <w:rsid w:val="00875D2C"/>
    <w:rsid w:val="00875E3E"/>
    <w:rsid w:val="00875E88"/>
    <w:rsid w:val="00875FC6"/>
    <w:rsid w:val="0087614F"/>
    <w:rsid w:val="0087617F"/>
    <w:rsid w:val="008763AE"/>
    <w:rsid w:val="008764B3"/>
    <w:rsid w:val="00876811"/>
    <w:rsid w:val="00876A80"/>
    <w:rsid w:val="00876C07"/>
    <w:rsid w:val="00876C52"/>
    <w:rsid w:val="00876C76"/>
    <w:rsid w:val="00876CB1"/>
    <w:rsid w:val="00876E1F"/>
    <w:rsid w:val="00877023"/>
    <w:rsid w:val="00877488"/>
    <w:rsid w:val="00877515"/>
    <w:rsid w:val="008775F9"/>
    <w:rsid w:val="008776A4"/>
    <w:rsid w:val="0087774F"/>
    <w:rsid w:val="00877FA4"/>
    <w:rsid w:val="00877FC1"/>
    <w:rsid w:val="008800F7"/>
    <w:rsid w:val="008802E4"/>
    <w:rsid w:val="008804DC"/>
    <w:rsid w:val="0088055F"/>
    <w:rsid w:val="00880570"/>
    <w:rsid w:val="008805BC"/>
    <w:rsid w:val="00880727"/>
    <w:rsid w:val="008807F3"/>
    <w:rsid w:val="008809A1"/>
    <w:rsid w:val="00880C4E"/>
    <w:rsid w:val="00880C62"/>
    <w:rsid w:val="008811F6"/>
    <w:rsid w:val="00881367"/>
    <w:rsid w:val="00881511"/>
    <w:rsid w:val="008815BA"/>
    <w:rsid w:val="00881811"/>
    <w:rsid w:val="0088192E"/>
    <w:rsid w:val="00881954"/>
    <w:rsid w:val="008819F2"/>
    <w:rsid w:val="00881B19"/>
    <w:rsid w:val="00881B34"/>
    <w:rsid w:val="00881C28"/>
    <w:rsid w:val="00881D6C"/>
    <w:rsid w:val="00881E54"/>
    <w:rsid w:val="00881E97"/>
    <w:rsid w:val="00881EBA"/>
    <w:rsid w:val="008820DD"/>
    <w:rsid w:val="008823C6"/>
    <w:rsid w:val="008823F9"/>
    <w:rsid w:val="00882410"/>
    <w:rsid w:val="0088245D"/>
    <w:rsid w:val="008825B0"/>
    <w:rsid w:val="008826F4"/>
    <w:rsid w:val="008827E7"/>
    <w:rsid w:val="0088293D"/>
    <w:rsid w:val="00882D20"/>
    <w:rsid w:val="00882E1A"/>
    <w:rsid w:val="00882FB1"/>
    <w:rsid w:val="00883188"/>
    <w:rsid w:val="0088345F"/>
    <w:rsid w:val="0088368B"/>
    <w:rsid w:val="0088376A"/>
    <w:rsid w:val="0088379E"/>
    <w:rsid w:val="008838B7"/>
    <w:rsid w:val="00883E0A"/>
    <w:rsid w:val="00883EA2"/>
    <w:rsid w:val="00883F54"/>
    <w:rsid w:val="00884195"/>
    <w:rsid w:val="00884244"/>
    <w:rsid w:val="00884376"/>
    <w:rsid w:val="008843FD"/>
    <w:rsid w:val="00884456"/>
    <w:rsid w:val="00884598"/>
    <w:rsid w:val="008845A3"/>
    <w:rsid w:val="00884658"/>
    <w:rsid w:val="008847A5"/>
    <w:rsid w:val="00884868"/>
    <w:rsid w:val="008848A7"/>
    <w:rsid w:val="008849A1"/>
    <w:rsid w:val="00884D89"/>
    <w:rsid w:val="00884F32"/>
    <w:rsid w:val="00885150"/>
    <w:rsid w:val="0088528F"/>
    <w:rsid w:val="008852A8"/>
    <w:rsid w:val="00885322"/>
    <w:rsid w:val="00885342"/>
    <w:rsid w:val="008854F2"/>
    <w:rsid w:val="008857AE"/>
    <w:rsid w:val="00885857"/>
    <w:rsid w:val="00885900"/>
    <w:rsid w:val="00885923"/>
    <w:rsid w:val="00885998"/>
    <w:rsid w:val="00885AD9"/>
    <w:rsid w:val="00885D96"/>
    <w:rsid w:val="00885DD1"/>
    <w:rsid w:val="00885ED7"/>
    <w:rsid w:val="00885EEE"/>
    <w:rsid w:val="00886028"/>
    <w:rsid w:val="0088606D"/>
    <w:rsid w:val="008861CA"/>
    <w:rsid w:val="008861D2"/>
    <w:rsid w:val="0088625B"/>
    <w:rsid w:val="00886306"/>
    <w:rsid w:val="00886321"/>
    <w:rsid w:val="008863F0"/>
    <w:rsid w:val="0088653C"/>
    <w:rsid w:val="008865E3"/>
    <w:rsid w:val="0088669E"/>
    <w:rsid w:val="00886735"/>
    <w:rsid w:val="00886828"/>
    <w:rsid w:val="00886855"/>
    <w:rsid w:val="008868F5"/>
    <w:rsid w:val="008869EA"/>
    <w:rsid w:val="00886A96"/>
    <w:rsid w:val="00886B1A"/>
    <w:rsid w:val="00886BD4"/>
    <w:rsid w:val="00886F20"/>
    <w:rsid w:val="0088711E"/>
    <w:rsid w:val="00887260"/>
    <w:rsid w:val="0088726C"/>
    <w:rsid w:val="00887286"/>
    <w:rsid w:val="0088745C"/>
    <w:rsid w:val="00887541"/>
    <w:rsid w:val="008877CE"/>
    <w:rsid w:val="00887969"/>
    <w:rsid w:val="00887CCA"/>
    <w:rsid w:val="00887D12"/>
    <w:rsid w:val="00887DC8"/>
    <w:rsid w:val="00887DE1"/>
    <w:rsid w:val="00887EAC"/>
    <w:rsid w:val="00887EF2"/>
    <w:rsid w:val="00887F5B"/>
    <w:rsid w:val="00887FF5"/>
    <w:rsid w:val="00890155"/>
    <w:rsid w:val="00890190"/>
    <w:rsid w:val="0089026F"/>
    <w:rsid w:val="00890478"/>
    <w:rsid w:val="008906F7"/>
    <w:rsid w:val="008909E7"/>
    <w:rsid w:val="008909FD"/>
    <w:rsid w:val="00890A8F"/>
    <w:rsid w:val="00890E3D"/>
    <w:rsid w:val="00890F0C"/>
    <w:rsid w:val="00890F92"/>
    <w:rsid w:val="008911DB"/>
    <w:rsid w:val="0089124F"/>
    <w:rsid w:val="0089133A"/>
    <w:rsid w:val="00891351"/>
    <w:rsid w:val="00891454"/>
    <w:rsid w:val="0089159D"/>
    <w:rsid w:val="008917F0"/>
    <w:rsid w:val="00891837"/>
    <w:rsid w:val="0089187D"/>
    <w:rsid w:val="00891B45"/>
    <w:rsid w:val="00891C1C"/>
    <w:rsid w:val="00891EE7"/>
    <w:rsid w:val="008921B6"/>
    <w:rsid w:val="008921EF"/>
    <w:rsid w:val="0089223A"/>
    <w:rsid w:val="008927DE"/>
    <w:rsid w:val="00892B5A"/>
    <w:rsid w:val="00892B93"/>
    <w:rsid w:val="00892E0D"/>
    <w:rsid w:val="00892E32"/>
    <w:rsid w:val="00892F04"/>
    <w:rsid w:val="00892F16"/>
    <w:rsid w:val="00892F37"/>
    <w:rsid w:val="00892FEC"/>
    <w:rsid w:val="00893004"/>
    <w:rsid w:val="00893100"/>
    <w:rsid w:val="008931B6"/>
    <w:rsid w:val="008933AB"/>
    <w:rsid w:val="008933FC"/>
    <w:rsid w:val="008934A4"/>
    <w:rsid w:val="00893808"/>
    <w:rsid w:val="0089384A"/>
    <w:rsid w:val="0089387F"/>
    <w:rsid w:val="00893BD3"/>
    <w:rsid w:val="00893BED"/>
    <w:rsid w:val="00893EB7"/>
    <w:rsid w:val="00893F5E"/>
    <w:rsid w:val="00894150"/>
    <w:rsid w:val="00894733"/>
    <w:rsid w:val="00894790"/>
    <w:rsid w:val="008947EE"/>
    <w:rsid w:val="00894823"/>
    <w:rsid w:val="00894934"/>
    <w:rsid w:val="00895274"/>
    <w:rsid w:val="0089534A"/>
    <w:rsid w:val="008953D9"/>
    <w:rsid w:val="0089540D"/>
    <w:rsid w:val="0089572C"/>
    <w:rsid w:val="00895B7C"/>
    <w:rsid w:val="00895CAF"/>
    <w:rsid w:val="00895D5B"/>
    <w:rsid w:val="00895F95"/>
    <w:rsid w:val="008963CC"/>
    <w:rsid w:val="008963F0"/>
    <w:rsid w:val="00896933"/>
    <w:rsid w:val="00896BAD"/>
    <w:rsid w:val="00896D18"/>
    <w:rsid w:val="00896D6D"/>
    <w:rsid w:val="00896DD7"/>
    <w:rsid w:val="00896F45"/>
    <w:rsid w:val="00896F62"/>
    <w:rsid w:val="008970AB"/>
    <w:rsid w:val="00897561"/>
    <w:rsid w:val="008976A6"/>
    <w:rsid w:val="0089779D"/>
    <w:rsid w:val="0089783A"/>
    <w:rsid w:val="00897C2D"/>
    <w:rsid w:val="00897CD3"/>
    <w:rsid w:val="00897D54"/>
    <w:rsid w:val="00897E25"/>
    <w:rsid w:val="00897EB1"/>
    <w:rsid w:val="008A0205"/>
    <w:rsid w:val="008A025F"/>
    <w:rsid w:val="008A03D5"/>
    <w:rsid w:val="008A0421"/>
    <w:rsid w:val="008A0456"/>
    <w:rsid w:val="008A05D1"/>
    <w:rsid w:val="008A0709"/>
    <w:rsid w:val="008A0982"/>
    <w:rsid w:val="008A0ACE"/>
    <w:rsid w:val="008A0B9C"/>
    <w:rsid w:val="008A0CE9"/>
    <w:rsid w:val="008A0D60"/>
    <w:rsid w:val="008A0E70"/>
    <w:rsid w:val="008A0F23"/>
    <w:rsid w:val="008A1021"/>
    <w:rsid w:val="008A10BE"/>
    <w:rsid w:val="008A140C"/>
    <w:rsid w:val="008A1992"/>
    <w:rsid w:val="008A1A98"/>
    <w:rsid w:val="008A1C44"/>
    <w:rsid w:val="008A1CBD"/>
    <w:rsid w:val="008A1CC8"/>
    <w:rsid w:val="008A1D39"/>
    <w:rsid w:val="008A1E27"/>
    <w:rsid w:val="008A237A"/>
    <w:rsid w:val="008A23FD"/>
    <w:rsid w:val="008A2433"/>
    <w:rsid w:val="008A2443"/>
    <w:rsid w:val="008A246E"/>
    <w:rsid w:val="008A25CC"/>
    <w:rsid w:val="008A25FD"/>
    <w:rsid w:val="008A274F"/>
    <w:rsid w:val="008A288C"/>
    <w:rsid w:val="008A2925"/>
    <w:rsid w:val="008A29A8"/>
    <w:rsid w:val="008A29B2"/>
    <w:rsid w:val="008A2C81"/>
    <w:rsid w:val="008A2E20"/>
    <w:rsid w:val="008A2F0A"/>
    <w:rsid w:val="008A30A0"/>
    <w:rsid w:val="008A30B7"/>
    <w:rsid w:val="008A3237"/>
    <w:rsid w:val="008A3384"/>
    <w:rsid w:val="008A33A5"/>
    <w:rsid w:val="008A33C0"/>
    <w:rsid w:val="008A35B6"/>
    <w:rsid w:val="008A35E6"/>
    <w:rsid w:val="008A383A"/>
    <w:rsid w:val="008A3999"/>
    <w:rsid w:val="008A3CB9"/>
    <w:rsid w:val="008A3D3D"/>
    <w:rsid w:val="008A3DD7"/>
    <w:rsid w:val="008A40A1"/>
    <w:rsid w:val="008A419C"/>
    <w:rsid w:val="008A4277"/>
    <w:rsid w:val="008A4365"/>
    <w:rsid w:val="008A43C6"/>
    <w:rsid w:val="008A43D6"/>
    <w:rsid w:val="008A4804"/>
    <w:rsid w:val="008A491E"/>
    <w:rsid w:val="008A4972"/>
    <w:rsid w:val="008A49BF"/>
    <w:rsid w:val="008A4D61"/>
    <w:rsid w:val="008A4EC0"/>
    <w:rsid w:val="008A5046"/>
    <w:rsid w:val="008A50E0"/>
    <w:rsid w:val="008A510D"/>
    <w:rsid w:val="008A5315"/>
    <w:rsid w:val="008A531F"/>
    <w:rsid w:val="008A54C8"/>
    <w:rsid w:val="008A5609"/>
    <w:rsid w:val="008A57DD"/>
    <w:rsid w:val="008A5911"/>
    <w:rsid w:val="008A5944"/>
    <w:rsid w:val="008A5AE9"/>
    <w:rsid w:val="008A5F2D"/>
    <w:rsid w:val="008A5F75"/>
    <w:rsid w:val="008A5FA2"/>
    <w:rsid w:val="008A5FAC"/>
    <w:rsid w:val="008A600B"/>
    <w:rsid w:val="008A61A9"/>
    <w:rsid w:val="008A628B"/>
    <w:rsid w:val="008A62D3"/>
    <w:rsid w:val="008A6304"/>
    <w:rsid w:val="008A6405"/>
    <w:rsid w:val="008A663F"/>
    <w:rsid w:val="008A6A4E"/>
    <w:rsid w:val="008A6E66"/>
    <w:rsid w:val="008A6EF8"/>
    <w:rsid w:val="008A6F4A"/>
    <w:rsid w:val="008A6FA7"/>
    <w:rsid w:val="008A712F"/>
    <w:rsid w:val="008A724E"/>
    <w:rsid w:val="008A7428"/>
    <w:rsid w:val="008A7623"/>
    <w:rsid w:val="008A7899"/>
    <w:rsid w:val="008A78FC"/>
    <w:rsid w:val="008A79F3"/>
    <w:rsid w:val="008A7A3F"/>
    <w:rsid w:val="008A7AED"/>
    <w:rsid w:val="008A7B2F"/>
    <w:rsid w:val="008A7CAE"/>
    <w:rsid w:val="008A7CDA"/>
    <w:rsid w:val="008A7CF3"/>
    <w:rsid w:val="008A7FA8"/>
    <w:rsid w:val="008B00F5"/>
    <w:rsid w:val="008B0110"/>
    <w:rsid w:val="008B01CD"/>
    <w:rsid w:val="008B02E9"/>
    <w:rsid w:val="008B042C"/>
    <w:rsid w:val="008B04B6"/>
    <w:rsid w:val="008B056F"/>
    <w:rsid w:val="008B0570"/>
    <w:rsid w:val="008B0940"/>
    <w:rsid w:val="008B0A4B"/>
    <w:rsid w:val="008B0B9B"/>
    <w:rsid w:val="008B110C"/>
    <w:rsid w:val="008B11E2"/>
    <w:rsid w:val="008B1431"/>
    <w:rsid w:val="008B17A5"/>
    <w:rsid w:val="008B18AC"/>
    <w:rsid w:val="008B1A76"/>
    <w:rsid w:val="008B1AE7"/>
    <w:rsid w:val="008B1D23"/>
    <w:rsid w:val="008B2183"/>
    <w:rsid w:val="008B2214"/>
    <w:rsid w:val="008B2283"/>
    <w:rsid w:val="008B2326"/>
    <w:rsid w:val="008B24D2"/>
    <w:rsid w:val="008B25E3"/>
    <w:rsid w:val="008B279E"/>
    <w:rsid w:val="008B27C3"/>
    <w:rsid w:val="008B28EF"/>
    <w:rsid w:val="008B2D2C"/>
    <w:rsid w:val="008B2F03"/>
    <w:rsid w:val="008B2F7D"/>
    <w:rsid w:val="008B3182"/>
    <w:rsid w:val="008B31BC"/>
    <w:rsid w:val="008B3303"/>
    <w:rsid w:val="008B34DD"/>
    <w:rsid w:val="008B359E"/>
    <w:rsid w:val="008B3617"/>
    <w:rsid w:val="008B3723"/>
    <w:rsid w:val="008B3742"/>
    <w:rsid w:val="008B379A"/>
    <w:rsid w:val="008B389B"/>
    <w:rsid w:val="008B3AC6"/>
    <w:rsid w:val="008B3B4B"/>
    <w:rsid w:val="008B4060"/>
    <w:rsid w:val="008B40A3"/>
    <w:rsid w:val="008B4367"/>
    <w:rsid w:val="008B43A0"/>
    <w:rsid w:val="008B4443"/>
    <w:rsid w:val="008B44AE"/>
    <w:rsid w:val="008B45B2"/>
    <w:rsid w:val="008B45B5"/>
    <w:rsid w:val="008B47D1"/>
    <w:rsid w:val="008B48DC"/>
    <w:rsid w:val="008B494F"/>
    <w:rsid w:val="008B4956"/>
    <w:rsid w:val="008B498F"/>
    <w:rsid w:val="008B4D4F"/>
    <w:rsid w:val="008B4E85"/>
    <w:rsid w:val="008B5081"/>
    <w:rsid w:val="008B50D3"/>
    <w:rsid w:val="008B5236"/>
    <w:rsid w:val="008B524A"/>
    <w:rsid w:val="008B52B2"/>
    <w:rsid w:val="008B5432"/>
    <w:rsid w:val="008B5530"/>
    <w:rsid w:val="008B556D"/>
    <w:rsid w:val="008B55DF"/>
    <w:rsid w:val="008B56AE"/>
    <w:rsid w:val="008B56B7"/>
    <w:rsid w:val="008B58A6"/>
    <w:rsid w:val="008B59D7"/>
    <w:rsid w:val="008B5B21"/>
    <w:rsid w:val="008B5B52"/>
    <w:rsid w:val="008B5C82"/>
    <w:rsid w:val="008B5EA8"/>
    <w:rsid w:val="008B6060"/>
    <w:rsid w:val="008B618A"/>
    <w:rsid w:val="008B6449"/>
    <w:rsid w:val="008B64EF"/>
    <w:rsid w:val="008B654C"/>
    <w:rsid w:val="008B656B"/>
    <w:rsid w:val="008B65A2"/>
    <w:rsid w:val="008B6610"/>
    <w:rsid w:val="008B666E"/>
    <w:rsid w:val="008B67DD"/>
    <w:rsid w:val="008B6A4E"/>
    <w:rsid w:val="008B6A62"/>
    <w:rsid w:val="008B6EA9"/>
    <w:rsid w:val="008B6F51"/>
    <w:rsid w:val="008B6FBF"/>
    <w:rsid w:val="008B71D9"/>
    <w:rsid w:val="008B71FE"/>
    <w:rsid w:val="008B7354"/>
    <w:rsid w:val="008B7508"/>
    <w:rsid w:val="008B7707"/>
    <w:rsid w:val="008B7789"/>
    <w:rsid w:val="008B7A7D"/>
    <w:rsid w:val="008B7AC8"/>
    <w:rsid w:val="008B7C70"/>
    <w:rsid w:val="008B7E2D"/>
    <w:rsid w:val="008C008B"/>
    <w:rsid w:val="008C0146"/>
    <w:rsid w:val="008C0155"/>
    <w:rsid w:val="008C018F"/>
    <w:rsid w:val="008C01E7"/>
    <w:rsid w:val="008C0226"/>
    <w:rsid w:val="008C0275"/>
    <w:rsid w:val="008C03A6"/>
    <w:rsid w:val="008C03EF"/>
    <w:rsid w:val="008C04F4"/>
    <w:rsid w:val="008C0593"/>
    <w:rsid w:val="008C08F1"/>
    <w:rsid w:val="008C0C80"/>
    <w:rsid w:val="008C0D2C"/>
    <w:rsid w:val="008C0F17"/>
    <w:rsid w:val="008C10B6"/>
    <w:rsid w:val="008C10F6"/>
    <w:rsid w:val="008C11A1"/>
    <w:rsid w:val="008C1392"/>
    <w:rsid w:val="008C1441"/>
    <w:rsid w:val="008C1465"/>
    <w:rsid w:val="008C176D"/>
    <w:rsid w:val="008C17D8"/>
    <w:rsid w:val="008C1898"/>
    <w:rsid w:val="008C19A0"/>
    <w:rsid w:val="008C19B2"/>
    <w:rsid w:val="008C1A6E"/>
    <w:rsid w:val="008C1B68"/>
    <w:rsid w:val="008C1C0A"/>
    <w:rsid w:val="008C1EDD"/>
    <w:rsid w:val="008C1F68"/>
    <w:rsid w:val="008C2385"/>
    <w:rsid w:val="008C24D3"/>
    <w:rsid w:val="008C25E0"/>
    <w:rsid w:val="008C2B03"/>
    <w:rsid w:val="008C2C77"/>
    <w:rsid w:val="008C2EB9"/>
    <w:rsid w:val="008C2FC0"/>
    <w:rsid w:val="008C309C"/>
    <w:rsid w:val="008C3263"/>
    <w:rsid w:val="008C3267"/>
    <w:rsid w:val="008C32F8"/>
    <w:rsid w:val="008C34B1"/>
    <w:rsid w:val="008C34F6"/>
    <w:rsid w:val="008C354F"/>
    <w:rsid w:val="008C35EE"/>
    <w:rsid w:val="008C386E"/>
    <w:rsid w:val="008C3A5A"/>
    <w:rsid w:val="008C3C1C"/>
    <w:rsid w:val="008C3CC7"/>
    <w:rsid w:val="008C3F9C"/>
    <w:rsid w:val="008C3FD3"/>
    <w:rsid w:val="008C40D9"/>
    <w:rsid w:val="008C4261"/>
    <w:rsid w:val="008C4347"/>
    <w:rsid w:val="008C4607"/>
    <w:rsid w:val="008C47EB"/>
    <w:rsid w:val="008C48ED"/>
    <w:rsid w:val="008C4C06"/>
    <w:rsid w:val="008C4C23"/>
    <w:rsid w:val="008C4CCD"/>
    <w:rsid w:val="008C4D14"/>
    <w:rsid w:val="008C4D60"/>
    <w:rsid w:val="008C4E46"/>
    <w:rsid w:val="008C4E89"/>
    <w:rsid w:val="008C4F59"/>
    <w:rsid w:val="008C5206"/>
    <w:rsid w:val="008C5237"/>
    <w:rsid w:val="008C56C4"/>
    <w:rsid w:val="008C56CE"/>
    <w:rsid w:val="008C5776"/>
    <w:rsid w:val="008C5801"/>
    <w:rsid w:val="008C589E"/>
    <w:rsid w:val="008C58EB"/>
    <w:rsid w:val="008C592E"/>
    <w:rsid w:val="008C5969"/>
    <w:rsid w:val="008C59A1"/>
    <w:rsid w:val="008C59AD"/>
    <w:rsid w:val="008C59DD"/>
    <w:rsid w:val="008C5B75"/>
    <w:rsid w:val="008C5DAD"/>
    <w:rsid w:val="008C5DD3"/>
    <w:rsid w:val="008C5F6B"/>
    <w:rsid w:val="008C60C2"/>
    <w:rsid w:val="008C626A"/>
    <w:rsid w:val="008C63A1"/>
    <w:rsid w:val="008C64BD"/>
    <w:rsid w:val="008C65AD"/>
    <w:rsid w:val="008C65C2"/>
    <w:rsid w:val="008C66CD"/>
    <w:rsid w:val="008C672B"/>
    <w:rsid w:val="008C68EA"/>
    <w:rsid w:val="008C6937"/>
    <w:rsid w:val="008C6AC6"/>
    <w:rsid w:val="008C6B72"/>
    <w:rsid w:val="008C6D67"/>
    <w:rsid w:val="008C6F10"/>
    <w:rsid w:val="008C71B2"/>
    <w:rsid w:val="008C72E0"/>
    <w:rsid w:val="008C7350"/>
    <w:rsid w:val="008C75E6"/>
    <w:rsid w:val="008C76BC"/>
    <w:rsid w:val="008C7712"/>
    <w:rsid w:val="008C7A19"/>
    <w:rsid w:val="008C7A2A"/>
    <w:rsid w:val="008C7D04"/>
    <w:rsid w:val="008C7D73"/>
    <w:rsid w:val="008C7E0D"/>
    <w:rsid w:val="008C7F0C"/>
    <w:rsid w:val="008D0120"/>
    <w:rsid w:val="008D033C"/>
    <w:rsid w:val="008D048F"/>
    <w:rsid w:val="008D059A"/>
    <w:rsid w:val="008D0805"/>
    <w:rsid w:val="008D082B"/>
    <w:rsid w:val="008D0AB6"/>
    <w:rsid w:val="008D0AF0"/>
    <w:rsid w:val="008D0B57"/>
    <w:rsid w:val="008D1035"/>
    <w:rsid w:val="008D126F"/>
    <w:rsid w:val="008D13CF"/>
    <w:rsid w:val="008D152A"/>
    <w:rsid w:val="008D15E0"/>
    <w:rsid w:val="008D15FC"/>
    <w:rsid w:val="008D1825"/>
    <w:rsid w:val="008D185B"/>
    <w:rsid w:val="008D1A09"/>
    <w:rsid w:val="008D1ABE"/>
    <w:rsid w:val="008D1C96"/>
    <w:rsid w:val="008D1D70"/>
    <w:rsid w:val="008D1DC1"/>
    <w:rsid w:val="008D1F05"/>
    <w:rsid w:val="008D1F6B"/>
    <w:rsid w:val="008D25A5"/>
    <w:rsid w:val="008D284D"/>
    <w:rsid w:val="008D2CD4"/>
    <w:rsid w:val="008D2F85"/>
    <w:rsid w:val="008D30CA"/>
    <w:rsid w:val="008D31B8"/>
    <w:rsid w:val="008D3309"/>
    <w:rsid w:val="008D339B"/>
    <w:rsid w:val="008D34E7"/>
    <w:rsid w:val="008D36A9"/>
    <w:rsid w:val="008D393C"/>
    <w:rsid w:val="008D3B5C"/>
    <w:rsid w:val="008D3B62"/>
    <w:rsid w:val="008D3B93"/>
    <w:rsid w:val="008D3E5A"/>
    <w:rsid w:val="008D3EDC"/>
    <w:rsid w:val="008D4477"/>
    <w:rsid w:val="008D4594"/>
    <w:rsid w:val="008D4648"/>
    <w:rsid w:val="008D46D2"/>
    <w:rsid w:val="008D4898"/>
    <w:rsid w:val="008D4CD6"/>
    <w:rsid w:val="008D4D4F"/>
    <w:rsid w:val="008D4D6A"/>
    <w:rsid w:val="008D4F83"/>
    <w:rsid w:val="008D513E"/>
    <w:rsid w:val="008D51D6"/>
    <w:rsid w:val="008D52D6"/>
    <w:rsid w:val="008D5480"/>
    <w:rsid w:val="008D5496"/>
    <w:rsid w:val="008D54DA"/>
    <w:rsid w:val="008D5929"/>
    <w:rsid w:val="008D59A3"/>
    <w:rsid w:val="008D5A0E"/>
    <w:rsid w:val="008D5AD9"/>
    <w:rsid w:val="008D5B06"/>
    <w:rsid w:val="008D5B59"/>
    <w:rsid w:val="008D5ECD"/>
    <w:rsid w:val="008D60DC"/>
    <w:rsid w:val="008D61D5"/>
    <w:rsid w:val="008D61FE"/>
    <w:rsid w:val="008D6204"/>
    <w:rsid w:val="008D6329"/>
    <w:rsid w:val="008D635C"/>
    <w:rsid w:val="008D63A8"/>
    <w:rsid w:val="008D642C"/>
    <w:rsid w:val="008D644C"/>
    <w:rsid w:val="008D6882"/>
    <w:rsid w:val="008D6AC4"/>
    <w:rsid w:val="008D6D63"/>
    <w:rsid w:val="008D6EC7"/>
    <w:rsid w:val="008D7041"/>
    <w:rsid w:val="008D7056"/>
    <w:rsid w:val="008D7371"/>
    <w:rsid w:val="008D741D"/>
    <w:rsid w:val="008D76E0"/>
    <w:rsid w:val="008D7869"/>
    <w:rsid w:val="008D7A7D"/>
    <w:rsid w:val="008D7B06"/>
    <w:rsid w:val="008D7B5D"/>
    <w:rsid w:val="008D7D07"/>
    <w:rsid w:val="008D7D7D"/>
    <w:rsid w:val="008D7E9C"/>
    <w:rsid w:val="008D7F41"/>
    <w:rsid w:val="008E0077"/>
    <w:rsid w:val="008E00C7"/>
    <w:rsid w:val="008E0230"/>
    <w:rsid w:val="008E0274"/>
    <w:rsid w:val="008E0297"/>
    <w:rsid w:val="008E02FA"/>
    <w:rsid w:val="008E067F"/>
    <w:rsid w:val="008E0CA2"/>
    <w:rsid w:val="008E0ECC"/>
    <w:rsid w:val="008E1388"/>
    <w:rsid w:val="008E13E2"/>
    <w:rsid w:val="008E1466"/>
    <w:rsid w:val="008E1497"/>
    <w:rsid w:val="008E149C"/>
    <w:rsid w:val="008E149E"/>
    <w:rsid w:val="008E14E2"/>
    <w:rsid w:val="008E15A9"/>
    <w:rsid w:val="008E163B"/>
    <w:rsid w:val="008E17FE"/>
    <w:rsid w:val="008E18CB"/>
    <w:rsid w:val="008E1900"/>
    <w:rsid w:val="008E19C7"/>
    <w:rsid w:val="008E1A81"/>
    <w:rsid w:val="008E1B17"/>
    <w:rsid w:val="008E1F06"/>
    <w:rsid w:val="008E1F53"/>
    <w:rsid w:val="008E1FC0"/>
    <w:rsid w:val="008E1FD9"/>
    <w:rsid w:val="008E1FEB"/>
    <w:rsid w:val="008E2217"/>
    <w:rsid w:val="008E2794"/>
    <w:rsid w:val="008E2905"/>
    <w:rsid w:val="008E29EB"/>
    <w:rsid w:val="008E2EF2"/>
    <w:rsid w:val="008E311F"/>
    <w:rsid w:val="008E3136"/>
    <w:rsid w:val="008E35A7"/>
    <w:rsid w:val="008E35AB"/>
    <w:rsid w:val="008E360D"/>
    <w:rsid w:val="008E3727"/>
    <w:rsid w:val="008E3728"/>
    <w:rsid w:val="008E394B"/>
    <w:rsid w:val="008E3AF5"/>
    <w:rsid w:val="008E3C74"/>
    <w:rsid w:val="008E3FBB"/>
    <w:rsid w:val="008E4006"/>
    <w:rsid w:val="008E40D3"/>
    <w:rsid w:val="008E416D"/>
    <w:rsid w:val="008E45B7"/>
    <w:rsid w:val="008E45F5"/>
    <w:rsid w:val="008E4C18"/>
    <w:rsid w:val="008E4C4E"/>
    <w:rsid w:val="008E4CA7"/>
    <w:rsid w:val="008E4E0B"/>
    <w:rsid w:val="008E4F8E"/>
    <w:rsid w:val="008E5132"/>
    <w:rsid w:val="008E52F4"/>
    <w:rsid w:val="008E5956"/>
    <w:rsid w:val="008E59DA"/>
    <w:rsid w:val="008E5A20"/>
    <w:rsid w:val="008E5B1B"/>
    <w:rsid w:val="008E5E65"/>
    <w:rsid w:val="008E5ECA"/>
    <w:rsid w:val="008E5FDE"/>
    <w:rsid w:val="008E605B"/>
    <w:rsid w:val="008E60A1"/>
    <w:rsid w:val="008E61AF"/>
    <w:rsid w:val="008E640B"/>
    <w:rsid w:val="008E664A"/>
    <w:rsid w:val="008E6651"/>
    <w:rsid w:val="008E6A3E"/>
    <w:rsid w:val="008E6B4F"/>
    <w:rsid w:val="008E7114"/>
    <w:rsid w:val="008E7330"/>
    <w:rsid w:val="008E75C0"/>
    <w:rsid w:val="008E765E"/>
    <w:rsid w:val="008E7724"/>
    <w:rsid w:val="008E7749"/>
    <w:rsid w:val="008E79CD"/>
    <w:rsid w:val="008E79EA"/>
    <w:rsid w:val="008E7D99"/>
    <w:rsid w:val="008E7DDC"/>
    <w:rsid w:val="008E7E76"/>
    <w:rsid w:val="008F015A"/>
    <w:rsid w:val="008F06C3"/>
    <w:rsid w:val="008F0937"/>
    <w:rsid w:val="008F0990"/>
    <w:rsid w:val="008F0A17"/>
    <w:rsid w:val="008F0BAB"/>
    <w:rsid w:val="008F0CDC"/>
    <w:rsid w:val="008F0D46"/>
    <w:rsid w:val="008F0E08"/>
    <w:rsid w:val="008F0E1E"/>
    <w:rsid w:val="008F0E6B"/>
    <w:rsid w:val="008F11F6"/>
    <w:rsid w:val="008F12FF"/>
    <w:rsid w:val="008F1359"/>
    <w:rsid w:val="008F1C66"/>
    <w:rsid w:val="008F1DC9"/>
    <w:rsid w:val="008F1E94"/>
    <w:rsid w:val="008F1F6F"/>
    <w:rsid w:val="008F1F78"/>
    <w:rsid w:val="008F206F"/>
    <w:rsid w:val="008F22DD"/>
    <w:rsid w:val="008F2452"/>
    <w:rsid w:val="008F2495"/>
    <w:rsid w:val="008F24A8"/>
    <w:rsid w:val="008F24D2"/>
    <w:rsid w:val="008F2698"/>
    <w:rsid w:val="008F26E4"/>
    <w:rsid w:val="008F282F"/>
    <w:rsid w:val="008F2899"/>
    <w:rsid w:val="008F297A"/>
    <w:rsid w:val="008F29CC"/>
    <w:rsid w:val="008F2C00"/>
    <w:rsid w:val="008F2D2E"/>
    <w:rsid w:val="008F2E13"/>
    <w:rsid w:val="008F2E33"/>
    <w:rsid w:val="008F2E34"/>
    <w:rsid w:val="008F2E4C"/>
    <w:rsid w:val="008F3027"/>
    <w:rsid w:val="008F3075"/>
    <w:rsid w:val="008F31C1"/>
    <w:rsid w:val="008F31F9"/>
    <w:rsid w:val="008F3404"/>
    <w:rsid w:val="008F359F"/>
    <w:rsid w:val="008F383F"/>
    <w:rsid w:val="008F3923"/>
    <w:rsid w:val="008F3A05"/>
    <w:rsid w:val="008F3A24"/>
    <w:rsid w:val="008F3B1C"/>
    <w:rsid w:val="008F3B30"/>
    <w:rsid w:val="008F3B4F"/>
    <w:rsid w:val="008F3CAA"/>
    <w:rsid w:val="008F40A3"/>
    <w:rsid w:val="008F4329"/>
    <w:rsid w:val="008F454D"/>
    <w:rsid w:val="008F459D"/>
    <w:rsid w:val="008F473E"/>
    <w:rsid w:val="008F48A5"/>
    <w:rsid w:val="008F4935"/>
    <w:rsid w:val="008F4BA3"/>
    <w:rsid w:val="008F4D2E"/>
    <w:rsid w:val="008F5070"/>
    <w:rsid w:val="008F521F"/>
    <w:rsid w:val="008F527F"/>
    <w:rsid w:val="008F52D5"/>
    <w:rsid w:val="008F53F6"/>
    <w:rsid w:val="008F560D"/>
    <w:rsid w:val="008F56D7"/>
    <w:rsid w:val="008F56E3"/>
    <w:rsid w:val="008F591D"/>
    <w:rsid w:val="008F5BA8"/>
    <w:rsid w:val="008F5EB6"/>
    <w:rsid w:val="008F5ED1"/>
    <w:rsid w:val="008F5F27"/>
    <w:rsid w:val="008F6197"/>
    <w:rsid w:val="008F61ED"/>
    <w:rsid w:val="008F6277"/>
    <w:rsid w:val="008F6433"/>
    <w:rsid w:val="008F643C"/>
    <w:rsid w:val="008F6545"/>
    <w:rsid w:val="008F65C6"/>
    <w:rsid w:val="008F674D"/>
    <w:rsid w:val="008F67B0"/>
    <w:rsid w:val="008F68E1"/>
    <w:rsid w:val="008F691C"/>
    <w:rsid w:val="008F696F"/>
    <w:rsid w:val="008F6B27"/>
    <w:rsid w:val="008F6B50"/>
    <w:rsid w:val="008F6C6B"/>
    <w:rsid w:val="008F6C7B"/>
    <w:rsid w:val="008F6EB3"/>
    <w:rsid w:val="008F6F43"/>
    <w:rsid w:val="008F7085"/>
    <w:rsid w:val="008F70B8"/>
    <w:rsid w:val="008F70C5"/>
    <w:rsid w:val="008F72B7"/>
    <w:rsid w:val="008F751A"/>
    <w:rsid w:val="008F76EE"/>
    <w:rsid w:val="008F79B0"/>
    <w:rsid w:val="008F7AC2"/>
    <w:rsid w:val="008F7C3B"/>
    <w:rsid w:val="008F7C7B"/>
    <w:rsid w:val="008F7F3F"/>
    <w:rsid w:val="008F7F68"/>
    <w:rsid w:val="00900027"/>
    <w:rsid w:val="0090021C"/>
    <w:rsid w:val="0090039F"/>
    <w:rsid w:val="009004BC"/>
    <w:rsid w:val="009004DF"/>
    <w:rsid w:val="009004E8"/>
    <w:rsid w:val="009004EC"/>
    <w:rsid w:val="009005C3"/>
    <w:rsid w:val="00900606"/>
    <w:rsid w:val="009007D0"/>
    <w:rsid w:val="009009AD"/>
    <w:rsid w:val="00900D84"/>
    <w:rsid w:val="00900DA1"/>
    <w:rsid w:val="00900EC0"/>
    <w:rsid w:val="00901158"/>
    <w:rsid w:val="0090119B"/>
    <w:rsid w:val="0090178B"/>
    <w:rsid w:val="00901A37"/>
    <w:rsid w:val="00901A8E"/>
    <w:rsid w:val="00901B1A"/>
    <w:rsid w:val="00901BE0"/>
    <w:rsid w:val="00901BE4"/>
    <w:rsid w:val="00901C34"/>
    <w:rsid w:val="00901CA6"/>
    <w:rsid w:val="00901CB9"/>
    <w:rsid w:val="00901DD3"/>
    <w:rsid w:val="0090221A"/>
    <w:rsid w:val="00902260"/>
    <w:rsid w:val="0090228B"/>
    <w:rsid w:val="009022E0"/>
    <w:rsid w:val="00902433"/>
    <w:rsid w:val="0090271D"/>
    <w:rsid w:val="00902780"/>
    <w:rsid w:val="009028F8"/>
    <w:rsid w:val="00902966"/>
    <w:rsid w:val="00902A69"/>
    <w:rsid w:val="00902C89"/>
    <w:rsid w:val="00902DBB"/>
    <w:rsid w:val="00902E40"/>
    <w:rsid w:val="00902EB0"/>
    <w:rsid w:val="00903154"/>
    <w:rsid w:val="009031EF"/>
    <w:rsid w:val="00903224"/>
    <w:rsid w:val="00903332"/>
    <w:rsid w:val="009033F3"/>
    <w:rsid w:val="009034BA"/>
    <w:rsid w:val="009034FC"/>
    <w:rsid w:val="009035E8"/>
    <w:rsid w:val="00903771"/>
    <w:rsid w:val="009037C1"/>
    <w:rsid w:val="0090383B"/>
    <w:rsid w:val="00903879"/>
    <w:rsid w:val="0090394A"/>
    <w:rsid w:val="00903A6A"/>
    <w:rsid w:val="00903C3E"/>
    <w:rsid w:val="00903C84"/>
    <w:rsid w:val="00904146"/>
    <w:rsid w:val="0090419D"/>
    <w:rsid w:val="009043B0"/>
    <w:rsid w:val="0090443C"/>
    <w:rsid w:val="0090445A"/>
    <w:rsid w:val="009044EB"/>
    <w:rsid w:val="00904648"/>
    <w:rsid w:val="009046DC"/>
    <w:rsid w:val="009047BC"/>
    <w:rsid w:val="0090497D"/>
    <w:rsid w:val="00904CB2"/>
    <w:rsid w:val="00905204"/>
    <w:rsid w:val="00905409"/>
    <w:rsid w:val="009054E1"/>
    <w:rsid w:val="00905541"/>
    <w:rsid w:val="00905590"/>
    <w:rsid w:val="009055FB"/>
    <w:rsid w:val="00905697"/>
    <w:rsid w:val="009056E0"/>
    <w:rsid w:val="00905B37"/>
    <w:rsid w:val="0090639E"/>
    <w:rsid w:val="0090665B"/>
    <w:rsid w:val="00906736"/>
    <w:rsid w:val="0090695D"/>
    <w:rsid w:val="0090696A"/>
    <w:rsid w:val="00906BF0"/>
    <w:rsid w:val="00906CC0"/>
    <w:rsid w:val="00906D28"/>
    <w:rsid w:val="00906E90"/>
    <w:rsid w:val="00906FB2"/>
    <w:rsid w:val="00907100"/>
    <w:rsid w:val="0090725E"/>
    <w:rsid w:val="00907381"/>
    <w:rsid w:val="009075F4"/>
    <w:rsid w:val="0090772C"/>
    <w:rsid w:val="00907803"/>
    <w:rsid w:val="009079E8"/>
    <w:rsid w:val="00907BFE"/>
    <w:rsid w:val="00907E45"/>
    <w:rsid w:val="0091007A"/>
    <w:rsid w:val="0091023F"/>
    <w:rsid w:val="00910272"/>
    <w:rsid w:val="0091031F"/>
    <w:rsid w:val="0091070F"/>
    <w:rsid w:val="00910744"/>
    <w:rsid w:val="00910875"/>
    <w:rsid w:val="009108BE"/>
    <w:rsid w:val="009108EE"/>
    <w:rsid w:val="009109AD"/>
    <w:rsid w:val="009109C9"/>
    <w:rsid w:val="00910A12"/>
    <w:rsid w:val="00910A50"/>
    <w:rsid w:val="00910B60"/>
    <w:rsid w:val="00910ECC"/>
    <w:rsid w:val="00910F3C"/>
    <w:rsid w:val="00910FB0"/>
    <w:rsid w:val="0091101D"/>
    <w:rsid w:val="0091120C"/>
    <w:rsid w:val="0091180D"/>
    <w:rsid w:val="00911970"/>
    <w:rsid w:val="00911B0A"/>
    <w:rsid w:val="00911C72"/>
    <w:rsid w:val="00911FB1"/>
    <w:rsid w:val="00912303"/>
    <w:rsid w:val="00912466"/>
    <w:rsid w:val="009126C8"/>
    <w:rsid w:val="0091285A"/>
    <w:rsid w:val="00912A8A"/>
    <w:rsid w:val="00912B92"/>
    <w:rsid w:val="00912C30"/>
    <w:rsid w:val="00912CD9"/>
    <w:rsid w:val="00912D89"/>
    <w:rsid w:val="00912DDF"/>
    <w:rsid w:val="00912E36"/>
    <w:rsid w:val="00912E4D"/>
    <w:rsid w:val="00912E75"/>
    <w:rsid w:val="00912F45"/>
    <w:rsid w:val="0091300B"/>
    <w:rsid w:val="009130E3"/>
    <w:rsid w:val="009130F2"/>
    <w:rsid w:val="00913114"/>
    <w:rsid w:val="009133C6"/>
    <w:rsid w:val="0091348E"/>
    <w:rsid w:val="009134E6"/>
    <w:rsid w:val="00913639"/>
    <w:rsid w:val="00913677"/>
    <w:rsid w:val="00913856"/>
    <w:rsid w:val="0091397C"/>
    <w:rsid w:val="009139BA"/>
    <w:rsid w:val="00913B8B"/>
    <w:rsid w:val="00913BE7"/>
    <w:rsid w:val="00913D72"/>
    <w:rsid w:val="00913FB6"/>
    <w:rsid w:val="00914058"/>
    <w:rsid w:val="009142AA"/>
    <w:rsid w:val="00914318"/>
    <w:rsid w:val="009145DD"/>
    <w:rsid w:val="0091461B"/>
    <w:rsid w:val="0091476B"/>
    <w:rsid w:val="009147CB"/>
    <w:rsid w:val="009148C5"/>
    <w:rsid w:val="00914A34"/>
    <w:rsid w:val="00914B6F"/>
    <w:rsid w:val="00914BAB"/>
    <w:rsid w:val="00914BC2"/>
    <w:rsid w:val="00914BD9"/>
    <w:rsid w:val="00914DB1"/>
    <w:rsid w:val="00914DDC"/>
    <w:rsid w:val="00914F38"/>
    <w:rsid w:val="00915124"/>
    <w:rsid w:val="0091523C"/>
    <w:rsid w:val="0091549F"/>
    <w:rsid w:val="00915527"/>
    <w:rsid w:val="00915574"/>
    <w:rsid w:val="00915659"/>
    <w:rsid w:val="009156BE"/>
    <w:rsid w:val="009157BB"/>
    <w:rsid w:val="00915822"/>
    <w:rsid w:val="00915966"/>
    <w:rsid w:val="00915A44"/>
    <w:rsid w:val="00915B59"/>
    <w:rsid w:val="00915B95"/>
    <w:rsid w:val="00915C3B"/>
    <w:rsid w:val="00915CB9"/>
    <w:rsid w:val="00915CD5"/>
    <w:rsid w:val="00915E02"/>
    <w:rsid w:val="00915FD5"/>
    <w:rsid w:val="0091601B"/>
    <w:rsid w:val="009160C3"/>
    <w:rsid w:val="00916231"/>
    <w:rsid w:val="009162E5"/>
    <w:rsid w:val="00916454"/>
    <w:rsid w:val="009165E5"/>
    <w:rsid w:val="009166B0"/>
    <w:rsid w:val="00916745"/>
    <w:rsid w:val="009169A7"/>
    <w:rsid w:val="00916A19"/>
    <w:rsid w:val="00916ACD"/>
    <w:rsid w:val="00916ADE"/>
    <w:rsid w:val="00916DA1"/>
    <w:rsid w:val="00916FE1"/>
    <w:rsid w:val="00916FFB"/>
    <w:rsid w:val="00917027"/>
    <w:rsid w:val="0091707B"/>
    <w:rsid w:val="0091713C"/>
    <w:rsid w:val="009171A7"/>
    <w:rsid w:val="00917663"/>
    <w:rsid w:val="00917672"/>
    <w:rsid w:val="009177D5"/>
    <w:rsid w:val="0091791D"/>
    <w:rsid w:val="0091798C"/>
    <w:rsid w:val="00917A1E"/>
    <w:rsid w:val="00917C50"/>
    <w:rsid w:val="00917D61"/>
    <w:rsid w:val="00917D7D"/>
    <w:rsid w:val="00917E22"/>
    <w:rsid w:val="00917E27"/>
    <w:rsid w:val="00917F76"/>
    <w:rsid w:val="00917FCD"/>
    <w:rsid w:val="00920073"/>
    <w:rsid w:val="009200B7"/>
    <w:rsid w:val="00920436"/>
    <w:rsid w:val="0092067B"/>
    <w:rsid w:val="009206C8"/>
    <w:rsid w:val="009206CC"/>
    <w:rsid w:val="009206FC"/>
    <w:rsid w:val="00920759"/>
    <w:rsid w:val="00920D5C"/>
    <w:rsid w:val="00920DBE"/>
    <w:rsid w:val="00920F54"/>
    <w:rsid w:val="009213FE"/>
    <w:rsid w:val="009215C7"/>
    <w:rsid w:val="009216A3"/>
    <w:rsid w:val="00921739"/>
    <w:rsid w:val="00921757"/>
    <w:rsid w:val="009218D9"/>
    <w:rsid w:val="0092196C"/>
    <w:rsid w:val="00921CC7"/>
    <w:rsid w:val="00921D04"/>
    <w:rsid w:val="00921E31"/>
    <w:rsid w:val="009220CE"/>
    <w:rsid w:val="00922487"/>
    <w:rsid w:val="00922552"/>
    <w:rsid w:val="009225B9"/>
    <w:rsid w:val="009225C1"/>
    <w:rsid w:val="009225F0"/>
    <w:rsid w:val="00922789"/>
    <w:rsid w:val="0092290F"/>
    <w:rsid w:val="00922A6D"/>
    <w:rsid w:val="00922B11"/>
    <w:rsid w:val="00922B12"/>
    <w:rsid w:val="00922BE9"/>
    <w:rsid w:val="00922D6A"/>
    <w:rsid w:val="00922D79"/>
    <w:rsid w:val="00922F71"/>
    <w:rsid w:val="009230EF"/>
    <w:rsid w:val="00923515"/>
    <w:rsid w:val="009238FE"/>
    <w:rsid w:val="009239F4"/>
    <w:rsid w:val="00923A9C"/>
    <w:rsid w:val="00923AE4"/>
    <w:rsid w:val="00923DDC"/>
    <w:rsid w:val="00923E39"/>
    <w:rsid w:val="00924126"/>
    <w:rsid w:val="0092412A"/>
    <w:rsid w:val="0092418E"/>
    <w:rsid w:val="009243BE"/>
    <w:rsid w:val="00924620"/>
    <w:rsid w:val="0092467C"/>
    <w:rsid w:val="00924682"/>
    <w:rsid w:val="009246D8"/>
    <w:rsid w:val="00924769"/>
    <w:rsid w:val="0092484E"/>
    <w:rsid w:val="00924C96"/>
    <w:rsid w:val="00924CC0"/>
    <w:rsid w:val="00924D72"/>
    <w:rsid w:val="00924D93"/>
    <w:rsid w:val="00924F2B"/>
    <w:rsid w:val="00924FB1"/>
    <w:rsid w:val="00925014"/>
    <w:rsid w:val="009250A6"/>
    <w:rsid w:val="009252B7"/>
    <w:rsid w:val="00925396"/>
    <w:rsid w:val="00925A7A"/>
    <w:rsid w:val="00925A7F"/>
    <w:rsid w:val="00925A84"/>
    <w:rsid w:val="00925D02"/>
    <w:rsid w:val="00925E51"/>
    <w:rsid w:val="00926250"/>
    <w:rsid w:val="00926272"/>
    <w:rsid w:val="00926274"/>
    <w:rsid w:val="00926323"/>
    <w:rsid w:val="00926349"/>
    <w:rsid w:val="00926423"/>
    <w:rsid w:val="00926486"/>
    <w:rsid w:val="009266BF"/>
    <w:rsid w:val="0092670E"/>
    <w:rsid w:val="0092696C"/>
    <w:rsid w:val="00926A4A"/>
    <w:rsid w:val="00926BFC"/>
    <w:rsid w:val="00926CF2"/>
    <w:rsid w:val="00926D3E"/>
    <w:rsid w:val="00926DFC"/>
    <w:rsid w:val="00926E3D"/>
    <w:rsid w:val="00927114"/>
    <w:rsid w:val="0092718D"/>
    <w:rsid w:val="00927195"/>
    <w:rsid w:val="00927425"/>
    <w:rsid w:val="00927435"/>
    <w:rsid w:val="009274F8"/>
    <w:rsid w:val="0092755E"/>
    <w:rsid w:val="0092756E"/>
    <w:rsid w:val="009275AB"/>
    <w:rsid w:val="009275BA"/>
    <w:rsid w:val="009275F1"/>
    <w:rsid w:val="009277B3"/>
    <w:rsid w:val="00927AC1"/>
    <w:rsid w:val="00927C44"/>
    <w:rsid w:val="00927C5F"/>
    <w:rsid w:val="00927CAD"/>
    <w:rsid w:val="00927D55"/>
    <w:rsid w:val="009300B5"/>
    <w:rsid w:val="009302D0"/>
    <w:rsid w:val="00930412"/>
    <w:rsid w:val="0093076D"/>
    <w:rsid w:val="00930784"/>
    <w:rsid w:val="0093099C"/>
    <w:rsid w:val="009309F8"/>
    <w:rsid w:val="00930A80"/>
    <w:rsid w:val="00930C63"/>
    <w:rsid w:val="00930D93"/>
    <w:rsid w:val="00930EB8"/>
    <w:rsid w:val="0093105B"/>
    <w:rsid w:val="009310C4"/>
    <w:rsid w:val="0093122A"/>
    <w:rsid w:val="0093127F"/>
    <w:rsid w:val="00931775"/>
    <w:rsid w:val="00931824"/>
    <w:rsid w:val="00931AAF"/>
    <w:rsid w:val="00931AEC"/>
    <w:rsid w:val="00931B68"/>
    <w:rsid w:val="00931BCE"/>
    <w:rsid w:val="00931BD3"/>
    <w:rsid w:val="00931D49"/>
    <w:rsid w:val="00931F8E"/>
    <w:rsid w:val="00931FD3"/>
    <w:rsid w:val="009320E0"/>
    <w:rsid w:val="00932138"/>
    <w:rsid w:val="00932171"/>
    <w:rsid w:val="0093218D"/>
    <w:rsid w:val="009322B2"/>
    <w:rsid w:val="0093243B"/>
    <w:rsid w:val="0093244A"/>
    <w:rsid w:val="0093253F"/>
    <w:rsid w:val="00932692"/>
    <w:rsid w:val="0093272D"/>
    <w:rsid w:val="00932780"/>
    <w:rsid w:val="00932927"/>
    <w:rsid w:val="00932A72"/>
    <w:rsid w:val="00932C6C"/>
    <w:rsid w:val="00932DBE"/>
    <w:rsid w:val="00933016"/>
    <w:rsid w:val="009330BE"/>
    <w:rsid w:val="009332D4"/>
    <w:rsid w:val="00933515"/>
    <w:rsid w:val="00933602"/>
    <w:rsid w:val="00933C5D"/>
    <w:rsid w:val="00933CB1"/>
    <w:rsid w:val="00933CD4"/>
    <w:rsid w:val="00934126"/>
    <w:rsid w:val="00934130"/>
    <w:rsid w:val="00934164"/>
    <w:rsid w:val="0093419A"/>
    <w:rsid w:val="009341D0"/>
    <w:rsid w:val="009341E7"/>
    <w:rsid w:val="0093472F"/>
    <w:rsid w:val="009347DB"/>
    <w:rsid w:val="00934A35"/>
    <w:rsid w:val="00934E95"/>
    <w:rsid w:val="00934EC5"/>
    <w:rsid w:val="00934FDC"/>
    <w:rsid w:val="00934FE5"/>
    <w:rsid w:val="00935011"/>
    <w:rsid w:val="00935124"/>
    <w:rsid w:val="00935297"/>
    <w:rsid w:val="00935469"/>
    <w:rsid w:val="00935488"/>
    <w:rsid w:val="009354B4"/>
    <w:rsid w:val="009355B6"/>
    <w:rsid w:val="009355D6"/>
    <w:rsid w:val="00935729"/>
    <w:rsid w:val="00935B5D"/>
    <w:rsid w:val="00935B9A"/>
    <w:rsid w:val="00935BCD"/>
    <w:rsid w:val="00935E99"/>
    <w:rsid w:val="00935EAC"/>
    <w:rsid w:val="00935F02"/>
    <w:rsid w:val="00935F05"/>
    <w:rsid w:val="00936261"/>
    <w:rsid w:val="0093674A"/>
    <w:rsid w:val="0093682E"/>
    <w:rsid w:val="00936831"/>
    <w:rsid w:val="00936969"/>
    <w:rsid w:val="009369A6"/>
    <w:rsid w:val="00936CD4"/>
    <w:rsid w:val="00936DF0"/>
    <w:rsid w:val="00937203"/>
    <w:rsid w:val="009372A5"/>
    <w:rsid w:val="00937314"/>
    <w:rsid w:val="00937334"/>
    <w:rsid w:val="00937B18"/>
    <w:rsid w:val="00937C27"/>
    <w:rsid w:val="00937D27"/>
    <w:rsid w:val="00937D59"/>
    <w:rsid w:val="00937DBB"/>
    <w:rsid w:val="00937DD4"/>
    <w:rsid w:val="00937FFD"/>
    <w:rsid w:val="00940106"/>
    <w:rsid w:val="0094010B"/>
    <w:rsid w:val="009401A1"/>
    <w:rsid w:val="009401DF"/>
    <w:rsid w:val="009401E2"/>
    <w:rsid w:val="00940204"/>
    <w:rsid w:val="00940320"/>
    <w:rsid w:val="0094039A"/>
    <w:rsid w:val="0094041A"/>
    <w:rsid w:val="009404CB"/>
    <w:rsid w:val="0094082A"/>
    <w:rsid w:val="00940F37"/>
    <w:rsid w:val="00941065"/>
    <w:rsid w:val="00941076"/>
    <w:rsid w:val="00941398"/>
    <w:rsid w:val="00941461"/>
    <w:rsid w:val="00941627"/>
    <w:rsid w:val="00941659"/>
    <w:rsid w:val="00941867"/>
    <w:rsid w:val="009418E2"/>
    <w:rsid w:val="009419A4"/>
    <w:rsid w:val="009419A7"/>
    <w:rsid w:val="00941A2A"/>
    <w:rsid w:val="00941CCB"/>
    <w:rsid w:val="00941D4D"/>
    <w:rsid w:val="00941D6A"/>
    <w:rsid w:val="00941D9B"/>
    <w:rsid w:val="00941DB1"/>
    <w:rsid w:val="00941DC6"/>
    <w:rsid w:val="00941EB9"/>
    <w:rsid w:val="009420A1"/>
    <w:rsid w:val="009420DF"/>
    <w:rsid w:val="009423DB"/>
    <w:rsid w:val="009423E7"/>
    <w:rsid w:val="00942542"/>
    <w:rsid w:val="009425D7"/>
    <w:rsid w:val="009425FD"/>
    <w:rsid w:val="0094263D"/>
    <w:rsid w:val="0094273D"/>
    <w:rsid w:val="00942805"/>
    <w:rsid w:val="009428F6"/>
    <w:rsid w:val="00942B2C"/>
    <w:rsid w:val="00942B76"/>
    <w:rsid w:val="00942BA5"/>
    <w:rsid w:val="00942BD2"/>
    <w:rsid w:val="00942DD6"/>
    <w:rsid w:val="00942E94"/>
    <w:rsid w:val="00942F2C"/>
    <w:rsid w:val="00942F6F"/>
    <w:rsid w:val="00942F87"/>
    <w:rsid w:val="0094308D"/>
    <w:rsid w:val="00943126"/>
    <w:rsid w:val="009433FE"/>
    <w:rsid w:val="00943417"/>
    <w:rsid w:val="009434BC"/>
    <w:rsid w:val="009434E0"/>
    <w:rsid w:val="0094352D"/>
    <w:rsid w:val="009435E2"/>
    <w:rsid w:val="00943765"/>
    <w:rsid w:val="00943858"/>
    <w:rsid w:val="00943867"/>
    <w:rsid w:val="0094391D"/>
    <w:rsid w:val="00943981"/>
    <w:rsid w:val="00943C38"/>
    <w:rsid w:val="00943C55"/>
    <w:rsid w:val="00943DDA"/>
    <w:rsid w:val="00943E1D"/>
    <w:rsid w:val="00943E2D"/>
    <w:rsid w:val="00943FCA"/>
    <w:rsid w:val="00944573"/>
    <w:rsid w:val="0094458A"/>
    <w:rsid w:val="00944757"/>
    <w:rsid w:val="009447B8"/>
    <w:rsid w:val="009448EA"/>
    <w:rsid w:val="00944951"/>
    <w:rsid w:val="00944F7A"/>
    <w:rsid w:val="00944FF1"/>
    <w:rsid w:val="009451A4"/>
    <w:rsid w:val="009454CE"/>
    <w:rsid w:val="00945596"/>
    <w:rsid w:val="0094595C"/>
    <w:rsid w:val="00945ABE"/>
    <w:rsid w:val="00945AC0"/>
    <w:rsid w:val="00945E36"/>
    <w:rsid w:val="00945EF2"/>
    <w:rsid w:val="00945EF3"/>
    <w:rsid w:val="00945F49"/>
    <w:rsid w:val="00946091"/>
    <w:rsid w:val="009460F6"/>
    <w:rsid w:val="00946131"/>
    <w:rsid w:val="009461BB"/>
    <w:rsid w:val="0094639F"/>
    <w:rsid w:val="009463B0"/>
    <w:rsid w:val="00946488"/>
    <w:rsid w:val="009464FA"/>
    <w:rsid w:val="009465C1"/>
    <w:rsid w:val="00946757"/>
    <w:rsid w:val="009468ED"/>
    <w:rsid w:val="0094695D"/>
    <w:rsid w:val="00946DF4"/>
    <w:rsid w:val="00946EE5"/>
    <w:rsid w:val="0094707B"/>
    <w:rsid w:val="0094707C"/>
    <w:rsid w:val="009470B6"/>
    <w:rsid w:val="00947117"/>
    <w:rsid w:val="009471CA"/>
    <w:rsid w:val="00947208"/>
    <w:rsid w:val="00947459"/>
    <w:rsid w:val="009474F8"/>
    <w:rsid w:val="009477F1"/>
    <w:rsid w:val="00947805"/>
    <w:rsid w:val="0094780E"/>
    <w:rsid w:val="00947908"/>
    <w:rsid w:val="00947B37"/>
    <w:rsid w:val="00947BA5"/>
    <w:rsid w:val="00947EE9"/>
    <w:rsid w:val="00947F65"/>
    <w:rsid w:val="0095008A"/>
    <w:rsid w:val="0095014E"/>
    <w:rsid w:val="00950177"/>
    <w:rsid w:val="009501E2"/>
    <w:rsid w:val="0095027C"/>
    <w:rsid w:val="009502BA"/>
    <w:rsid w:val="009503E5"/>
    <w:rsid w:val="009504EB"/>
    <w:rsid w:val="0095054D"/>
    <w:rsid w:val="009509FD"/>
    <w:rsid w:val="00950AE8"/>
    <w:rsid w:val="00950D38"/>
    <w:rsid w:val="00950D90"/>
    <w:rsid w:val="00950D92"/>
    <w:rsid w:val="00950E0F"/>
    <w:rsid w:val="00950E15"/>
    <w:rsid w:val="00950E58"/>
    <w:rsid w:val="0095107A"/>
    <w:rsid w:val="009510DE"/>
    <w:rsid w:val="00951152"/>
    <w:rsid w:val="0095153C"/>
    <w:rsid w:val="009515A2"/>
    <w:rsid w:val="009519AB"/>
    <w:rsid w:val="009519E4"/>
    <w:rsid w:val="00951B4A"/>
    <w:rsid w:val="00951F99"/>
    <w:rsid w:val="00951FE5"/>
    <w:rsid w:val="009520BF"/>
    <w:rsid w:val="009520CA"/>
    <w:rsid w:val="00952293"/>
    <w:rsid w:val="0095233D"/>
    <w:rsid w:val="0095235F"/>
    <w:rsid w:val="009525F4"/>
    <w:rsid w:val="00952675"/>
    <w:rsid w:val="00952AC8"/>
    <w:rsid w:val="00952C44"/>
    <w:rsid w:val="00953015"/>
    <w:rsid w:val="00953051"/>
    <w:rsid w:val="009535F7"/>
    <w:rsid w:val="009539A3"/>
    <w:rsid w:val="00953DB1"/>
    <w:rsid w:val="00953E58"/>
    <w:rsid w:val="009541E8"/>
    <w:rsid w:val="00954277"/>
    <w:rsid w:val="0095433E"/>
    <w:rsid w:val="0095442F"/>
    <w:rsid w:val="00954441"/>
    <w:rsid w:val="0095448C"/>
    <w:rsid w:val="009544F5"/>
    <w:rsid w:val="00954516"/>
    <w:rsid w:val="00954650"/>
    <w:rsid w:val="009546CC"/>
    <w:rsid w:val="009547F4"/>
    <w:rsid w:val="0095484D"/>
    <w:rsid w:val="00954A1F"/>
    <w:rsid w:val="00954B2F"/>
    <w:rsid w:val="00954BB2"/>
    <w:rsid w:val="00954BE2"/>
    <w:rsid w:val="00955220"/>
    <w:rsid w:val="00955411"/>
    <w:rsid w:val="009557FB"/>
    <w:rsid w:val="00955C08"/>
    <w:rsid w:val="00955C5D"/>
    <w:rsid w:val="00955CB1"/>
    <w:rsid w:val="00955DE9"/>
    <w:rsid w:val="00955E18"/>
    <w:rsid w:val="00956001"/>
    <w:rsid w:val="009561EC"/>
    <w:rsid w:val="009562CD"/>
    <w:rsid w:val="0095663E"/>
    <w:rsid w:val="00956908"/>
    <w:rsid w:val="00956A44"/>
    <w:rsid w:val="00956B27"/>
    <w:rsid w:val="00956B54"/>
    <w:rsid w:val="00956C3F"/>
    <w:rsid w:val="00956C83"/>
    <w:rsid w:val="00956CE8"/>
    <w:rsid w:val="0095703E"/>
    <w:rsid w:val="00957284"/>
    <w:rsid w:val="009572D3"/>
    <w:rsid w:val="009573D2"/>
    <w:rsid w:val="00957448"/>
    <w:rsid w:val="00957500"/>
    <w:rsid w:val="009577E5"/>
    <w:rsid w:val="0095797D"/>
    <w:rsid w:val="009579EE"/>
    <w:rsid w:val="00957E25"/>
    <w:rsid w:val="0096012C"/>
    <w:rsid w:val="009601D7"/>
    <w:rsid w:val="00960609"/>
    <w:rsid w:val="009606A2"/>
    <w:rsid w:val="009606BE"/>
    <w:rsid w:val="009606D7"/>
    <w:rsid w:val="0096070F"/>
    <w:rsid w:val="00960928"/>
    <w:rsid w:val="0096097D"/>
    <w:rsid w:val="00960C92"/>
    <w:rsid w:val="00960CBB"/>
    <w:rsid w:val="00960D82"/>
    <w:rsid w:val="00960EB6"/>
    <w:rsid w:val="00960F22"/>
    <w:rsid w:val="00960F35"/>
    <w:rsid w:val="0096108F"/>
    <w:rsid w:val="009610A5"/>
    <w:rsid w:val="00961155"/>
    <w:rsid w:val="009611EE"/>
    <w:rsid w:val="00961202"/>
    <w:rsid w:val="009613EF"/>
    <w:rsid w:val="009615DC"/>
    <w:rsid w:val="0096165E"/>
    <w:rsid w:val="00961880"/>
    <w:rsid w:val="00961ED1"/>
    <w:rsid w:val="00961EF2"/>
    <w:rsid w:val="00961F36"/>
    <w:rsid w:val="00961F94"/>
    <w:rsid w:val="00961FEB"/>
    <w:rsid w:val="00962081"/>
    <w:rsid w:val="00962144"/>
    <w:rsid w:val="009623CB"/>
    <w:rsid w:val="009623DF"/>
    <w:rsid w:val="00962433"/>
    <w:rsid w:val="0096244B"/>
    <w:rsid w:val="0096252C"/>
    <w:rsid w:val="0096258C"/>
    <w:rsid w:val="00962646"/>
    <w:rsid w:val="009626F0"/>
    <w:rsid w:val="00962B95"/>
    <w:rsid w:val="00962E44"/>
    <w:rsid w:val="0096354D"/>
    <w:rsid w:val="009637B7"/>
    <w:rsid w:val="009637EB"/>
    <w:rsid w:val="00963A7E"/>
    <w:rsid w:val="00963A8C"/>
    <w:rsid w:val="00963C46"/>
    <w:rsid w:val="00963D50"/>
    <w:rsid w:val="00963D8F"/>
    <w:rsid w:val="00963FDC"/>
    <w:rsid w:val="0096459A"/>
    <w:rsid w:val="009646E9"/>
    <w:rsid w:val="009647E9"/>
    <w:rsid w:val="0096485C"/>
    <w:rsid w:val="009649B5"/>
    <w:rsid w:val="00964A5B"/>
    <w:rsid w:val="00964B38"/>
    <w:rsid w:val="00964EE7"/>
    <w:rsid w:val="00964F20"/>
    <w:rsid w:val="00964F49"/>
    <w:rsid w:val="00964FC2"/>
    <w:rsid w:val="009651F6"/>
    <w:rsid w:val="009652BD"/>
    <w:rsid w:val="00965625"/>
    <w:rsid w:val="00965A76"/>
    <w:rsid w:val="00965ADA"/>
    <w:rsid w:val="00965B6E"/>
    <w:rsid w:val="00965B7E"/>
    <w:rsid w:val="00965BA2"/>
    <w:rsid w:val="00965E6D"/>
    <w:rsid w:val="00965F46"/>
    <w:rsid w:val="009660BD"/>
    <w:rsid w:val="009661BE"/>
    <w:rsid w:val="0096631A"/>
    <w:rsid w:val="009664CC"/>
    <w:rsid w:val="009668C9"/>
    <w:rsid w:val="00966AEC"/>
    <w:rsid w:val="00966B4B"/>
    <w:rsid w:val="00966B81"/>
    <w:rsid w:val="00966FD0"/>
    <w:rsid w:val="0096707A"/>
    <w:rsid w:val="009671B5"/>
    <w:rsid w:val="00967284"/>
    <w:rsid w:val="0096762E"/>
    <w:rsid w:val="00967691"/>
    <w:rsid w:val="00967727"/>
    <w:rsid w:val="009677A0"/>
    <w:rsid w:val="00967A86"/>
    <w:rsid w:val="00967A90"/>
    <w:rsid w:val="00967CD7"/>
    <w:rsid w:val="00967E0A"/>
    <w:rsid w:val="00967F32"/>
    <w:rsid w:val="00970102"/>
    <w:rsid w:val="00970199"/>
    <w:rsid w:val="009701E9"/>
    <w:rsid w:val="00970231"/>
    <w:rsid w:val="009702FE"/>
    <w:rsid w:val="00970466"/>
    <w:rsid w:val="0097047B"/>
    <w:rsid w:val="00970484"/>
    <w:rsid w:val="0097061F"/>
    <w:rsid w:val="009707E7"/>
    <w:rsid w:val="009708D4"/>
    <w:rsid w:val="00970A8A"/>
    <w:rsid w:val="00970C01"/>
    <w:rsid w:val="00970C83"/>
    <w:rsid w:val="00970E37"/>
    <w:rsid w:val="009710CF"/>
    <w:rsid w:val="00971161"/>
    <w:rsid w:val="009711D6"/>
    <w:rsid w:val="00971291"/>
    <w:rsid w:val="009713F1"/>
    <w:rsid w:val="00971411"/>
    <w:rsid w:val="009714C2"/>
    <w:rsid w:val="00971601"/>
    <w:rsid w:val="00971753"/>
    <w:rsid w:val="009718AC"/>
    <w:rsid w:val="0097196C"/>
    <w:rsid w:val="00971970"/>
    <w:rsid w:val="009719B7"/>
    <w:rsid w:val="00971AFC"/>
    <w:rsid w:val="00971F04"/>
    <w:rsid w:val="00972009"/>
    <w:rsid w:val="0097222E"/>
    <w:rsid w:val="009722DC"/>
    <w:rsid w:val="00972365"/>
    <w:rsid w:val="009725E9"/>
    <w:rsid w:val="00972920"/>
    <w:rsid w:val="00972B33"/>
    <w:rsid w:val="00972B46"/>
    <w:rsid w:val="00972B79"/>
    <w:rsid w:val="00972C43"/>
    <w:rsid w:val="00972CE4"/>
    <w:rsid w:val="00972F62"/>
    <w:rsid w:val="00973238"/>
    <w:rsid w:val="00973421"/>
    <w:rsid w:val="00973787"/>
    <w:rsid w:val="00973972"/>
    <w:rsid w:val="009739BC"/>
    <w:rsid w:val="00973A25"/>
    <w:rsid w:val="00973AAF"/>
    <w:rsid w:val="00973B63"/>
    <w:rsid w:val="00973DA3"/>
    <w:rsid w:val="00973F8C"/>
    <w:rsid w:val="00973FE2"/>
    <w:rsid w:val="00974057"/>
    <w:rsid w:val="00974138"/>
    <w:rsid w:val="009741F8"/>
    <w:rsid w:val="00974448"/>
    <w:rsid w:val="009744A6"/>
    <w:rsid w:val="00974503"/>
    <w:rsid w:val="0097465F"/>
    <w:rsid w:val="00974793"/>
    <w:rsid w:val="009747DD"/>
    <w:rsid w:val="00974A47"/>
    <w:rsid w:val="00974AA2"/>
    <w:rsid w:val="00974C7A"/>
    <w:rsid w:val="00974DF1"/>
    <w:rsid w:val="00974E7B"/>
    <w:rsid w:val="00975035"/>
    <w:rsid w:val="009750E0"/>
    <w:rsid w:val="009751D0"/>
    <w:rsid w:val="0097521B"/>
    <w:rsid w:val="00975328"/>
    <w:rsid w:val="009753D5"/>
    <w:rsid w:val="0097558A"/>
    <w:rsid w:val="00975598"/>
    <w:rsid w:val="009755AE"/>
    <w:rsid w:val="0097567A"/>
    <w:rsid w:val="00975861"/>
    <w:rsid w:val="009758D4"/>
    <w:rsid w:val="00975978"/>
    <w:rsid w:val="009759C6"/>
    <w:rsid w:val="00975B2C"/>
    <w:rsid w:val="00975C29"/>
    <w:rsid w:val="00976142"/>
    <w:rsid w:val="00976258"/>
    <w:rsid w:val="009762C4"/>
    <w:rsid w:val="009762FE"/>
    <w:rsid w:val="00976309"/>
    <w:rsid w:val="0097641F"/>
    <w:rsid w:val="0097644A"/>
    <w:rsid w:val="009766C1"/>
    <w:rsid w:val="009766EF"/>
    <w:rsid w:val="0097674D"/>
    <w:rsid w:val="009768DC"/>
    <w:rsid w:val="00976996"/>
    <w:rsid w:val="00976A12"/>
    <w:rsid w:val="00976E7C"/>
    <w:rsid w:val="00976FD9"/>
    <w:rsid w:val="00977022"/>
    <w:rsid w:val="009771A6"/>
    <w:rsid w:val="00977288"/>
    <w:rsid w:val="0097728B"/>
    <w:rsid w:val="009774CC"/>
    <w:rsid w:val="0097768A"/>
    <w:rsid w:val="009776AF"/>
    <w:rsid w:val="00977852"/>
    <w:rsid w:val="0097787D"/>
    <w:rsid w:val="009778FD"/>
    <w:rsid w:val="00977914"/>
    <w:rsid w:val="009779F5"/>
    <w:rsid w:val="00977BC6"/>
    <w:rsid w:val="00977C80"/>
    <w:rsid w:val="00977EB0"/>
    <w:rsid w:val="00977F0D"/>
    <w:rsid w:val="0098011E"/>
    <w:rsid w:val="009801D2"/>
    <w:rsid w:val="009802D1"/>
    <w:rsid w:val="0098050A"/>
    <w:rsid w:val="00980517"/>
    <w:rsid w:val="0098073F"/>
    <w:rsid w:val="0098083D"/>
    <w:rsid w:val="00980851"/>
    <w:rsid w:val="00980AB1"/>
    <w:rsid w:val="00980AFE"/>
    <w:rsid w:val="00980C30"/>
    <w:rsid w:val="00980C88"/>
    <w:rsid w:val="00980DF3"/>
    <w:rsid w:val="00980E06"/>
    <w:rsid w:val="00980E26"/>
    <w:rsid w:val="00980FAC"/>
    <w:rsid w:val="00980FDF"/>
    <w:rsid w:val="00981065"/>
    <w:rsid w:val="009810A3"/>
    <w:rsid w:val="0098113D"/>
    <w:rsid w:val="0098126B"/>
    <w:rsid w:val="00981418"/>
    <w:rsid w:val="00981440"/>
    <w:rsid w:val="0098150A"/>
    <w:rsid w:val="009817D1"/>
    <w:rsid w:val="00981A60"/>
    <w:rsid w:val="00981C53"/>
    <w:rsid w:val="00981D45"/>
    <w:rsid w:val="00981F3E"/>
    <w:rsid w:val="0098202B"/>
    <w:rsid w:val="0098271E"/>
    <w:rsid w:val="0098272F"/>
    <w:rsid w:val="0098275B"/>
    <w:rsid w:val="00982A76"/>
    <w:rsid w:val="00982B7E"/>
    <w:rsid w:val="00982B93"/>
    <w:rsid w:val="00982BD5"/>
    <w:rsid w:val="0098309C"/>
    <w:rsid w:val="00983209"/>
    <w:rsid w:val="009833BA"/>
    <w:rsid w:val="00983693"/>
    <w:rsid w:val="0098387B"/>
    <w:rsid w:val="009838E1"/>
    <w:rsid w:val="00983931"/>
    <w:rsid w:val="00983977"/>
    <w:rsid w:val="00983B09"/>
    <w:rsid w:val="009840D7"/>
    <w:rsid w:val="00984141"/>
    <w:rsid w:val="00984199"/>
    <w:rsid w:val="0098428E"/>
    <w:rsid w:val="009842A5"/>
    <w:rsid w:val="00984320"/>
    <w:rsid w:val="0098474D"/>
    <w:rsid w:val="00984810"/>
    <w:rsid w:val="00984983"/>
    <w:rsid w:val="009849C1"/>
    <w:rsid w:val="00984D07"/>
    <w:rsid w:val="00984D49"/>
    <w:rsid w:val="00984E48"/>
    <w:rsid w:val="00984F22"/>
    <w:rsid w:val="00984F2B"/>
    <w:rsid w:val="00984F2C"/>
    <w:rsid w:val="00984F5F"/>
    <w:rsid w:val="009852E3"/>
    <w:rsid w:val="0098530D"/>
    <w:rsid w:val="00985422"/>
    <w:rsid w:val="00985432"/>
    <w:rsid w:val="009857D2"/>
    <w:rsid w:val="00985866"/>
    <w:rsid w:val="009858E3"/>
    <w:rsid w:val="0098598F"/>
    <w:rsid w:val="00985A81"/>
    <w:rsid w:val="00985F00"/>
    <w:rsid w:val="00985F31"/>
    <w:rsid w:val="009863D3"/>
    <w:rsid w:val="009864F2"/>
    <w:rsid w:val="009865EE"/>
    <w:rsid w:val="0098699A"/>
    <w:rsid w:val="00986B22"/>
    <w:rsid w:val="00986CDF"/>
    <w:rsid w:val="00986D1D"/>
    <w:rsid w:val="009871A0"/>
    <w:rsid w:val="009871CA"/>
    <w:rsid w:val="0098722E"/>
    <w:rsid w:val="00987806"/>
    <w:rsid w:val="00987AAB"/>
    <w:rsid w:val="00987BCB"/>
    <w:rsid w:val="00987E85"/>
    <w:rsid w:val="009901CA"/>
    <w:rsid w:val="00990349"/>
    <w:rsid w:val="009904AD"/>
    <w:rsid w:val="0099058F"/>
    <w:rsid w:val="009905B5"/>
    <w:rsid w:val="0099093C"/>
    <w:rsid w:val="0099093D"/>
    <w:rsid w:val="009909A8"/>
    <w:rsid w:val="00990BF8"/>
    <w:rsid w:val="00990C87"/>
    <w:rsid w:val="00990CAC"/>
    <w:rsid w:val="00990D33"/>
    <w:rsid w:val="00990EA9"/>
    <w:rsid w:val="00990EFA"/>
    <w:rsid w:val="00991059"/>
    <w:rsid w:val="00991067"/>
    <w:rsid w:val="009914A9"/>
    <w:rsid w:val="009914C0"/>
    <w:rsid w:val="00991AA3"/>
    <w:rsid w:val="00991ABE"/>
    <w:rsid w:val="00991C37"/>
    <w:rsid w:val="00991D5F"/>
    <w:rsid w:val="00991D6F"/>
    <w:rsid w:val="00991E11"/>
    <w:rsid w:val="00991EAC"/>
    <w:rsid w:val="00991F23"/>
    <w:rsid w:val="0099227D"/>
    <w:rsid w:val="0099229F"/>
    <w:rsid w:val="0099240A"/>
    <w:rsid w:val="0099248D"/>
    <w:rsid w:val="0099260D"/>
    <w:rsid w:val="00992770"/>
    <w:rsid w:val="00992792"/>
    <w:rsid w:val="0099296E"/>
    <w:rsid w:val="00992D8A"/>
    <w:rsid w:val="00992FE8"/>
    <w:rsid w:val="009930B0"/>
    <w:rsid w:val="009934BB"/>
    <w:rsid w:val="0099379F"/>
    <w:rsid w:val="00993A43"/>
    <w:rsid w:val="00993C7E"/>
    <w:rsid w:val="00993CBF"/>
    <w:rsid w:val="00993D07"/>
    <w:rsid w:val="00993EFF"/>
    <w:rsid w:val="00993F2E"/>
    <w:rsid w:val="00993F84"/>
    <w:rsid w:val="0099407A"/>
    <w:rsid w:val="00994543"/>
    <w:rsid w:val="009946DB"/>
    <w:rsid w:val="009946DD"/>
    <w:rsid w:val="009947B9"/>
    <w:rsid w:val="00994ABC"/>
    <w:rsid w:val="00994D0B"/>
    <w:rsid w:val="00994D62"/>
    <w:rsid w:val="00994E4E"/>
    <w:rsid w:val="00994EAD"/>
    <w:rsid w:val="009951DD"/>
    <w:rsid w:val="00995443"/>
    <w:rsid w:val="009955C1"/>
    <w:rsid w:val="009955E1"/>
    <w:rsid w:val="00995718"/>
    <w:rsid w:val="009957C3"/>
    <w:rsid w:val="0099592A"/>
    <w:rsid w:val="00995CC5"/>
    <w:rsid w:val="00995D54"/>
    <w:rsid w:val="00995ED6"/>
    <w:rsid w:val="0099601B"/>
    <w:rsid w:val="00996060"/>
    <w:rsid w:val="00996071"/>
    <w:rsid w:val="009960E8"/>
    <w:rsid w:val="0099615A"/>
    <w:rsid w:val="0099645B"/>
    <w:rsid w:val="0099645E"/>
    <w:rsid w:val="009964A4"/>
    <w:rsid w:val="00996761"/>
    <w:rsid w:val="00996A84"/>
    <w:rsid w:val="00996A8C"/>
    <w:rsid w:val="00996B9E"/>
    <w:rsid w:val="00996D27"/>
    <w:rsid w:val="00996DEE"/>
    <w:rsid w:val="00996DFB"/>
    <w:rsid w:val="00996E8C"/>
    <w:rsid w:val="00996F09"/>
    <w:rsid w:val="00996F0D"/>
    <w:rsid w:val="00996FE0"/>
    <w:rsid w:val="00996FF7"/>
    <w:rsid w:val="0099700A"/>
    <w:rsid w:val="009971AD"/>
    <w:rsid w:val="009972F8"/>
    <w:rsid w:val="00997311"/>
    <w:rsid w:val="00997366"/>
    <w:rsid w:val="0099760A"/>
    <w:rsid w:val="0099799F"/>
    <w:rsid w:val="00997A27"/>
    <w:rsid w:val="00997AEC"/>
    <w:rsid w:val="00997D43"/>
    <w:rsid w:val="00997D61"/>
    <w:rsid w:val="00997DD3"/>
    <w:rsid w:val="009A0039"/>
    <w:rsid w:val="009A0049"/>
    <w:rsid w:val="009A0052"/>
    <w:rsid w:val="009A025C"/>
    <w:rsid w:val="009A0311"/>
    <w:rsid w:val="009A0360"/>
    <w:rsid w:val="009A0364"/>
    <w:rsid w:val="009A0489"/>
    <w:rsid w:val="009A05B2"/>
    <w:rsid w:val="009A061A"/>
    <w:rsid w:val="009A0892"/>
    <w:rsid w:val="009A0CB4"/>
    <w:rsid w:val="009A0D0B"/>
    <w:rsid w:val="009A0EEB"/>
    <w:rsid w:val="009A0F13"/>
    <w:rsid w:val="009A0FC6"/>
    <w:rsid w:val="009A1081"/>
    <w:rsid w:val="009A166E"/>
    <w:rsid w:val="009A17DB"/>
    <w:rsid w:val="009A1966"/>
    <w:rsid w:val="009A1A4D"/>
    <w:rsid w:val="009A1B27"/>
    <w:rsid w:val="009A1BEA"/>
    <w:rsid w:val="009A1BFD"/>
    <w:rsid w:val="009A1C0C"/>
    <w:rsid w:val="009A1C4C"/>
    <w:rsid w:val="009A1C6E"/>
    <w:rsid w:val="009A1D2C"/>
    <w:rsid w:val="009A2172"/>
    <w:rsid w:val="009A21F5"/>
    <w:rsid w:val="009A22EC"/>
    <w:rsid w:val="009A231C"/>
    <w:rsid w:val="009A26F7"/>
    <w:rsid w:val="009A2E08"/>
    <w:rsid w:val="009A2EEA"/>
    <w:rsid w:val="009A2FAE"/>
    <w:rsid w:val="009A32B0"/>
    <w:rsid w:val="009A334B"/>
    <w:rsid w:val="009A33A3"/>
    <w:rsid w:val="009A33F5"/>
    <w:rsid w:val="009A3455"/>
    <w:rsid w:val="009A35E4"/>
    <w:rsid w:val="009A37B7"/>
    <w:rsid w:val="009A3806"/>
    <w:rsid w:val="009A3842"/>
    <w:rsid w:val="009A38F3"/>
    <w:rsid w:val="009A3951"/>
    <w:rsid w:val="009A3A26"/>
    <w:rsid w:val="009A3A93"/>
    <w:rsid w:val="009A3B70"/>
    <w:rsid w:val="009A3DB9"/>
    <w:rsid w:val="009A3EB4"/>
    <w:rsid w:val="009A41AE"/>
    <w:rsid w:val="009A42B9"/>
    <w:rsid w:val="009A433C"/>
    <w:rsid w:val="009A444C"/>
    <w:rsid w:val="009A470A"/>
    <w:rsid w:val="009A482B"/>
    <w:rsid w:val="009A4A90"/>
    <w:rsid w:val="009A4B91"/>
    <w:rsid w:val="009A4D81"/>
    <w:rsid w:val="009A50D3"/>
    <w:rsid w:val="009A51C6"/>
    <w:rsid w:val="009A51DD"/>
    <w:rsid w:val="009A52C0"/>
    <w:rsid w:val="009A5477"/>
    <w:rsid w:val="009A57CF"/>
    <w:rsid w:val="009A5AF2"/>
    <w:rsid w:val="009A5F6D"/>
    <w:rsid w:val="009A60AB"/>
    <w:rsid w:val="009A63C0"/>
    <w:rsid w:val="009A6530"/>
    <w:rsid w:val="009A6794"/>
    <w:rsid w:val="009A6934"/>
    <w:rsid w:val="009A6956"/>
    <w:rsid w:val="009A69C3"/>
    <w:rsid w:val="009A6DAC"/>
    <w:rsid w:val="009A6E2A"/>
    <w:rsid w:val="009A6EBF"/>
    <w:rsid w:val="009A6F97"/>
    <w:rsid w:val="009A705B"/>
    <w:rsid w:val="009A71FD"/>
    <w:rsid w:val="009A73BB"/>
    <w:rsid w:val="009A7510"/>
    <w:rsid w:val="009A7515"/>
    <w:rsid w:val="009A775B"/>
    <w:rsid w:val="009A7811"/>
    <w:rsid w:val="009A7877"/>
    <w:rsid w:val="009A789C"/>
    <w:rsid w:val="009A79B2"/>
    <w:rsid w:val="009A7B3B"/>
    <w:rsid w:val="009A7BD8"/>
    <w:rsid w:val="009A7E00"/>
    <w:rsid w:val="009A7E69"/>
    <w:rsid w:val="009B00DD"/>
    <w:rsid w:val="009B01C0"/>
    <w:rsid w:val="009B01C3"/>
    <w:rsid w:val="009B01D7"/>
    <w:rsid w:val="009B01DA"/>
    <w:rsid w:val="009B0307"/>
    <w:rsid w:val="009B048C"/>
    <w:rsid w:val="009B0591"/>
    <w:rsid w:val="009B06C9"/>
    <w:rsid w:val="009B0740"/>
    <w:rsid w:val="009B074B"/>
    <w:rsid w:val="009B08D9"/>
    <w:rsid w:val="009B0958"/>
    <w:rsid w:val="009B0B0C"/>
    <w:rsid w:val="009B0D48"/>
    <w:rsid w:val="009B0E5E"/>
    <w:rsid w:val="009B0E68"/>
    <w:rsid w:val="009B0E8F"/>
    <w:rsid w:val="009B1298"/>
    <w:rsid w:val="009B12E6"/>
    <w:rsid w:val="009B1336"/>
    <w:rsid w:val="009B13E9"/>
    <w:rsid w:val="009B1526"/>
    <w:rsid w:val="009B1555"/>
    <w:rsid w:val="009B1651"/>
    <w:rsid w:val="009B172E"/>
    <w:rsid w:val="009B17F0"/>
    <w:rsid w:val="009B1908"/>
    <w:rsid w:val="009B19E4"/>
    <w:rsid w:val="009B1A47"/>
    <w:rsid w:val="009B1AA4"/>
    <w:rsid w:val="009B1FB8"/>
    <w:rsid w:val="009B1FE6"/>
    <w:rsid w:val="009B202F"/>
    <w:rsid w:val="009B206C"/>
    <w:rsid w:val="009B22F0"/>
    <w:rsid w:val="009B230F"/>
    <w:rsid w:val="009B242F"/>
    <w:rsid w:val="009B2508"/>
    <w:rsid w:val="009B2961"/>
    <w:rsid w:val="009B299A"/>
    <w:rsid w:val="009B2A8F"/>
    <w:rsid w:val="009B2B73"/>
    <w:rsid w:val="009B2C61"/>
    <w:rsid w:val="009B2D09"/>
    <w:rsid w:val="009B2D10"/>
    <w:rsid w:val="009B2D9F"/>
    <w:rsid w:val="009B2E02"/>
    <w:rsid w:val="009B2E9A"/>
    <w:rsid w:val="009B3040"/>
    <w:rsid w:val="009B3119"/>
    <w:rsid w:val="009B3163"/>
    <w:rsid w:val="009B3272"/>
    <w:rsid w:val="009B32B9"/>
    <w:rsid w:val="009B32EF"/>
    <w:rsid w:val="009B336D"/>
    <w:rsid w:val="009B3489"/>
    <w:rsid w:val="009B34A2"/>
    <w:rsid w:val="009B3908"/>
    <w:rsid w:val="009B3DD1"/>
    <w:rsid w:val="009B4325"/>
    <w:rsid w:val="009B4595"/>
    <w:rsid w:val="009B4714"/>
    <w:rsid w:val="009B48E8"/>
    <w:rsid w:val="009B4AFF"/>
    <w:rsid w:val="009B4DF0"/>
    <w:rsid w:val="009B4E2F"/>
    <w:rsid w:val="009B4E56"/>
    <w:rsid w:val="009B4F23"/>
    <w:rsid w:val="009B5099"/>
    <w:rsid w:val="009B50EB"/>
    <w:rsid w:val="009B5310"/>
    <w:rsid w:val="009B5377"/>
    <w:rsid w:val="009B5428"/>
    <w:rsid w:val="009B54EF"/>
    <w:rsid w:val="009B5510"/>
    <w:rsid w:val="009B55C5"/>
    <w:rsid w:val="009B56C2"/>
    <w:rsid w:val="009B56F3"/>
    <w:rsid w:val="009B5740"/>
    <w:rsid w:val="009B5AC9"/>
    <w:rsid w:val="009B5CC7"/>
    <w:rsid w:val="009B5D91"/>
    <w:rsid w:val="009B5F77"/>
    <w:rsid w:val="009B6067"/>
    <w:rsid w:val="009B60BF"/>
    <w:rsid w:val="009B60DA"/>
    <w:rsid w:val="009B626C"/>
    <w:rsid w:val="009B6417"/>
    <w:rsid w:val="009B6501"/>
    <w:rsid w:val="009B65B5"/>
    <w:rsid w:val="009B68B1"/>
    <w:rsid w:val="009B6903"/>
    <w:rsid w:val="009B6BFC"/>
    <w:rsid w:val="009B6CDC"/>
    <w:rsid w:val="009B70D1"/>
    <w:rsid w:val="009B714A"/>
    <w:rsid w:val="009B745C"/>
    <w:rsid w:val="009B74D6"/>
    <w:rsid w:val="009B7882"/>
    <w:rsid w:val="009B7AB6"/>
    <w:rsid w:val="009B7C46"/>
    <w:rsid w:val="009B7FAF"/>
    <w:rsid w:val="009B7FB0"/>
    <w:rsid w:val="009C01C0"/>
    <w:rsid w:val="009C0369"/>
    <w:rsid w:val="009C057B"/>
    <w:rsid w:val="009C0889"/>
    <w:rsid w:val="009C08CD"/>
    <w:rsid w:val="009C0A20"/>
    <w:rsid w:val="009C0A55"/>
    <w:rsid w:val="009C0BA0"/>
    <w:rsid w:val="009C0BAC"/>
    <w:rsid w:val="009C0C02"/>
    <w:rsid w:val="009C0ED2"/>
    <w:rsid w:val="009C1058"/>
    <w:rsid w:val="009C109A"/>
    <w:rsid w:val="009C119E"/>
    <w:rsid w:val="009C11D9"/>
    <w:rsid w:val="009C12E7"/>
    <w:rsid w:val="009C174C"/>
    <w:rsid w:val="009C178D"/>
    <w:rsid w:val="009C17C2"/>
    <w:rsid w:val="009C19D2"/>
    <w:rsid w:val="009C1D41"/>
    <w:rsid w:val="009C1D9B"/>
    <w:rsid w:val="009C2080"/>
    <w:rsid w:val="009C20AC"/>
    <w:rsid w:val="009C20AF"/>
    <w:rsid w:val="009C217A"/>
    <w:rsid w:val="009C2310"/>
    <w:rsid w:val="009C2523"/>
    <w:rsid w:val="009C26AF"/>
    <w:rsid w:val="009C2A8A"/>
    <w:rsid w:val="009C2C46"/>
    <w:rsid w:val="009C2C81"/>
    <w:rsid w:val="009C2D1E"/>
    <w:rsid w:val="009C2E3D"/>
    <w:rsid w:val="009C31D7"/>
    <w:rsid w:val="009C3470"/>
    <w:rsid w:val="009C35F4"/>
    <w:rsid w:val="009C37C4"/>
    <w:rsid w:val="009C38A0"/>
    <w:rsid w:val="009C39E7"/>
    <w:rsid w:val="009C3ABC"/>
    <w:rsid w:val="009C3AD6"/>
    <w:rsid w:val="009C3BAA"/>
    <w:rsid w:val="009C3BCC"/>
    <w:rsid w:val="009C3D1E"/>
    <w:rsid w:val="009C3E5B"/>
    <w:rsid w:val="009C3EE9"/>
    <w:rsid w:val="009C3F92"/>
    <w:rsid w:val="009C3FD8"/>
    <w:rsid w:val="009C4096"/>
    <w:rsid w:val="009C4178"/>
    <w:rsid w:val="009C42D5"/>
    <w:rsid w:val="009C42DF"/>
    <w:rsid w:val="009C4306"/>
    <w:rsid w:val="009C431F"/>
    <w:rsid w:val="009C434C"/>
    <w:rsid w:val="009C447B"/>
    <w:rsid w:val="009C44AA"/>
    <w:rsid w:val="009C4589"/>
    <w:rsid w:val="009C4603"/>
    <w:rsid w:val="009C4701"/>
    <w:rsid w:val="009C4789"/>
    <w:rsid w:val="009C4B43"/>
    <w:rsid w:val="009C4FCC"/>
    <w:rsid w:val="009C55D4"/>
    <w:rsid w:val="009C5766"/>
    <w:rsid w:val="009C591C"/>
    <w:rsid w:val="009C5A74"/>
    <w:rsid w:val="009C5A96"/>
    <w:rsid w:val="009C5ACB"/>
    <w:rsid w:val="009C5B0D"/>
    <w:rsid w:val="009C5CFC"/>
    <w:rsid w:val="009C5D1B"/>
    <w:rsid w:val="009C5D64"/>
    <w:rsid w:val="009C5EDE"/>
    <w:rsid w:val="009C604C"/>
    <w:rsid w:val="009C60A6"/>
    <w:rsid w:val="009C610F"/>
    <w:rsid w:val="009C6170"/>
    <w:rsid w:val="009C645D"/>
    <w:rsid w:val="009C6465"/>
    <w:rsid w:val="009C65FC"/>
    <w:rsid w:val="009C660F"/>
    <w:rsid w:val="009C6652"/>
    <w:rsid w:val="009C69CA"/>
    <w:rsid w:val="009C6C3B"/>
    <w:rsid w:val="009C6D08"/>
    <w:rsid w:val="009C6E33"/>
    <w:rsid w:val="009C6E50"/>
    <w:rsid w:val="009C70E4"/>
    <w:rsid w:val="009C7111"/>
    <w:rsid w:val="009C7285"/>
    <w:rsid w:val="009C72A3"/>
    <w:rsid w:val="009C767D"/>
    <w:rsid w:val="009C7EE3"/>
    <w:rsid w:val="009C7F42"/>
    <w:rsid w:val="009C7FFD"/>
    <w:rsid w:val="009D006A"/>
    <w:rsid w:val="009D00D6"/>
    <w:rsid w:val="009D00FA"/>
    <w:rsid w:val="009D0185"/>
    <w:rsid w:val="009D01A9"/>
    <w:rsid w:val="009D01C7"/>
    <w:rsid w:val="009D03A3"/>
    <w:rsid w:val="009D0537"/>
    <w:rsid w:val="009D06D3"/>
    <w:rsid w:val="009D0AE6"/>
    <w:rsid w:val="009D0B42"/>
    <w:rsid w:val="009D0B43"/>
    <w:rsid w:val="009D0B6A"/>
    <w:rsid w:val="009D0CA4"/>
    <w:rsid w:val="009D0DC8"/>
    <w:rsid w:val="009D0DEE"/>
    <w:rsid w:val="009D0FAD"/>
    <w:rsid w:val="009D1054"/>
    <w:rsid w:val="009D10DD"/>
    <w:rsid w:val="009D12DB"/>
    <w:rsid w:val="009D1580"/>
    <w:rsid w:val="009D15C3"/>
    <w:rsid w:val="009D15E7"/>
    <w:rsid w:val="009D173F"/>
    <w:rsid w:val="009D183C"/>
    <w:rsid w:val="009D1845"/>
    <w:rsid w:val="009D1877"/>
    <w:rsid w:val="009D187C"/>
    <w:rsid w:val="009D1A76"/>
    <w:rsid w:val="009D1AC2"/>
    <w:rsid w:val="009D1BE7"/>
    <w:rsid w:val="009D1C92"/>
    <w:rsid w:val="009D1DF0"/>
    <w:rsid w:val="009D1FEE"/>
    <w:rsid w:val="009D2236"/>
    <w:rsid w:val="009D22ED"/>
    <w:rsid w:val="009D2431"/>
    <w:rsid w:val="009D24D4"/>
    <w:rsid w:val="009D24EB"/>
    <w:rsid w:val="009D255D"/>
    <w:rsid w:val="009D27E1"/>
    <w:rsid w:val="009D2827"/>
    <w:rsid w:val="009D2843"/>
    <w:rsid w:val="009D2AF1"/>
    <w:rsid w:val="009D2C2A"/>
    <w:rsid w:val="009D2C4A"/>
    <w:rsid w:val="009D2DA9"/>
    <w:rsid w:val="009D2ED6"/>
    <w:rsid w:val="009D31D7"/>
    <w:rsid w:val="009D32DC"/>
    <w:rsid w:val="009D33BC"/>
    <w:rsid w:val="009D3788"/>
    <w:rsid w:val="009D3847"/>
    <w:rsid w:val="009D396D"/>
    <w:rsid w:val="009D3C06"/>
    <w:rsid w:val="009D3D9E"/>
    <w:rsid w:val="009D3E4B"/>
    <w:rsid w:val="009D3FBB"/>
    <w:rsid w:val="009D3FDB"/>
    <w:rsid w:val="009D4057"/>
    <w:rsid w:val="009D40B7"/>
    <w:rsid w:val="009D42CE"/>
    <w:rsid w:val="009D451E"/>
    <w:rsid w:val="009D4CEE"/>
    <w:rsid w:val="009D4D3B"/>
    <w:rsid w:val="009D5053"/>
    <w:rsid w:val="009D52C3"/>
    <w:rsid w:val="009D5355"/>
    <w:rsid w:val="009D56CF"/>
    <w:rsid w:val="009D56FE"/>
    <w:rsid w:val="009D5998"/>
    <w:rsid w:val="009D5A11"/>
    <w:rsid w:val="009D5A75"/>
    <w:rsid w:val="009D5B4B"/>
    <w:rsid w:val="009D5B69"/>
    <w:rsid w:val="009D5E66"/>
    <w:rsid w:val="009D60C6"/>
    <w:rsid w:val="009D614D"/>
    <w:rsid w:val="009D615D"/>
    <w:rsid w:val="009D63CF"/>
    <w:rsid w:val="009D6422"/>
    <w:rsid w:val="009D650D"/>
    <w:rsid w:val="009D6627"/>
    <w:rsid w:val="009D6775"/>
    <w:rsid w:val="009D6B13"/>
    <w:rsid w:val="009D6B40"/>
    <w:rsid w:val="009D6B5E"/>
    <w:rsid w:val="009D6E21"/>
    <w:rsid w:val="009D70FE"/>
    <w:rsid w:val="009D72E7"/>
    <w:rsid w:val="009D72F6"/>
    <w:rsid w:val="009D73F9"/>
    <w:rsid w:val="009D7497"/>
    <w:rsid w:val="009D7A0B"/>
    <w:rsid w:val="009D7CF0"/>
    <w:rsid w:val="009D7FED"/>
    <w:rsid w:val="009E0012"/>
    <w:rsid w:val="009E0446"/>
    <w:rsid w:val="009E0541"/>
    <w:rsid w:val="009E0629"/>
    <w:rsid w:val="009E06AC"/>
    <w:rsid w:val="009E0726"/>
    <w:rsid w:val="009E07AA"/>
    <w:rsid w:val="009E0915"/>
    <w:rsid w:val="009E0962"/>
    <w:rsid w:val="009E0A17"/>
    <w:rsid w:val="009E0A9F"/>
    <w:rsid w:val="009E0C3B"/>
    <w:rsid w:val="009E0CCE"/>
    <w:rsid w:val="009E0F7F"/>
    <w:rsid w:val="009E10BC"/>
    <w:rsid w:val="009E11DD"/>
    <w:rsid w:val="009E122D"/>
    <w:rsid w:val="009E1481"/>
    <w:rsid w:val="009E15FF"/>
    <w:rsid w:val="009E16CB"/>
    <w:rsid w:val="009E1762"/>
    <w:rsid w:val="009E1893"/>
    <w:rsid w:val="009E18A5"/>
    <w:rsid w:val="009E19F5"/>
    <w:rsid w:val="009E1CF3"/>
    <w:rsid w:val="009E1D7E"/>
    <w:rsid w:val="009E1E01"/>
    <w:rsid w:val="009E1ECA"/>
    <w:rsid w:val="009E1F85"/>
    <w:rsid w:val="009E20A0"/>
    <w:rsid w:val="009E23D3"/>
    <w:rsid w:val="009E23DA"/>
    <w:rsid w:val="009E25BA"/>
    <w:rsid w:val="009E2629"/>
    <w:rsid w:val="009E2ABE"/>
    <w:rsid w:val="009E2C62"/>
    <w:rsid w:val="009E2C8E"/>
    <w:rsid w:val="009E2E55"/>
    <w:rsid w:val="009E2F40"/>
    <w:rsid w:val="009E30E0"/>
    <w:rsid w:val="009E3200"/>
    <w:rsid w:val="009E3208"/>
    <w:rsid w:val="009E324D"/>
    <w:rsid w:val="009E33C9"/>
    <w:rsid w:val="009E3615"/>
    <w:rsid w:val="009E3671"/>
    <w:rsid w:val="009E384F"/>
    <w:rsid w:val="009E38C6"/>
    <w:rsid w:val="009E3A5A"/>
    <w:rsid w:val="009E3C23"/>
    <w:rsid w:val="009E3D2C"/>
    <w:rsid w:val="009E4003"/>
    <w:rsid w:val="009E413B"/>
    <w:rsid w:val="009E434D"/>
    <w:rsid w:val="009E43CB"/>
    <w:rsid w:val="009E43E1"/>
    <w:rsid w:val="009E44AC"/>
    <w:rsid w:val="009E4D22"/>
    <w:rsid w:val="009E4D98"/>
    <w:rsid w:val="009E4FFD"/>
    <w:rsid w:val="009E5194"/>
    <w:rsid w:val="009E54A3"/>
    <w:rsid w:val="009E5503"/>
    <w:rsid w:val="009E5562"/>
    <w:rsid w:val="009E562A"/>
    <w:rsid w:val="009E5653"/>
    <w:rsid w:val="009E58B5"/>
    <w:rsid w:val="009E5907"/>
    <w:rsid w:val="009E5A13"/>
    <w:rsid w:val="009E5A4C"/>
    <w:rsid w:val="009E5B4A"/>
    <w:rsid w:val="009E5C2F"/>
    <w:rsid w:val="009E5D8A"/>
    <w:rsid w:val="009E5DA8"/>
    <w:rsid w:val="009E5E31"/>
    <w:rsid w:val="009E615A"/>
    <w:rsid w:val="009E61A7"/>
    <w:rsid w:val="009E62A7"/>
    <w:rsid w:val="009E62FA"/>
    <w:rsid w:val="009E6316"/>
    <w:rsid w:val="009E646F"/>
    <w:rsid w:val="009E64B8"/>
    <w:rsid w:val="009E64EB"/>
    <w:rsid w:val="009E6662"/>
    <w:rsid w:val="009E6786"/>
    <w:rsid w:val="009E6801"/>
    <w:rsid w:val="009E6839"/>
    <w:rsid w:val="009E6B59"/>
    <w:rsid w:val="009E6B74"/>
    <w:rsid w:val="009E6CD4"/>
    <w:rsid w:val="009E6FF1"/>
    <w:rsid w:val="009E713A"/>
    <w:rsid w:val="009E723E"/>
    <w:rsid w:val="009E72CE"/>
    <w:rsid w:val="009E7345"/>
    <w:rsid w:val="009E741B"/>
    <w:rsid w:val="009E7429"/>
    <w:rsid w:val="009E7479"/>
    <w:rsid w:val="009E7694"/>
    <w:rsid w:val="009E7BE5"/>
    <w:rsid w:val="009E7C80"/>
    <w:rsid w:val="009E7D00"/>
    <w:rsid w:val="009E7D2B"/>
    <w:rsid w:val="009E7D48"/>
    <w:rsid w:val="009E7EB6"/>
    <w:rsid w:val="009E7F6F"/>
    <w:rsid w:val="009E7F8D"/>
    <w:rsid w:val="009F01E6"/>
    <w:rsid w:val="009F03F1"/>
    <w:rsid w:val="009F05C4"/>
    <w:rsid w:val="009F097A"/>
    <w:rsid w:val="009F0AA9"/>
    <w:rsid w:val="009F0B46"/>
    <w:rsid w:val="009F0CA1"/>
    <w:rsid w:val="009F10B8"/>
    <w:rsid w:val="009F1200"/>
    <w:rsid w:val="009F1356"/>
    <w:rsid w:val="009F13EA"/>
    <w:rsid w:val="009F15F2"/>
    <w:rsid w:val="009F1631"/>
    <w:rsid w:val="009F18FF"/>
    <w:rsid w:val="009F19CD"/>
    <w:rsid w:val="009F1ADE"/>
    <w:rsid w:val="009F1C04"/>
    <w:rsid w:val="009F1CFE"/>
    <w:rsid w:val="009F1E47"/>
    <w:rsid w:val="009F2249"/>
    <w:rsid w:val="009F22E2"/>
    <w:rsid w:val="009F2359"/>
    <w:rsid w:val="009F23B3"/>
    <w:rsid w:val="009F23CD"/>
    <w:rsid w:val="009F246D"/>
    <w:rsid w:val="009F2508"/>
    <w:rsid w:val="009F2531"/>
    <w:rsid w:val="009F2885"/>
    <w:rsid w:val="009F2953"/>
    <w:rsid w:val="009F29F6"/>
    <w:rsid w:val="009F2A02"/>
    <w:rsid w:val="009F2C0D"/>
    <w:rsid w:val="009F2C35"/>
    <w:rsid w:val="009F2DC7"/>
    <w:rsid w:val="009F2EF3"/>
    <w:rsid w:val="009F318C"/>
    <w:rsid w:val="009F320E"/>
    <w:rsid w:val="009F3216"/>
    <w:rsid w:val="009F3241"/>
    <w:rsid w:val="009F3350"/>
    <w:rsid w:val="009F34CB"/>
    <w:rsid w:val="009F35E5"/>
    <w:rsid w:val="009F35FE"/>
    <w:rsid w:val="009F383F"/>
    <w:rsid w:val="009F38EE"/>
    <w:rsid w:val="009F3A05"/>
    <w:rsid w:val="009F3A43"/>
    <w:rsid w:val="009F3D4A"/>
    <w:rsid w:val="009F3E5E"/>
    <w:rsid w:val="009F40EF"/>
    <w:rsid w:val="009F4104"/>
    <w:rsid w:val="009F410B"/>
    <w:rsid w:val="009F42D6"/>
    <w:rsid w:val="009F43C2"/>
    <w:rsid w:val="009F44C7"/>
    <w:rsid w:val="009F4827"/>
    <w:rsid w:val="009F4856"/>
    <w:rsid w:val="009F4AD4"/>
    <w:rsid w:val="009F4BE8"/>
    <w:rsid w:val="009F4D7B"/>
    <w:rsid w:val="009F4DA3"/>
    <w:rsid w:val="009F4DEB"/>
    <w:rsid w:val="009F4FF3"/>
    <w:rsid w:val="009F519C"/>
    <w:rsid w:val="009F5393"/>
    <w:rsid w:val="009F53EA"/>
    <w:rsid w:val="009F55BB"/>
    <w:rsid w:val="009F55DB"/>
    <w:rsid w:val="009F5688"/>
    <w:rsid w:val="009F56FB"/>
    <w:rsid w:val="009F57F5"/>
    <w:rsid w:val="009F59DE"/>
    <w:rsid w:val="009F5E86"/>
    <w:rsid w:val="009F5FAF"/>
    <w:rsid w:val="009F5FED"/>
    <w:rsid w:val="009F615F"/>
    <w:rsid w:val="009F64C7"/>
    <w:rsid w:val="009F6691"/>
    <w:rsid w:val="009F6781"/>
    <w:rsid w:val="009F67C9"/>
    <w:rsid w:val="009F68A8"/>
    <w:rsid w:val="009F68CF"/>
    <w:rsid w:val="009F6945"/>
    <w:rsid w:val="009F6A12"/>
    <w:rsid w:val="009F6B39"/>
    <w:rsid w:val="009F6D53"/>
    <w:rsid w:val="009F6E04"/>
    <w:rsid w:val="009F6EBA"/>
    <w:rsid w:val="009F6F11"/>
    <w:rsid w:val="009F7034"/>
    <w:rsid w:val="009F710F"/>
    <w:rsid w:val="009F7215"/>
    <w:rsid w:val="009F7468"/>
    <w:rsid w:val="009F764B"/>
    <w:rsid w:val="009F772A"/>
    <w:rsid w:val="009F772F"/>
    <w:rsid w:val="009F7BC6"/>
    <w:rsid w:val="009F7BCD"/>
    <w:rsid w:val="009F7E1E"/>
    <w:rsid w:val="009F7E7A"/>
    <w:rsid w:val="00A0010A"/>
    <w:rsid w:val="00A00258"/>
    <w:rsid w:val="00A003D6"/>
    <w:rsid w:val="00A003FC"/>
    <w:rsid w:val="00A0040A"/>
    <w:rsid w:val="00A00498"/>
    <w:rsid w:val="00A00526"/>
    <w:rsid w:val="00A005E8"/>
    <w:rsid w:val="00A00815"/>
    <w:rsid w:val="00A008EE"/>
    <w:rsid w:val="00A00A5B"/>
    <w:rsid w:val="00A00E5A"/>
    <w:rsid w:val="00A00EE1"/>
    <w:rsid w:val="00A00EED"/>
    <w:rsid w:val="00A00F03"/>
    <w:rsid w:val="00A01035"/>
    <w:rsid w:val="00A011A6"/>
    <w:rsid w:val="00A012D5"/>
    <w:rsid w:val="00A01315"/>
    <w:rsid w:val="00A01388"/>
    <w:rsid w:val="00A015DA"/>
    <w:rsid w:val="00A01657"/>
    <w:rsid w:val="00A016C3"/>
    <w:rsid w:val="00A0170C"/>
    <w:rsid w:val="00A01712"/>
    <w:rsid w:val="00A017E2"/>
    <w:rsid w:val="00A018CD"/>
    <w:rsid w:val="00A01965"/>
    <w:rsid w:val="00A019F7"/>
    <w:rsid w:val="00A01C2B"/>
    <w:rsid w:val="00A01C55"/>
    <w:rsid w:val="00A02909"/>
    <w:rsid w:val="00A02B9D"/>
    <w:rsid w:val="00A02E33"/>
    <w:rsid w:val="00A02EFD"/>
    <w:rsid w:val="00A030D3"/>
    <w:rsid w:val="00A0313C"/>
    <w:rsid w:val="00A03172"/>
    <w:rsid w:val="00A0323F"/>
    <w:rsid w:val="00A03575"/>
    <w:rsid w:val="00A03772"/>
    <w:rsid w:val="00A03774"/>
    <w:rsid w:val="00A0394A"/>
    <w:rsid w:val="00A03DAA"/>
    <w:rsid w:val="00A03E66"/>
    <w:rsid w:val="00A04481"/>
    <w:rsid w:val="00A04762"/>
    <w:rsid w:val="00A047DA"/>
    <w:rsid w:val="00A04886"/>
    <w:rsid w:val="00A048D9"/>
    <w:rsid w:val="00A04A2F"/>
    <w:rsid w:val="00A04FAF"/>
    <w:rsid w:val="00A05078"/>
    <w:rsid w:val="00A050E7"/>
    <w:rsid w:val="00A0523E"/>
    <w:rsid w:val="00A05256"/>
    <w:rsid w:val="00A0525E"/>
    <w:rsid w:val="00A052B7"/>
    <w:rsid w:val="00A052F9"/>
    <w:rsid w:val="00A053A0"/>
    <w:rsid w:val="00A053D8"/>
    <w:rsid w:val="00A0576F"/>
    <w:rsid w:val="00A05984"/>
    <w:rsid w:val="00A059B9"/>
    <w:rsid w:val="00A05A44"/>
    <w:rsid w:val="00A05AE2"/>
    <w:rsid w:val="00A05BC1"/>
    <w:rsid w:val="00A05BFE"/>
    <w:rsid w:val="00A05EA3"/>
    <w:rsid w:val="00A05F54"/>
    <w:rsid w:val="00A06078"/>
    <w:rsid w:val="00A0647D"/>
    <w:rsid w:val="00A064B7"/>
    <w:rsid w:val="00A06563"/>
    <w:rsid w:val="00A06643"/>
    <w:rsid w:val="00A06895"/>
    <w:rsid w:val="00A068BE"/>
    <w:rsid w:val="00A0699E"/>
    <w:rsid w:val="00A06F71"/>
    <w:rsid w:val="00A0734D"/>
    <w:rsid w:val="00A073D7"/>
    <w:rsid w:val="00A073DD"/>
    <w:rsid w:val="00A073E8"/>
    <w:rsid w:val="00A07553"/>
    <w:rsid w:val="00A076E9"/>
    <w:rsid w:val="00A078C2"/>
    <w:rsid w:val="00A07989"/>
    <w:rsid w:val="00A07B2A"/>
    <w:rsid w:val="00A07D79"/>
    <w:rsid w:val="00A07DCF"/>
    <w:rsid w:val="00A10029"/>
    <w:rsid w:val="00A1023A"/>
    <w:rsid w:val="00A106A8"/>
    <w:rsid w:val="00A106D3"/>
    <w:rsid w:val="00A10ADB"/>
    <w:rsid w:val="00A10ADF"/>
    <w:rsid w:val="00A10C98"/>
    <w:rsid w:val="00A10CCF"/>
    <w:rsid w:val="00A10D7B"/>
    <w:rsid w:val="00A10DDC"/>
    <w:rsid w:val="00A10F4F"/>
    <w:rsid w:val="00A11033"/>
    <w:rsid w:val="00A110F3"/>
    <w:rsid w:val="00A11238"/>
    <w:rsid w:val="00A1139F"/>
    <w:rsid w:val="00A113D2"/>
    <w:rsid w:val="00A11409"/>
    <w:rsid w:val="00A1167C"/>
    <w:rsid w:val="00A11997"/>
    <w:rsid w:val="00A11A26"/>
    <w:rsid w:val="00A11ABD"/>
    <w:rsid w:val="00A11C28"/>
    <w:rsid w:val="00A11E9B"/>
    <w:rsid w:val="00A11F2F"/>
    <w:rsid w:val="00A12034"/>
    <w:rsid w:val="00A12208"/>
    <w:rsid w:val="00A1231A"/>
    <w:rsid w:val="00A1236E"/>
    <w:rsid w:val="00A1289E"/>
    <w:rsid w:val="00A129A6"/>
    <w:rsid w:val="00A129DF"/>
    <w:rsid w:val="00A12B44"/>
    <w:rsid w:val="00A12B56"/>
    <w:rsid w:val="00A12B75"/>
    <w:rsid w:val="00A12BF3"/>
    <w:rsid w:val="00A12DDF"/>
    <w:rsid w:val="00A130EE"/>
    <w:rsid w:val="00A13305"/>
    <w:rsid w:val="00A13342"/>
    <w:rsid w:val="00A1344E"/>
    <w:rsid w:val="00A13561"/>
    <w:rsid w:val="00A135A6"/>
    <w:rsid w:val="00A1365F"/>
    <w:rsid w:val="00A136A8"/>
    <w:rsid w:val="00A1385B"/>
    <w:rsid w:val="00A13B52"/>
    <w:rsid w:val="00A13C85"/>
    <w:rsid w:val="00A13E6D"/>
    <w:rsid w:val="00A13FB4"/>
    <w:rsid w:val="00A143AB"/>
    <w:rsid w:val="00A144AB"/>
    <w:rsid w:val="00A145C3"/>
    <w:rsid w:val="00A148D2"/>
    <w:rsid w:val="00A148D4"/>
    <w:rsid w:val="00A1490B"/>
    <w:rsid w:val="00A149D2"/>
    <w:rsid w:val="00A14A2D"/>
    <w:rsid w:val="00A14DD7"/>
    <w:rsid w:val="00A14FC3"/>
    <w:rsid w:val="00A15099"/>
    <w:rsid w:val="00A1514F"/>
    <w:rsid w:val="00A151AD"/>
    <w:rsid w:val="00A152F0"/>
    <w:rsid w:val="00A155CF"/>
    <w:rsid w:val="00A15636"/>
    <w:rsid w:val="00A156F7"/>
    <w:rsid w:val="00A15773"/>
    <w:rsid w:val="00A15976"/>
    <w:rsid w:val="00A15A56"/>
    <w:rsid w:val="00A15AED"/>
    <w:rsid w:val="00A15D61"/>
    <w:rsid w:val="00A15E27"/>
    <w:rsid w:val="00A15E2C"/>
    <w:rsid w:val="00A15F59"/>
    <w:rsid w:val="00A15FA1"/>
    <w:rsid w:val="00A160A1"/>
    <w:rsid w:val="00A162B2"/>
    <w:rsid w:val="00A16445"/>
    <w:rsid w:val="00A164C8"/>
    <w:rsid w:val="00A16513"/>
    <w:rsid w:val="00A167B5"/>
    <w:rsid w:val="00A16D66"/>
    <w:rsid w:val="00A172CB"/>
    <w:rsid w:val="00A17518"/>
    <w:rsid w:val="00A17560"/>
    <w:rsid w:val="00A17643"/>
    <w:rsid w:val="00A17694"/>
    <w:rsid w:val="00A17700"/>
    <w:rsid w:val="00A1776A"/>
    <w:rsid w:val="00A17882"/>
    <w:rsid w:val="00A178DE"/>
    <w:rsid w:val="00A17AFB"/>
    <w:rsid w:val="00A17B7A"/>
    <w:rsid w:val="00A17C56"/>
    <w:rsid w:val="00A17CBA"/>
    <w:rsid w:val="00A17E4A"/>
    <w:rsid w:val="00A20324"/>
    <w:rsid w:val="00A20594"/>
    <w:rsid w:val="00A20735"/>
    <w:rsid w:val="00A208B4"/>
    <w:rsid w:val="00A209D3"/>
    <w:rsid w:val="00A20AA3"/>
    <w:rsid w:val="00A20AE7"/>
    <w:rsid w:val="00A20B36"/>
    <w:rsid w:val="00A20B47"/>
    <w:rsid w:val="00A20D94"/>
    <w:rsid w:val="00A210B0"/>
    <w:rsid w:val="00A210E3"/>
    <w:rsid w:val="00A21433"/>
    <w:rsid w:val="00A21585"/>
    <w:rsid w:val="00A216B3"/>
    <w:rsid w:val="00A217B6"/>
    <w:rsid w:val="00A2181A"/>
    <w:rsid w:val="00A21A66"/>
    <w:rsid w:val="00A21BB5"/>
    <w:rsid w:val="00A21D36"/>
    <w:rsid w:val="00A21DB8"/>
    <w:rsid w:val="00A21EE0"/>
    <w:rsid w:val="00A21F67"/>
    <w:rsid w:val="00A220CD"/>
    <w:rsid w:val="00A2228E"/>
    <w:rsid w:val="00A223D7"/>
    <w:rsid w:val="00A22495"/>
    <w:rsid w:val="00A224B7"/>
    <w:rsid w:val="00A22593"/>
    <w:rsid w:val="00A228C7"/>
    <w:rsid w:val="00A229D9"/>
    <w:rsid w:val="00A22C7A"/>
    <w:rsid w:val="00A22F06"/>
    <w:rsid w:val="00A231A7"/>
    <w:rsid w:val="00A2328D"/>
    <w:rsid w:val="00A2343E"/>
    <w:rsid w:val="00A23CB1"/>
    <w:rsid w:val="00A23DCC"/>
    <w:rsid w:val="00A23E43"/>
    <w:rsid w:val="00A23E7D"/>
    <w:rsid w:val="00A23F21"/>
    <w:rsid w:val="00A24059"/>
    <w:rsid w:val="00A2409A"/>
    <w:rsid w:val="00A2415D"/>
    <w:rsid w:val="00A241D5"/>
    <w:rsid w:val="00A242C4"/>
    <w:rsid w:val="00A24607"/>
    <w:rsid w:val="00A2471D"/>
    <w:rsid w:val="00A24A11"/>
    <w:rsid w:val="00A24B85"/>
    <w:rsid w:val="00A25047"/>
    <w:rsid w:val="00A25076"/>
    <w:rsid w:val="00A250AF"/>
    <w:rsid w:val="00A2518A"/>
    <w:rsid w:val="00A251AB"/>
    <w:rsid w:val="00A25377"/>
    <w:rsid w:val="00A25500"/>
    <w:rsid w:val="00A25826"/>
    <w:rsid w:val="00A25841"/>
    <w:rsid w:val="00A25936"/>
    <w:rsid w:val="00A259DE"/>
    <w:rsid w:val="00A259F5"/>
    <w:rsid w:val="00A25A89"/>
    <w:rsid w:val="00A25B99"/>
    <w:rsid w:val="00A25E0C"/>
    <w:rsid w:val="00A25E46"/>
    <w:rsid w:val="00A25F5B"/>
    <w:rsid w:val="00A25FB5"/>
    <w:rsid w:val="00A262E1"/>
    <w:rsid w:val="00A263FB"/>
    <w:rsid w:val="00A268CB"/>
    <w:rsid w:val="00A26AB7"/>
    <w:rsid w:val="00A26C41"/>
    <w:rsid w:val="00A26E02"/>
    <w:rsid w:val="00A26E19"/>
    <w:rsid w:val="00A270A2"/>
    <w:rsid w:val="00A27122"/>
    <w:rsid w:val="00A271C4"/>
    <w:rsid w:val="00A2733F"/>
    <w:rsid w:val="00A2741C"/>
    <w:rsid w:val="00A27542"/>
    <w:rsid w:val="00A2765E"/>
    <w:rsid w:val="00A276F4"/>
    <w:rsid w:val="00A2780E"/>
    <w:rsid w:val="00A27849"/>
    <w:rsid w:val="00A27878"/>
    <w:rsid w:val="00A278BC"/>
    <w:rsid w:val="00A27ABC"/>
    <w:rsid w:val="00A27B1B"/>
    <w:rsid w:val="00A27C81"/>
    <w:rsid w:val="00A27D01"/>
    <w:rsid w:val="00A27DC8"/>
    <w:rsid w:val="00A27DDF"/>
    <w:rsid w:val="00A27F15"/>
    <w:rsid w:val="00A30091"/>
    <w:rsid w:val="00A30192"/>
    <w:rsid w:val="00A305C6"/>
    <w:rsid w:val="00A30634"/>
    <w:rsid w:val="00A3080F"/>
    <w:rsid w:val="00A3126E"/>
    <w:rsid w:val="00A314F0"/>
    <w:rsid w:val="00A316EA"/>
    <w:rsid w:val="00A316FD"/>
    <w:rsid w:val="00A31825"/>
    <w:rsid w:val="00A31A4F"/>
    <w:rsid w:val="00A31B84"/>
    <w:rsid w:val="00A31C17"/>
    <w:rsid w:val="00A31CB6"/>
    <w:rsid w:val="00A3217B"/>
    <w:rsid w:val="00A32198"/>
    <w:rsid w:val="00A322D7"/>
    <w:rsid w:val="00A3233C"/>
    <w:rsid w:val="00A32461"/>
    <w:rsid w:val="00A32513"/>
    <w:rsid w:val="00A325AE"/>
    <w:rsid w:val="00A325DC"/>
    <w:rsid w:val="00A326BD"/>
    <w:rsid w:val="00A32D17"/>
    <w:rsid w:val="00A33212"/>
    <w:rsid w:val="00A3325E"/>
    <w:rsid w:val="00A3329F"/>
    <w:rsid w:val="00A332E4"/>
    <w:rsid w:val="00A33317"/>
    <w:rsid w:val="00A335F4"/>
    <w:rsid w:val="00A337C9"/>
    <w:rsid w:val="00A33834"/>
    <w:rsid w:val="00A33874"/>
    <w:rsid w:val="00A33988"/>
    <w:rsid w:val="00A339D2"/>
    <w:rsid w:val="00A33A2F"/>
    <w:rsid w:val="00A33AD7"/>
    <w:rsid w:val="00A33B8C"/>
    <w:rsid w:val="00A33C22"/>
    <w:rsid w:val="00A33E5F"/>
    <w:rsid w:val="00A33EC7"/>
    <w:rsid w:val="00A34141"/>
    <w:rsid w:val="00A3422E"/>
    <w:rsid w:val="00A34314"/>
    <w:rsid w:val="00A34382"/>
    <w:rsid w:val="00A343B9"/>
    <w:rsid w:val="00A34400"/>
    <w:rsid w:val="00A34564"/>
    <w:rsid w:val="00A34687"/>
    <w:rsid w:val="00A34995"/>
    <w:rsid w:val="00A34A53"/>
    <w:rsid w:val="00A34B62"/>
    <w:rsid w:val="00A34B66"/>
    <w:rsid w:val="00A34E52"/>
    <w:rsid w:val="00A34FBA"/>
    <w:rsid w:val="00A34FCA"/>
    <w:rsid w:val="00A3511E"/>
    <w:rsid w:val="00A3532A"/>
    <w:rsid w:val="00A3542E"/>
    <w:rsid w:val="00A357B9"/>
    <w:rsid w:val="00A35811"/>
    <w:rsid w:val="00A3591B"/>
    <w:rsid w:val="00A359C3"/>
    <w:rsid w:val="00A35A32"/>
    <w:rsid w:val="00A35A8D"/>
    <w:rsid w:val="00A35C38"/>
    <w:rsid w:val="00A36045"/>
    <w:rsid w:val="00A360BF"/>
    <w:rsid w:val="00A360EE"/>
    <w:rsid w:val="00A3618C"/>
    <w:rsid w:val="00A361DD"/>
    <w:rsid w:val="00A36475"/>
    <w:rsid w:val="00A3665C"/>
    <w:rsid w:val="00A368E9"/>
    <w:rsid w:val="00A36A8D"/>
    <w:rsid w:val="00A36CD2"/>
    <w:rsid w:val="00A36CD5"/>
    <w:rsid w:val="00A36E12"/>
    <w:rsid w:val="00A37099"/>
    <w:rsid w:val="00A3722D"/>
    <w:rsid w:val="00A37288"/>
    <w:rsid w:val="00A372B6"/>
    <w:rsid w:val="00A37464"/>
    <w:rsid w:val="00A3750F"/>
    <w:rsid w:val="00A37559"/>
    <w:rsid w:val="00A37570"/>
    <w:rsid w:val="00A3762E"/>
    <w:rsid w:val="00A379C5"/>
    <w:rsid w:val="00A37A6A"/>
    <w:rsid w:val="00A37A86"/>
    <w:rsid w:val="00A37DCB"/>
    <w:rsid w:val="00A37E89"/>
    <w:rsid w:val="00A40080"/>
    <w:rsid w:val="00A401BC"/>
    <w:rsid w:val="00A401E1"/>
    <w:rsid w:val="00A402F9"/>
    <w:rsid w:val="00A40522"/>
    <w:rsid w:val="00A40AA8"/>
    <w:rsid w:val="00A40CA4"/>
    <w:rsid w:val="00A40D1E"/>
    <w:rsid w:val="00A40F06"/>
    <w:rsid w:val="00A412BC"/>
    <w:rsid w:val="00A4136B"/>
    <w:rsid w:val="00A413E4"/>
    <w:rsid w:val="00A4163C"/>
    <w:rsid w:val="00A41914"/>
    <w:rsid w:val="00A41A9A"/>
    <w:rsid w:val="00A41E17"/>
    <w:rsid w:val="00A4201D"/>
    <w:rsid w:val="00A4213D"/>
    <w:rsid w:val="00A421B3"/>
    <w:rsid w:val="00A421FD"/>
    <w:rsid w:val="00A4231E"/>
    <w:rsid w:val="00A423B5"/>
    <w:rsid w:val="00A4287E"/>
    <w:rsid w:val="00A428CB"/>
    <w:rsid w:val="00A42A26"/>
    <w:rsid w:val="00A42AA5"/>
    <w:rsid w:val="00A42B2A"/>
    <w:rsid w:val="00A42EAE"/>
    <w:rsid w:val="00A43089"/>
    <w:rsid w:val="00A4315B"/>
    <w:rsid w:val="00A431C2"/>
    <w:rsid w:val="00A43339"/>
    <w:rsid w:val="00A4344A"/>
    <w:rsid w:val="00A435EA"/>
    <w:rsid w:val="00A43641"/>
    <w:rsid w:val="00A436F4"/>
    <w:rsid w:val="00A43713"/>
    <w:rsid w:val="00A437DF"/>
    <w:rsid w:val="00A43808"/>
    <w:rsid w:val="00A43BAB"/>
    <w:rsid w:val="00A43DCA"/>
    <w:rsid w:val="00A43F6D"/>
    <w:rsid w:val="00A440A1"/>
    <w:rsid w:val="00A440B9"/>
    <w:rsid w:val="00A44360"/>
    <w:rsid w:val="00A44423"/>
    <w:rsid w:val="00A44513"/>
    <w:rsid w:val="00A44844"/>
    <w:rsid w:val="00A44868"/>
    <w:rsid w:val="00A449DE"/>
    <w:rsid w:val="00A449E7"/>
    <w:rsid w:val="00A44A46"/>
    <w:rsid w:val="00A44B91"/>
    <w:rsid w:val="00A44CEF"/>
    <w:rsid w:val="00A451BA"/>
    <w:rsid w:val="00A45492"/>
    <w:rsid w:val="00A45600"/>
    <w:rsid w:val="00A45685"/>
    <w:rsid w:val="00A45721"/>
    <w:rsid w:val="00A458D3"/>
    <w:rsid w:val="00A45969"/>
    <w:rsid w:val="00A45B5A"/>
    <w:rsid w:val="00A45E1C"/>
    <w:rsid w:val="00A45FB6"/>
    <w:rsid w:val="00A46108"/>
    <w:rsid w:val="00A46127"/>
    <w:rsid w:val="00A46401"/>
    <w:rsid w:val="00A464DD"/>
    <w:rsid w:val="00A4652C"/>
    <w:rsid w:val="00A466C6"/>
    <w:rsid w:val="00A46780"/>
    <w:rsid w:val="00A46788"/>
    <w:rsid w:val="00A46AF0"/>
    <w:rsid w:val="00A46C30"/>
    <w:rsid w:val="00A46E02"/>
    <w:rsid w:val="00A46FBD"/>
    <w:rsid w:val="00A47342"/>
    <w:rsid w:val="00A47395"/>
    <w:rsid w:val="00A47591"/>
    <w:rsid w:val="00A475E6"/>
    <w:rsid w:val="00A477F6"/>
    <w:rsid w:val="00A47B2B"/>
    <w:rsid w:val="00A47BD5"/>
    <w:rsid w:val="00A47D16"/>
    <w:rsid w:val="00A47D28"/>
    <w:rsid w:val="00A47D56"/>
    <w:rsid w:val="00A47D60"/>
    <w:rsid w:val="00A47E0D"/>
    <w:rsid w:val="00A47F6A"/>
    <w:rsid w:val="00A50186"/>
    <w:rsid w:val="00A50275"/>
    <w:rsid w:val="00A503FC"/>
    <w:rsid w:val="00A5068B"/>
    <w:rsid w:val="00A50899"/>
    <w:rsid w:val="00A50A8D"/>
    <w:rsid w:val="00A50B12"/>
    <w:rsid w:val="00A50C27"/>
    <w:rsid w:val="00A50CDF"/>
    <w:rsid w:val="00A50D30"/>
    <w:rsid w:val="00A5114A"/>
    <w:rsid w:val="00A511AD"/>
    <w:rsid w:val="00A512F3"/>
    <w:rsid w:val="00A51341"/>
    <w:rsid w:val="00A51345"/>
    <w:rsid w:val="00A51358"/>
    <w:rsid w:val="00A51431"/>
    <w:rsid w:val="00A515FB"/>
    <w:rsid w:val="00A516AA"/>
    <w:rsid w:val="00A51810"/>
    <w:rsid w:val="00A5197B"/>
    <w:rsid w:val="00A51BBE"/>
    <w:rsid w:val="00A51E49"/>
    <w:rsid w:val="00A51FAE"/>
    <w:rsid w:val="00A52243"/>
    <w:rsid w:val="00A5227E"/>
    <w:rsid w:val="00A52379"/>
    <w:rsid w:val="00A524D2"/>
    <w:rsid w:val="00A52666"/>
    <w:rsid w:val="00A5266A"/>
    <w:rsid w:val="00A52A64"/>
    <w:rsid w:val="00A52D6C"/>
    <w:rsid w:val="00A52DDD"/>
    <w:rsid w:val="00A52F85"/>
    <w:rsid w:val="00A531F0"/>
    <w:rsid w:val="00A53209"/>
    <w:rsid w:val="00A5320D"/>
    <w:rsid w:val="00A532CC"/>
    <w:rsid w:val="00A5344E"/>
    <w:rsid w:val="00A5376C"/>
    <w:rsid w:val="00A53C93"/>
    <w:rsid w:val="00A53CE2"/>
    <w:rsid w:val="00A53F73"/>
    <w:rsid w:val="00A53FBA"/>
    <w:rsid w:val="00A5403D"/>
    <w:rsid w:val="00A5447D"/>
    <w:rsid w:val="00A5447F"/>
    <w:rsid w:val="00A545BE"/>
    <w:rsid w:val="00A545F7"/>
    <w:rsid w:val="00A54617"/>
    <w:rsid w:val="00A54827"/>
    <w:rsid w:val="00A5488B"/>
    <w:rsid w:val="00A548FF"/>
    <w:rsid w:val="00A549C1"/>
    <w:rsid w:val="00A54AB6"/>
    <w:rsid w:val="00A5508B"/>
    <w:rsid w:val="00A550AD"/>
    <w:rsid w:val="00A5516A"/>
    <w:rsid w:val="00A557E8"/>
    <w:rsid w:val="00A55A95"/>
    <w:rsid w:val="00A55BD3"/>
    <w:rsid w:val="00A55BED"/>
    <w:rsid w:val="00A55C7D"/>
    <w:rsid w:val="00A55FB5"/>
    <w:rsid w:val="00A560BD"/>
    <w:rsid w:val="00A563C0"/>
    <w:rsid w:val="00A56448"/>
    <w:rsid w:val="00A56475"/>
    <w:rsid w:val="00A56518"/>
    <w:rsid w:val="00A566C5"/>
    <w:rsid w:val="00A5671E"/>
    <w:rsid w:val="00A56B59"/>
    <w:rsid w:val="00A56C57"/>
    <w:rsid w:val="00A56FDA"/>
    <w:rsid w:val="00A570B7"/>
    <w:rsid w:val="00A571D5"/>
    <w:rsid w:val="00A57202"/>
    <w:rsid w:val="00A572FF"/>
    <w:rsid w:val="00A57346"/>
    <w:rsid w:val="00A573B5"/>
    <w:rsid w:val="00A57494"/>
    <w:rsid w:val="00A5760E"/>
    <w:rsid w:val="00A577BF"/>
    <w:rsid w:val="00A57A5E"/>
    <w:rsid w:val="00A57AD9"/>
    <w:rsid w:val="00A57C98"/>
    <w:rsid w:val="00A600E2"/>
    <w:rsid w:val="00A6055E"/>
    <w:rsid w:val="00A605C9"/>
    <w:rsid w:val="00A609A9"/>
    <w:rsid w:val="00A60B86"/>
    <w:rsid w:val="00A60CF3"/>
    <w:rsid w:val="00A60F4A"/>
    <w:rsid w:val="00A60FD0"/>
    <w:rsid w:val="00A61043"/>
    <w:rsid w:val="00A61112"/>
    <w:rsid w:val="00A61176"/>
    <w:rsid w:val="00A6120A"/>
    <w:rsid w:val="00A61433"/>
    <w:rsid w:val="00A6157B"/>
    <w:rsid w:val="00A61603"/>
    <w:rsid w:val="00A61614"/>
    <w:rsid w:val="00A61865"/>
    <w:rsid w:val="00A6187C"/>
    <w:rsid w:val="00A61934"/>
    <w:rsid w:val="00A619C9"/>
    <w:rsid w:val="00A61BDA"/>
    <w:rsid w:val="00A61D4A"/>
    <w:rsid w:val="00A61DBB"/>
    <w:rsid w:val="00A61E33"/>
    <w:rsid w:val="00A6211B"/>
    <w:rsid w:val="00A624FC"/>
    <w:rsid w:val="00A62676"/>
    <w:rsid w:val="00A6270A"/>
    <w:rsid w:val="00A62811"/>
    <w:rsid w:val="00A62855"/>
    <w:rsid w:val="00A628D1"/>
    <w:rsid w:val="00A62A6C"/>
    <w:rsid w:val="00A62A73"/>
    <w:rsid w:val="00A62B68"/>
    <w:rsid w:val="00A62C97"/>
    <w:rsid w:val="00A62CB1"/>
    <w:rsid w:val="00A630A8"/>
    <w:rsid w:val="00A630D9"/>
    <w:rsid w:val="00A635C5"/>
    <w:rsid w:val="00A636F9"/>
    <w:rsid w:val="00A637D7"/>
    <w:rsid w:val="00A63840"/>
    <w:rsid w:val="00A639DD"/>
    <w:rsid w:val="00A63A5D"/>
    <w:rsid w:val="00A63B1F"/>
    <w:rsid w:val="00A63E59"/>
    <w:rsid w:val="00A63F9B"/>
    <w:rsid w:val="00A640C3"/>
    <w:rsid w:val="00A64156"/>
    <w:rsid w:val="00A64181"/>
    <w:rsid w:val="00A64195"/>
    <w:rsid w:val="00A64262"/>
    <w:rsid w:val="00A6428D"/>
    <w:rsid w:val="00A642B5"/>
    <w:rsid w:val="00A64364"/>
    <w:rsid w:val="00A64398"/>
    <w:rsid w:val="00A6463B"/>
    <w:rsid w:val="00A646AD"/>
    <w:rsid w:val="00A6474B"/>
    <w:rsid w:val="00A6498D"/>
    <w:rsid w:val="00A649CB"/>
    <w:rsid w:val="00A64B4D"/>
    <w:rsid w:val="00A64C5D"/>
    <w:rsid w:val="00A64C8E"/>
    <w:rsid w:val="00A64CD0"/>
    <w:rsid w:val="00A64E6B"/>
    <w:rsid w:val="00A64EB6"/>
    <w:rsid w:val="00A64ED8"/>
    <w:rsid w:val="00A64F62"/>
    <w:rsid w:val="00A64F69"/>
    <w:rsid w:val="00A65169"/>
    <w:rsid w:val="00A651D4"/>
    <w:rsid w:val="00A6529C"/>
    <w:rsid w:val="00A6542B"/>
    <w:rsid w:val="00A654F9"/>
    <w:rsid w:val="00A6555E"/>
    <w:rsid w:val="00A6566F"/>
    <w:rsid w:val="00A65681"/>
    <w:rsid w:val="00A65702"/>
    <w:rsid w:val="00A658AE"/>
    <w:rsid w:val="00A65966"/>
    <w:rsid w:val="00A65C7B"/>
    <w:rsid w:val="00A65C9C"/>
    <w:rsid w:val="00A65FE3"/>
    <w:rsid w:val="00A66018"/>
    <w:rsid w:val="00A66271"/>
    <w:rsid w:val="00A66488"/>
    <w:rsid w:val="00A667A1"/>
    <w:rsid w:val="00A667A7"/>
    <w:rsid w:val="00A66B45"/>
    <w:rsid w:val="00A66BBF"/>
    <w:rsid w:val="00A66C62"/>
    <w:rsid w:val="00A66E8E"/>
    <w:rsid w:val="00A6703D"/>
    <w:rsid w:val="00A67327"/>
    <w:rsid w:val="00A674A5"/>
    <w:rsid w:val="00A674D2"/>
    <w:rsid w:val="00A6774A"/>
    <w:rsid w:val="00A6776E"/>
    <w:rsid w:val="00A67A1D"/>
    <w:rsid w:val="00A67AAF"/>
    <w:rsid w:val="00A67B2F"/>
    <w:rsid w:val="00A67BAC"/>
    <w:rsid w:val="00A67DCE"/>
    <w:rsid w:val="00A70052"/>
    <w:rsid w:val="00A700CA"/>
    <w:rsid w:val="00A7038B"/>
    <w:rsid w:val="00A703BD"/>
    <w:rsid w:val="00A70487"/>
    <w:rsid w:val="00A704B2"/>
    <w:rsid w:val="00A705C8"/>
    <w:rsid w:val="00A70D40"/>
    <w:rsid w:val="00A70DFA"/>
    <w:rsid w:val="00A70E72"/>
    <w:rsid w:val="00A70EE4"/>
    <w:rsid w:val="00A70F0D"/>
    <w:rsid w:val="00A71034"/>
    <w:rsid w:val="00A71286"/>
    <w:rsid w:val="00A71500"/>
    <w:rsid w:val="00A715CE"/>
    <w:rsid w:val="00A71621"/>
    <w:rsid w:val="00A7165A"/>
    <w:rsid w:val="00A7180A"/>
    <w:rsid w:val="00A7180B"/>
    <w:rsid w:val="00A718B1"/>
    <w:rsid w:val="00A71A13"/>
    <w:rsid w:val="00A71A1B"/>
    <w:rsid w:val="00A71A4A"/>
    <w:rsid w:val="00A71AC7"/>
    <w:rsid w:val="00A71B5E"/>
    <w:rsid w:val="00A71CC1"/>
    <w:rsid w:val="00A71F5B"/>
    <w:rsid w:val="00A71FF5"/>
    <w:rsid w:val="00A7202F"/>
    <w:rsid w:val="00A7206C"/>
    <w:rsid w:val="00A72123"/>
    <w:rsid w:val="00A7221A"/>
    <w:rsid w:val="00A72261"/>
    <w:rsid w:val="00A72297"/>
    <w:rsid w:val="00A72906"/>
    <w:rsid w:val="00A729F0"/>
    <w:rsid w:val="00A72B91"/>
    <w:rsid w:val="00A72EF7"/>
    <w:rsid w:val="00A730A0"/>
    <w:rsid w:val="00A730C7"/>
    <w:rsid w:val="00A73161"/>
    <w:rsid w:val="00A73186"/>
    <w:rsid w:val="00A73677"/>
    <w:rsid w:val="00A736BC"/>
    <w:rsid w:val="00A73706"/>
    <w:rsid w:val="00A73731"/>
    <w:rsid w:val="00A738C2"/>
    <w:rsid w:val="00A73A8C"/>
    <w:rsid w:val="00A73DB3"/>
    <w:rsid w:val="00A73E8E"/>
    <w:rsid w:val="00A74187"/>
    <w:rsid w:val="00A74420"/>
    <w:rsid w:val="00A744C5"/>
    <w:rsid w:val="00A74554"/>
    <w:rsid w:val="00A7457F"/>
    <w:rsid w:val="00A746C7"/>
    <w:rsid w:val="00A74737"/>
    <w:rsid w:val="00A7482F"/>
    <w:rsid w:val="00A7484E"/>
    <w:rsid w:val="00A7493B"/>
    <w:rsid w:val="00A749FC"/>
    <w:rsid w:val="00A74B3C"/>
    <w:rsid w:val="00A74BE2"/>
    <w:rsid w:val="00A74C12"/>
    <w:rsid w:val="00A74C37"/>
    <w:rsid w:val="00A74D0A"/>
    <w:rsid w:val="00A74E1D"/>
    <w:rsid w:val="00A74E84"/>
    <w:rsid w:val="00A75044"/>
    <w:rsid w:val="00A7521C"/>
    <w:rsid w:val="00A7524B"/>
    <w:rsid w:val="00A7542C"/>
    <w:rsid w:val="00A75876"/>
    <w:rsid w:val="00A7597C"/>
    <w:rsid w:val="00A75A8C"/>
    <w:rsid w:val="00A75B76"/>
    <w:rsid w:val="00A75BAB"/>
    <w:rsid w:val="00A75BCB"/>
    <w:rsid w:val="00A75C33"/>
    <w:rsid w:val="00A75D27"/>
    <w:rsid w:val="00A75E66"/>
    <w:rsid w:val="00A75EFB"/>
    <w:rsid w:val="00A75F5C"/>
    <w:rsid w:val="00A76016"/>
    <w:rsid w:val="00A7603C"/>
    <w:rsid w:val="00A76126"/>
    <w:rsid w:val="00A76242"/>
    <w:rsid w:val="00A76270"/>
    <w:rsid w:val="00A76326"/>
    <w:rsid w:val="00A763EE"/>
    <w:rsid w:val="00A76461"/>
    <w:rsid w:val="00A76478"/>
    <w:rsid w:val="00A765A2"/>
    <w:rsid w:val="00A76660"/>
    <w:rsid w:val="00A76705"/>
    <w:rsid w:val="00A7678E"/>
    <w:rsid w:val="00A767F6"/>
    <w:rsid w:val="00A76851"/>
    <w:rsid w:val="00A76C21"/>
    <w:rsid w:val="00A76DE5"/>
    <w:rsid w:val="00A76DFE"/>
    <w:rsid w:val="00A76F93"/>
    <w:rsid w:val="00A770E8"/>
    <w:rsid w:val="00A770ED"/>
    <w:rsid w:val="00A7712F"/>
    <w:rsid w:val="00A77235"/>
    <w:rsid w:val="00A77238"/>
    <w:rsid w:val="00A772B7"/>
    <w:rsid w:val="00A772E2"/>
    <w:rsid w:val="00A77377"/>
    <w:rsid w:val="00A773E2"/>
    <w:rsid w:val="00A7746A"/>
    <w:rsid w:val="00A774C3"/>
    <w:rsid w:val="00A774EE"/>
    <w:rsid w:val="00A77509"/>
    <w:rsid w:val="00A77540"/>
    <w:rsid w:val="00A776A7"/>
    <w:rsid w:val="00A77814"/>
    <w:rsid w:val="00A77894"/>
    <w:rsid w:val="00A778B1"/>
    <w:rsid w:val="00A778C6"/>
    <w:rsid w:val="00A77950"/>
    <w:rsid w:val="00A7796C"/>
    <w:rsid w:val="00A7798F"/>
    <w:rsid w:val="00A77AD7"/>
    <w:rsid w:val="00A77B74"/>
    <w:rsid w:val="00A77BD0"/>
    <w:rsid w:val="00A77C47"/>
    <w:rsid w:val="00A77DF6"/>
    <w:rsid w:val="00A77E62"/>
    <w:rsid w:val="00A801F7"/>
    <w:rsid w:val="00A805B6"/>
    <w:rsid w:val="00A80AFE"/>
    <w:rsid w:val="00A80B29"/>
    <w:rsid w:val="00A80D06"/>
    <w:rsid w:val="00A80F15"/>
    <w:rsid w:val="00A81090"/>
    <w:rsid w:val="00A811A2"/>
    <w:rsid w:val="00A8130C"/>
    <w:rsid w:val="00A81332"/>
    <w:rsid w:val="00A81469"/>
    <w:rsid w:val="00A81517"/>
    <w:rsid w:val="00A81A1F"/>
    <w:rsid w:val="00A81ACB"/>
    <w:rsid w:val="00A81AF7"/>
    <w:rsid w:val="00A81AFA"/>
    <w:rsid w:val="00A81CF9"/>
    <w:rsid w:val="00A81DBA"/>
    <w:rsid w:val="00A81F50"/>
    <w:rsid w:val="00A81FBB"/>
    <w:rsid w:val="00A8202E"/>
    <w:rsid w:val="00A8214B"/>
    <w:rsid w:val="00A821DB"/>
    <w:rsid w:val="00A8227F"/>
    <w:rsid w:val="00A82384"/>
    <w:rsid w:val="00A823F6"/>
    <w:rsid w:val="00A8240E"/>
    <w:rsid w:val="00A8248F"/>
    <w:rsid w:val="00A824F5"/>
    <w:rsid w:val="00A8250F"/>
    <w:rsid w:val="00A826C9"/>
    <w:rsid w:val="00A827D5"/>
    <w:rsid w:val="00A8283B"/>
    <w:rsid w:val="00A82886"/>
    <w:rsid w:val="00A82A9D"/>
    <w:rsid w:val="00A82B6E"/>
    <w:rsid w:val="00A82D69"/>
    <w:rsid w:val="00A83147"/>
    <w:rsid w:val="00A83408"/>
    <w:rsid w:val="00A834D7"/>
    <w:rsid w:val="00A8382E"/>
    <w:rsid w:val="00A83997"/>
    <w:rsid w:val="00A83A5B"/>
    <w:rsid w:val="00A83A6C"/>
    <w:rsid w:val="00A83AEF"/>
    <w:rsid w:val="00A83C95"/>
    <w:rsid w:val="00A83D16"/>
    <w:rsid w:val="00A83EB0"/>
    <w:rsid w:val="00A8410B"/>
    <w:rsid w:val="00A84147"/>
    <w:rsid w:val="00A84166"/>
    <w:rsid w:val="00A8429C"/>
    <w:rsid w:val="00A84346"/>
    <w:rsid w:val="00A843E3"/>
    <w:rsid w:val="00A8444F"/>
    <w:rsid w:val="00A844D3"/>
    <w:rsid w:val="00A8482B"/>
    <w:rsid w:val="00A84968"/>
    <w:rsid w:val="00A84A0B"/>
    <w:rsid w:val="00A84A1A"/>
    <w:rsid w:val="00A84A6E"/>
    <w:rsid w:val="00A84B0D"/>
    <w:rsid w:val="00A84B5A"/>
    <w:rsid w:val="00A84E50"/>
    <w:rsid w:val="00A8509A"/>
    <w:rsid w:val="00A85221"/>
    <w:rsid w:val="00A85269"/>
    <w:rsid w:val="00A85327"/>
    <w:rsid w:val="00A853B7"/>
    <w:rsid w:val="00A854E3"/>
    <w:rsid w:val="00A8558E"/>
    <w:rsid w:val="00A85689"/>
    <w:rsid w:val="00A856C3"/>
    <w:rsid w:val="00A85A75"/>
    <w:rsid w:val="00A85A7C"/>
    <w:rsid w:val="00A85B9C"/>
    <w:rsid w:val="00A85C78"/>
    <w:rsid w:val="00A85C96"/>
    <w:rsid w:val="00A85CDB"/>
    <w:rsid w:val="00A85F44"/>
    <w:rsid w:val="00A86401"/>
    <w:rsid w:val="00A868B7"/>
    <w:rsid w:val="00A8699E"/>
    <w:rsid w:val="00A86C0E"/>
    <w:rsid w:val="00A86C33"/>
    <w:rsid w:val="00A86C5F"/>
    <w:rsid w:val="00A86F75"/>
    <w:rsid w:val="00A87003"/>
    <w:rsid w:val="00A8715C"/>
    <w:rsid w:val="00A8720E"/>
    <w:rsid w:val="00A87234"/>
    <w:rsid w:val="00A8751F"/>
    <w:rsid w:val="00A87990"/>
    <w:rsid w:val="00A879F4"/>
    <w:rsid w:val="00A87A57"/>
    <w:rsid w:val="00A87B41"/>
    <w:rsid w:val="00A87B44"/>
    <w:rsid w:val="00A87D64"/>
    <w:rsid w:val="00A87D91"/>
    <w:rsid w:val="00A87F46"/>
    <w:rsid w:val="00A9039F"/>
    <w:rsid w:val="00A9052B"/>
    <w:rsid w:val="00A9054F"/>
    <w:rsid w:val="00A9069A"/>
    <w:rsid w:val="00A908D3"/>
    <w:rsid w:val="00A908E7"/>
    <w:rsid w:val="00A9099F"/>
    <w:rsid w:val="00A90A50"/>
    <w:rsid w:val="00A90A77"/>
    <w:rsid w:val="00A90CE7"/>
    <w:rsid w:val="00A90E60"/>
    <w:rsid w:val="00A91019"/>
    <w:rsid w:val="00A91098"/>
    <w:rsid w:val="00A91159"/>
    <w:rsid w:val="00A9120A"/>
    <w:rsid w:val="00A91223"/>
    <w:rsid w:val="00A9138E"/>
    <w:rsid w:val="00A9147C"/>
    <w:rsid w:val="00A91650"/>
    <w:rsid w:val="00A91940"/>
    <w:rsid w:val="00A91DC9"/>
    <w:rsid w:val="00A91E94"/>
    <w:rsid w:val="00A91F2D"/>
    <w:rsid w:val="00A91F2F"/>
    <w:rsid w:val="00A91F36"/>
    <w:rsid w:val="00A92085"/>
    <w:rsid w:val="00A92227"/>
    <w:rsid w:val="00A9249F"/>
    <w:rsid w:val="00A9274F"/>
    <w:rsid w:val="00A927ED"/>
    <w:rsid w:val="00A92884"/>
    <w:rsid w:val="00A928C7"/>
    <w:rsid w:val="00A929AB"/>
    <w:rsid w:val="00A92AEC"/>
    <w:rsid w:val="00A92B28"/>
    <w:rsid w:val="00A92DDD"/>
    <w:rsid w:val="00A92E1E"/>
    <w:rsid w:val="00A9307E"/>
    <w:rsid w:val="00A930C1"/>
    <w:rsid w:val="00A9314A"/>
    <w:rsid w:val="00A93196"/>
    <w:rsid w:val="00A932FC"/>
    <w:rsid w:val="00A93349"/>
    <w:rsid w:val="00A9336A"/>
    <w:rsid w:val="00A93449"/>
    <w:rsid w:val="00A9362A"/>
    <w:rsid w:val="00A936BE"/>
    <w:rsid w:val="00A9379F"/>
    <w:rsid w:val="00A93897"/>
    <w:rsid w:val="00A93A82"/>
    <w:rsid w:val="00A93D13"/>
    <w:rsid w:val="00A93D77"/>
    <w:rsid w:val="00A93D88"/>
    <w:rsid w:val="00A93DA1"/>
    <w:rsid w:val="00A93F6A"/>
    <w:rsid w:val="00A93FC3"/>
    <w:rsid w:val="00A94129"/>
    <w:rsid w:val="00A941D4"/>
    <w:rsid w:val="00A94351"/>
    <w:rsid w:val="00A943E8"/>
    <w:rsid w:val="00A9444B"/>
    <w:rsid w:val="00A94609"/>
    <w:rsid w:val="00A9477F"/>
    <w:rsid w:val="00A948DC"/>
    <w:rsid w:val="00A9495E"/>
    <w:rsid w:val="00A9499E"/>
    <w:rsid w:val="00A94A6F"/>
    <w:rsid w:val="00A94AB9"/>
    <w:rsid w:val="00A94D45"/>
    <w:rsid w:val="00A94EEB"/>
    <w:rsid w:val="00A9523C"/>
    <w:rsid w:val="00A95257"/>
    <w:rsid w:val="00A9532D"/>
    <w:rsid w:val="00A95507"/>
    <w:rsid w:val="00A95651"/>
    <w:rsid w:val="00A9570D"/>
    <w:rsid w:val="00A95762"/>
    <w:rsid w:val="00A957EA"/>
    <w:rsid w:val="00A958F7"/>
    <w:rsid w:val="00A95977"/>
    <w:rsid w:val="00A95B4C"/>
    <w:rsid w:val="00A95D06"/>
    <w:rsid w:val="00A95D1A"/>
    <w:rsid w:val="00A95F54"/>
    <w:rsid w:val="00A96129"/>
    <w:rsid w:val="00A961F4"/>
    <w:rsid w:val="00A962CD"/>
    <w:rsid w:val="00A96499"/>
    <w:rsid w:val="00A964C5"/>
    <w:rsid w:val="00A964CB"/>
    <w:rsid w:val="00A964CE"/>
    <w:rsid w:val="00A96561"/>
    <w:rsid w:val="00A9665F"/>
    <w:rsid w:val="00A966CE"/>
    <w:rsid w:val="00A9671A"/>
    <w:rsid w:val="00A9674C"/>
    <w:rsid w:val="00A9684F"/>
    <w:rsid w:val="00A968AB"/>
    <w:rsid w:val="00A968F8"/>
    <w:rsid w:val="00A9696E"/>
    <w:rsid w:val="00A96A01"/>
    <w:rsid w:val="00A96B17"/>
    <w:rsid w:val="00A96B71"/>
    <w:rsid w:val="00A96F39"/>
    <w:rsid w:val="00A96F9A"/>
    <w:rsid w:val="00A97447"/>
    <w:rsid w:val="00A9766D"/>
    <w:rsid w:val="00A9772C"/>
    <w:rsid w:val="00A9780D"/>
    <w:rsid w:val="00A97A05"/>
    <w:rsid w:val="00A97A08"/>
    <w:rsid w:val="00A97B78"/>
    <w:rsid w:val="00A97BA2"/>
    <w:rsid w:val="00AA0165"/>
    <w:rsid w:val="00AA0234"/>
    <w:rsid w:val="00AA034A"/>
    <w:rsid w:val="00AA057E"/>
    <w:rsid w:val="00AA05CF"/>
    <w:rsid w:val="00AA065F"/>
    <w:rsid w:val="00AA0862"/>
    <w:rsid w:val="00AA0895"/>
    <w:rsid w:val="00AA0A90"/>
    <w:rsid w:val="00AA0B35"/>
    <w:rsid w:val="00AA0BA1"/>
    <w:rsid w:val="00AA0C8F"/>
    <w:rsid w:val="00AA0DF5"/>
    <w:rsid w:val="00AA10AC"/>
    <w:rsid w:val="00AA10BF"/>
    <w:rsid w:val="00AA11FC"/>
    <w:rsid w:val="00AA1300"/>
    <w:rsid w:val="00AA13D9"/>
    <w:rsid w:val="00AA149B"/>
    <w:rsid w:val="00AA153B"/>
    <w:rsid w:val="00AA1585"/>
    <w:rsid w:val="00AA18FA"/>
    <w:rsid w:val="00AA1A23"/>
    <w:rsid w:val="00AA1A39"/>
    <w:rsid w:val="00AA1B96"/>
    <w:rsid w:val="00AA1DC1"/>
    <w:rsid w:val="00AA1FBB"/>
    <w:rsid w:val="00AA20CE"/>
    <w:rsid w:val="00AA23C7"/>
    <w:rsid w:val="00AA240B"/>
    <w:rsid w:val="00AA2630"/>
    <w:rsid w:val="00AA274E"/>
    <w:rsid w:val="00AA27D1"/>
    <w:rsid w:val="00AA290E"/>
    <w:rsid w:val="00AA2A86"/>
    <w:rsid w:val="00AA2C30"/>
    <w:rsid w:val="00AA2C55"/>
    <w:rsid w:val="00AA2D5D"/>
    <w:rsid w:val="00AA2E14"/>
    <w:rsid w:val="00AA3179"/>
    <w:rsid w:val="00AA32A9"/>
    <w:rsid w:val="00AA3396"/>
    <w:rsid w:val="00AA3401"/>
    <w:rsid w:val="00AA3460"/>
    <w:rsid w:val="00AA376C"/>
    <w:rsid w:val="00AA3954"/>
    <w:rsid w:val="00AA3A44"/>
    <w:rsid w:val="00AA3B49"/>
    <w:rsid w:val="00AA3CCC"/>
    <w:rsid w:val="00AA3F10"/>
    <w:rsid w:val="00AA3FE6"/>
    <w:rsid w:val="00AA401D"/>
    <w:rsid w:val="00AA4110"/>
    <w:rsid w:val="00AA414E"/>
    <w:rsid w:val="00AA4205"/>
    <w:rsid w:val="00AA426A"/>
    <w:rsid w:val="00AA4322"/>
    <w:rsid w:val="00AA4415"/>
    <w:rsid w:val="00AA455A"/>
    <w:rsid w:val="00AA4788"/>
    <w:rsid w:val="00AA4EDC"/>
    <w:rsid w:val="00AA4FAE"/>
    <w:rsid w:val="00AA50C7"/>
    <w:rsid w:val="00AA5160"/>
    <w:rsid w:val="00AA524F"/>
    <w:rsid w:val="00AA52BA"/>
    <w:rsid w:val="00AA53BB"/>
    <w:rsid w:val="00AA5596"/>
    <w:rsid w:val="00AA5706"/>
    <w:rsid w:val="00AA570B"/>
    <w:rsid w:val="00AA5734"/>
    <w:rsid w:val="00AA5AB2"/>
    <w:rsid w:val="00AA5ABC"/>
    <w:rsid w:val="00AA5C47"/>
    <w:rsid w:val="00AA5DE7"/>
    <w:rsid w:val="00AA5E88"/>
    <w:rsid w:val="00AA5F7C"/>
    <w:rsid w:val="00AA6048"/>
    <w:rsid w:val="00AA60F4"/>
    <w:rsid w:val="00AA6153"/>
    <w:rsid w:val="00AA6160"/>
    <w:rsid w:val="00AA61A4"/>
    <w:rsid w:val="00AA621C"/>
    <w:rsid w:val="00AA6934"/>
    <w:rsid w:val="00AA69D7"/>
    <w:rsid w:val="00AA69E6"/>
    <w:rsid w:val="00AA6BB2"/>
    <w:rsid w:val="00AA6C76"/>
    <w:rsid w:val="00AA7501"/>
    <w:rsid w:val="00AA7533"/>
    <w:rsid w:val="00AA7575"/>
    <w:rsid w:val="00AA75E4"/>
    <w:rsid w:val="00AA7610"/>
    <w:rsid w:val="00AA7686"/>
    <w:rsid w:val="00AA7739"/>
    <w:rsid w:val="00AA78F2"/>
    <w:rsid w:val="00AA7A6B"/>
    <w:rsid w:val="00AA7B85"/>
    <w:rsid w:val="00AA7C03"/>
    <w:rsid w:val="00AA7CBE"/>
    <w:rsid w:val="00AA7FD4"/>
    <w:rsid w:val="00AA7FE8"/>
    <w:rsid w:val="00AB004F"/>
    <w:rsid w:val="00AB013F"/>
    <w:rsid w:val="00AB018C"/>
    <w:rsid w:val="00AB036C"/>
    <w:rsid w:val="00AB061D"/>
    <w:rsid w:val="00AB0636"/>
    <w:rsid w:val="00AB08D8"/>
    <w:rsid w:val="00AB098F"/>
    <w:rsid w:val="00AB09C2"/>
    <w:rsid w:val="00AB0BD3"/>
    <w:rsid w:val="00AB0D60"/>
    <w:rsid w:val="00AB0E65"/>
    <w:rsid w:val="00AB0EB8"/>
    <w:rsid w:val="00AB1175"/>
    <w:rsid w:val="00AB12FA"/>
    <w:rsid w:val="00AB14A2"/>
    <w:rsid w:val="00AB1671"/>
    <w:rsid w:val="00AB16C5"/>
    <w:rsid w:val="00AB176B"/>
    <w:rsid w:val="00AB1975"/>
    <w:rsid w:val="00AB1B7F"/>
    <w:rsid w:val="00AB1C73"/>
    <w:rsid w:val="00AB1D48"/>
    <w:rsid w:val="00AB1E04"/>
    <w:rsid w:val="00AB2094"/>
    <w:rsid w:val="00AB20A1"/>
    <w:rsid w:val="00AB2508"/>
    <w:rsid w:val="00AB2556"/>
    <w:rsid w:val="00AB27E4"/>
    <w:rsid w:val="00AB2934"/>
    <w:rsid w:val="00AB2CD1"/>
    <w:rsid w:val="00AB2F0A"/>
    <w:rsid w:val="00AB3024"/>
    <w:rsid w:val="00AB3161"/>
    <w:rsid w:val="00AB3176"/>
    <w:rsid w:val="00AB32CE"/>
    <w:rsid w:val="00AB3331"/>
    <w:rsid w:val="00AB354F"/>
    <w:rsid w:val="00AB3612"/>
    <w:rsid w:val="00AB3A0F"/>
    <w:rsid w:val="00AB3B5C"/>
    <w:rsid w:val="00AB401F"/>
    <w:rsid w:val="00AB4084"/>
    <w:rsid w:val="00AB41E7"/>
    <w:rsid w:val="00AB4262"/>
    <w:rsid w:val="00AB432D"/>
    <w:rsid w:val="00AB4470"/>
    <w:rsid w:val="00AB45CE"/>
    <w:rsid w:val="00AB466F"/>
    <w:rsid w:val="00AB4819"/>
    <w:rsid w:val="00AB488F"/>
    <w:rsid w:val="00AB48CF"/>
    <w:rsid w:val="00AB4A76"/>
    <w:rsid w:val="00AB4C08"/>
    <w:rsid w:val="00AB4D64"/>
    <w:rsid w:val="00AB4DA1"/>
    <w:rsid w:val="00AB4ECA"/>
    <w:rsid w:val="00AB4F0B"/>
    <w:rsid w:val="00AB517D"/>
    <w:rsid w:val="00AB5284"/>
    <w:rsid w:val="00AB5331"/>
    <w:rsid w:val="00AB54B0"/>
    <w:rsid w:val="00AB5653"/>
    <w:rsid w:val="00AB5785"/>
    <w:rsid w:val="00AB5BC8"/>
    <w:rsid w:val="00AB5C2D"/>
    <w:rsid w:val="00AB5DAA"/>
    <w:rsid w:val="00AB5DDA"/>
    <w:rsid w:val="00AB5FE8"/>
    <w:rsid w:val="00AB603C"/>
    <w:rsid w:val="00AB6154"/>
    <w:rsid w:val="00AB6225"/>
    <w:rsid w:val="00AB6326"/>
    <w:rsid w:val="00AB63AA"/>
    <w:rsid w:val="00AB699C"/>
    <w:rsid w:val="00AB6CD9"/>
    <w:rsid w:val="00AB6E6B"/>
    <w:rsid w:val="00AB7964"/>
    <w:rsid w:val="00AB7969"/>
    <w:rsid w:val="00AB7B3E"/>
    <w:rsid w:val="00AB7F28"/>
    <w:rsid w:val="00AB7FED"/>
    <w:rsid w:val="00AC003E"/>
    <w:rsid w:val="00AC0059"/>
    <w:rsid w:val="00AC019E"/>
    <w:rsid w:val="00AC01D9"/>
    <w:rsid w:val="00AC037E"/>
    <w:rsid w:val="00AC04FB"/>
    <w:rsid w:val="00AC0538"/>
    <w:rsid w:val="00AC07FA"/>
    <w:rsid w:val="00AC0816"/>
    <w:rsid w:val="00AC08C2"/>
    <w:rsid w:val="00AC0967"/>
    <w:rsid w:val="00AC0A2B"/>
    <w:rsid w:val="00AC0A6B"/>
    <w:rsid w:val="00AC0B35"/>
    <w:rsid w:val="00AC0DC3"/>
    <w:rsid w:val="00AC100C"/>
    <w:rsid w:val="00AC120B"/>
    <w:rsid w:val="00AC162A"/>
    <w:rsid w:val="00AC1CAC"/>
    <w:rsid w:val="00AC1D4D"/>
    <w:rsid w:val="00AC1D73"/>
    <w:rsid w:val="00AC216D"/>
    <w:rsid w:val="00AC2246"/>
    <w:rsid w:val="00AC22D3"/>
    <w:rsid w:val="00AC22FB"/>
    <w:rsid w:val="00AC231F"/>
    <w:rsid w:val="00AC2438"/>
    <w:rsid w:val="00AC2553"/>
    <w:rsid w:val="00AC25C7"/>
    <w:rsid w:val="00AC27B9"/>
    <w:rsid w:val="00AC2A29"/>
    <w:rsid w:val="00AC2A9F"/>
    <w:rsid w:val="00AC2AC7"/>
    <w:rsid w:val="00AC2AF0"/>
    <w:rsid w:val="00AC2E3C"/>
    <w:rsid w:val="00AC2E4B"/>
    <w:rsid w:val="00AC2E87"/>
    <w:rsid w:val="00AC3042"/>
    <w:rsid w:val="00AC31B7"/>
    <w:rsid w:val="00AC33B1"/>
    <w:rsid w:val="00AC382A"/>
    <w:rsid w:val="00AC38FF"/>
    <w:rsid w:val="00AC3911"/>
    <w:rsid w:val="00AC3968"/>
    <w:rsid w:val="00AC3993"/>
    <w:rsid w:val="00AC3A2B"/>
    <w:rsid w:val="00AC40D5"/>
    <w:rsid w:val="00AC4220"/>
    <w:rsid w:val="00AC4225"/>
    <w:rsid w:val="00AC4258"/>
    <w:rsid w:val="00AC4493"/>
    <w:rsid w:val="00AC46C6"/>
    <w:rsid w:val="00AC4725"/>
    <w:rsid w:val="00AC47EA"/>
    <w:rsid w:val="00AC4918"/>
    <w:rsid w:val="00AC492C"/>
    <w:rsid w:val="00AC4C6B"/>
    <w:rsid w:val="00AC4C86"/>
    <w:rsid w:val="00AC4DDF"/>
    <w:rsid w:val="00AC52F4"/>
    <w:rsid w:val="00AC531C"/>
    <w:rsid w:val="00AC5423"/>
    <w:rsid w:val="00AC5505"/>
    <w:rsid w:val="00AC5570"/>
    <w:rsid w:val="00AC5615"/>
    <w:rsid w:val="00AC57D9"/>
    <w:rsid w:val="00AC585C"/>
    <w:rsid w:val="00AC5B12"/>
    <w:rsid w:val="00AC5B8F"/>
    <w:rsid w:val="00AC5C35"/>
    <w:rsid w:val="00AC5CB4"/>
    <w:rsid w:val="00AC60B2"/>
    <w:rsid w:val="00AC61D1"/>
    <w:rsid w:val="00AC6307"/>
    <w:rsid w:val="00AC63B5"/>
    <w:rsid w:val="00AC63DF"/>
    <w:rsid w:val="00AC65AF"/>
    <w:rsid w:val="00AC66AF"/>
    <w:rsid w:val="00AC6859"/>
    <w:rsid w:val="00AC6927"/>
    <w:rsid w:val="00AC694F"/>
    <w:rsid w:val="00AC69D9"/>
    <w:rsid w:val="00AC6AD5"/>
    <w:rsid w:val="00AC6B71"/>
    <w:rsid w:val="00AC6BA9"/>
    <w:rsid w:val="00AC6F3C"/>
    <w:rsid w:val="00AC6FF4"/>
    <w:rsid w:val="00AC71EA"/>
    <w:rsid w:val="00AC7247"/>
    <w:rsid w:val="00AC7256"/>
    <w:rsid w:val="00AC7347"/>
    <w:rsid w:val="00AC743D"/>
    <w:rsid w:val="00AC76FB"/>
    <w:rsid w:val="00AC7717"/>
    <w:rsid w:val="00AC792D"/>
    <w:rsid w:val="00AC7C65"/>
    <w:rsid w:val="00AC7DDE"/>
    <w:rsid w:val="00AC7E90"/>
    <w:rsid w:val="00AC7F7A"/>
    <w:rsid w:val="00AD0052"/>
    <w:rsid w:val="00AD03E2"/>
    <w:rsid w:val="00AD0433"/>
    <w:rsid w:val="00AD0599"/>
    <w:rsid w:val="00AD062B"/>
    <w:rsid w:val="00AD063F"/>
    <w:rsid w:val="00AD0660"/>
    <w:rsid w:val="00AD091F"/>
    <w:rsid w:val="00AD097F"/>
    <w:rsid w:val="00AD0B21"/>
    <w:rsid w:val="00AD1064"/>
    <w:rsid w:val="00AD10C0"/>
    <w:rsid w:val="00AD10CF"/>
    <w:rsid w:val="00AD10FE"/>
    <w:rsid w:val="00AD1293"/>
    <w:rsid w:val="00AD140E"/>
    <w:rsid w:val="00AD191E"/>
    <w:rsid w:val="00AD1971"/>
    <w:rsid w:val="00AD1B55"/>
    <w:rsid w:val="00AD1C25"/>
    <w:rsid w:val="00AD1C54"/>
    <w:rsid w:val="00AD1CE2"/>
    <w:rsid w:val="00AD1F7C"/>
    <w:rsid w:val="00AD2080"/>
    <w:rsid w:val="00AD2182"/>
    <w:rsid w:val="00AD2233"/>
    <w:rsid w:val="00AD23B7"/>
    <w:rsid w:val="00AD23EB"/>
    <w:rsid w:val="00AD25A4"/>
    <w:rsid w:val="00AD26A7"/>
    <w:rsid w:val="00AD27BF"/>
    <w:rsid w:val="00AD291D"/>
    <w:rsid w:val="00AD29FE"/>
    <w:rsid w:val="00AD2AFA"/>
    <w:rsid w:val="00AD2C0E"/>
    <w:rsid w:val="00AD2C54"/>
    <w:rsid w:val="00AD2E12"/>
    <w:rsid w:val="00AD2EC5"/>
    <w:rsid w:val="00AD2FB9"/>
    <w:rsid w:val="00AD31DB"/>
    <w:rsid w:val="00AD366B"/>
    <w:rsid w:val="00AD3AAD"/>
    <w:rsid w:val="00AD3FEA"/>
    <w:rsid w:val="00AD40FF"/>
    <w:rsid w:val="00AD4476"/>
    <w:rsid w:val="00AD4670"/>
    <w:rsid w:val="00AD4687"/>
    <w:rsid w:val="00AD46B1"/>
    <w:rsid w:val="00AD4754"/>
    <w:rsid w:val="00AD4913"/>
    <w:rsid w:val="00AD4B11"/>
    <w:rsid w:val="00AD4CF5"/>
    <w:rsid w:val="00AD4E99"/>
    <w:rsid w:val="00AD4EEB"/>
    <w:rsid w:val="00AD5188"/>
    <w:rsid w:val="00AD51FE"/>
    <w:rsid w:val="00AD5208"/>
    <w:rsid w:val="00AD54CE"/>
    <w:rsid w:val="00AD583C"/>
    <w:rsid w:val="00AD5870"/>
    <w:rsid w:val="00AD5909"/>
    <w:rsid w:val="00AD5A91"/>
    <w:rsid w:val="00AD5B79"/>
    <w:rsid w:val="00AD5C5E"/>
    <w:rsid w:val="00AD5CE1"/>
    <w:rsid w:val="00AD5EC9"/>
    <w:rsid w:val="00AD5F01"/>
    <w:rsid w:val="00AD60AF"/>
    <w:rsid w:val="00AD6101"/>
    <w:rsid w:val="00AD615C"/>
    <w:rsid w:val="00AD64C6"/>
    <w:rsid w:val="00AD6580"/>
    <w:rsid w:val="00AD67CE"/>
    <w:rsid w:val="00AD686F"/>
    <w:rsid w:val="00AD69F6"/>
    <w:rsid w:val="00AD6AEA"/>
    <w:rsid w:val="00AD6C64"/>
    <w:rsid w:val="00AD6C80"/>
    <w:rsid w:val="00AD6DC1"/>
    <w:rsid w:val="00AD6E82"/>
    <w:rsid w:val="00AD7009"/>
    <w:rsid w:val="00AD7094"/>
    <w:rsid w:val="00AD7305"/>
    <w:rsid w:val="00AD753A"/>
    <w:rsid w:val="00AD76F9"/>
    <w:rsid w:val="00AD7806"/>
    <w:rsid w:val="00AD7850"/>
    <w:rsid w:val="00AD7860"/>
    <w:rsid w:val="00AD7CE7"/>
    <w:rsid w:val="00AD7FE7"/>
    <w:rsid w:val="00AE0420"/>
    <w:rsid w:val="00AE0593"/>
    <w:rsid w:val="00AE070F"/>
    <w:rsid w:val="00AE0A64"/>
    <w:rsid w:val="00AE0AB1"/>
    <w:rsid w:val="00AE0B04"/>
    <w:rsid w:val="00AE0E46"/>
    <w:rsid w:val="00AE1053"/>
    <w:rsid w:val="00AE11AB"/>
    <w:rsid w:val="00AE13BE"/>
    <w:rsid w:val="00AE1455"/>
    <w:rsid w:val="00AE151F"/>
    <w:rsid w:val="00AE16DF"/>
    <w:rsid w:val="00AE195B"/>
    <w:rsid w:val="00AE1BA5"/>
    <w:rsid w:val="00AE1CE5"/>
    <w:rsid w:val="00AE1DDB"/>
    <w:rsid w:val="00AE204A"/>
    <w:rsid w:val="00AE2172"/>
    <w:rsid w:val="00AE2313"/>
    <w:rsid w:val="00AE243A"/>
    <w:rsid w:val="00AE2626"/>
    <w:rsid w:val="00AE26B1"/>
    <w:rsid w:val="00AE2735"/>
    <w:rsid w:val="00AE2771"/>
    <w:rsid w:val="00AE2803"/>
    <w:rsid w:val="00AE2845"/>
    <w:rsid w:val="00AE289C"/>
    <w:rsid w:val="00AE290E"/>
    <w:rsid w:val="00AE2A48"/>
    <w:rsid w:val="00AE2BAC"/>
    <w:rsid w:val="00AE2C43"/>
    <w:rsid w:val="00AE2CD5"/>
    <w:rsid w:val="00AE2DEB"/>
    <w:rsid w:val="00AE2F84"/>
    <w:rsid w:val="00AE3007"/>
    <w:rsid w:val="00AE30CB"/>
    <w:rsid w:val="00AE3157"/>
    <w:rsid w:val="00AE331C"/>
    <w:rsid w:val="00AE3748"/>
    <w:rsid w:val="00AE3982"/>
    <w:rsid w:val="00AE3B39"/>
    <w:rsid w:val="00AE3F47"/>
    <w:rsid w:val="00AE4005"/>
    <w:rsid w:val="00AE404A"/>
    <w:rsid w:val="00AE42FB"/>
    <w:rsid w:val="00AE4399"/>
    <w:rsid w:val="00AE47B4"/>
    <w:rsid w:val="00AE4901"/>
    <w:rsid w:val="00AE49D2"/>
    <w:rsid w:val="00AE4CAF"/>
    <w:rsid w:val="00AE4EC2"/>
    <w:rsid w:val="00AE50CA"/>
    <w:rsid w:val="00AE5511"/>
    <w:rsid w:val="00AE5543"/>
    <w:rsid w:val="00AE58B5"/>
    <w:rsid w:val="00AE58DC"/>
    <w:rsid w:val="00AE5BA2"/>
    <w:rsid w:val="00AE5C5F"/>
    <w:rsid w:val="00AE5D61"/>
    <w:rsid w:val="00AE607E"/>
    <w:rsid w:val="00AE6102"/>
    <w:rsid w:val="00AE6195"/>
    <w:rsid w:val="00AE61E1"/>
    <w:rsid w:val="00AE62B1"/>
    <w:rsid w:val="00AE6459"/>
    <w:rsid w:val="00AE64F2"/>
    <w:rsid w:val="00AE650D"/>
    <w:rsid w:val="00AE651C"/>
    <w:rsid w:val="00AE656D"/>
    <w:rsid w:val="00AE6B90"/>
    <w:rsid w:val="00AE6DC7"/>
    <w:rsid w:val="00AE6E96"/>
    <w:rsid w:val="00AE6ED3"/>
    <w:rsid w:val="00AE708D"/>
    <w:rsid w:val="00AE722D"/>
    <w:rsid w:val="00AE739C"/>
    <w:rsid w:val="00AE740A"/>
    <w:rsid w:val="00AE7450"/>
    <w:rsid w:val="00AE7527"/>
    <w:rsid w:val="00AE7823"/>
    <w:rsid w:val="00AE785B"/>
    <w:rsid w:val="00AE794D"/>
    <w:rsid w:val="00AE79A1"/>
    <w:rsid w:val="00AE7A51"/>
    <w:rsid w:val="00AE7CAB"/>
    <w:rsid w:val="00AE7DCB"/>
    <w:rsid w:val="00AF025B"/>
    <w:rsid w:val="00AF03BB"/>
    <w:rsid w:val="00AF04C6"/>
    <w:rsid w:val="00AF04F0"/>
    <w:rsid w:val="00AF060E"/>
    <w:rsid w:val="00AF077C"/>
    <w:rsid w:val="00AF096E"/>
    <w:rsid w:val="00AF09C7"/>
    <w:rsid w:val="00AF0BD2"/>
    <w:rsid w:val="00AF0C3E"/>
    <w:rsid w:val="00AF0CC4"/>
    <w:rsid w:val="00AF0D41"/>
    <w:rsid w:val="00AF0F37"/>
    <w:rsid w:val="00AF0FE5"/>
    <w:rsid w:val="00AF173D"/>
    <w:rsid w:val="00AF1C8D"/>
    <w:rsid w:val="00AF1CEA"/>
    <w:rsid w:val="00AF1EFB"/>
    <w:rsid w:val="00AF1FD8"/>
    <w:rsid w:val="00AF2313"/>
    <w:rsid w:val="00AF24CC"/>
    <w:rsid w:val="00AF25B1"/>
    <w:rsid w:val="00AF2780"/>
    <w:rsid w:val="00AF2853"/>
    <w:rsid w:val="00AF28F3"/>
    <w:rsid w:val="00AF2ACE"/>
    <w:rsid w:val="00AF3042"/>
    <w:rsid w:val="00AF316E"/>
    <w:rsid w:val="00AF32FF"/>
    <w:rsid w:val="00AF3496"/>
    <w:rsid w:val="00AF366E"/>
    <w:rsid w:val="00AF3A5E"/>
    <w:rsid w:val="00AF3ABE"/>
    <w:rsid w:val="00AF3B1F"/>
    <w:rsid w:val="00AF3CFC"/>
    <w:rsid w:val="00AF3D90"/>
    <w:rsid w:val="00AF3EA7"/>
    <w:rsid w:val="00AF3F2A"/>
    <w:rsid w:val="00AF3FA8"/>
    <w:rsid w:val="00AF4040"/>
    <w:rsid w:val="00AF441E"/>
    <w:rsid w:val="00AF4693"/>
    <w:rsid w:val="00AF46AC"/>
    <w:rsid w:val="00AF46BC"/>
    <w:rsid w:val="00AF49B6"/>
    <w:rsid w:val="00AF4A91"/>
    <w:rsid w:val="00AF4B85"/>
    <w:rsid w:val="00AF4C15"/>
    <w:rsid w:val="00AF4C3C"/>
    <w:rsid w:val="00AF4C63"/>
    <w:rsid w:val="00AF4CEB"/>
    <w:rsid w:val="00AF4F25"/>
    <w:rsid w:val="00AF5093"/>
    <w:rsid w:val="00AF50A5"/>
    <w:rsid w:val="00AF5122"/>
    <w:rsid w:val="00AF51DF"/>
    <w:rsid w:val="00AF5203"/>
    <w:rsid w:val="00AF5587"/>
    <w:rsid w:val="00AF56F2"/>
    <w:rsid w:val="00AF57DE"/>
    <w:rsid w:val="00AF580D"/>
    <w:rsid w:val="00AF580F"/>
    <w:rsid w:val="00AF5A88"/>
    <w:rsid w:val="00AF5AAE"/>
    <w:rsid w:val="00AF5C0F"/>
    <w:rsid w:val="00AF5CB2"/>
    <w:rsid w:val="00AF6143"/>
    <w:rsid w:val="00AF6203"/>
    <w:rsid w:val="00AF63D3"/>
    <w:rsid w:val="00AF6628"/>
    <w:rsid w:val="00AF66A0"/>
    <w:rsid w:val="00AF66F3"/>
    <w:rsid w:val="00AF673A"/>
    <w:rsid w:val="00AF67E6"/>
    <w:rsid w:val="00AF68B2"/>
    <w:rsid w:val="00AF694F"/>
    <w:rsid w:val="00AF6DD9"/>
    <w:rsid w:val="00AF6ED3"/>
    <w:rsid w:val="00AF7369"/>
    <w:rsid w:val="00AF73F9"/>
    <w:rsid w:val="00AF747F"/>
    <w:rsid w:val="00AF74EA"/>
    <w:rsid w:val="00AF7595"/>
    <w:rsid w:val="00AF775A"/>
    <w:rsid w:val="00AF792C"/>
    <w:rsid w:val="00AF7960"/>
    <w:rsid w:val="00AF7C2F"/>
    <w:rsid w:val="00AF7CA2"/>
    <w:rsid w:val="00AF7E18"/>
    <w:rsid w:val="00AF7FB7"/>
    <w:rsid w:val="00B00087"/>
    <w:rsid w:val="00B000F2"/>
    <w:rsid w:val="00B002C3"/>
    <w:rsid w:val="00B00616"/>
    <w:rsid w:val="00B009BA"/>
    <w:rsid w:val="00B00A07"/>
    <w:rsid w:val="00B00B26"/>
    <w:rsid w:val="00B00BCE"/>
    <w:rsid w:val="00B0101F"/>
    <w:rsid w:val="00B012C5"/>
    <w:rsid w:val="00B012D4"/>
    <w:rsid w:val="00B01356"/>
    <w:rsid w:val="00B014D9"/>
    <w:rsid w:val="00B014EB"/>
    <w:rsid w:val="00B014FD"/>
    <w:rsid w:val="00B016A8"/>
    <w:rsid w:val="00B018B5"/>
    <w:rsid w:val="00B019A5"/>
    <w:rsid w:val="00B019E4"/>
    <w:rsid w:val="00B01B0E"/>
    <w:rsid w:val="00B01B85"/>
    <w:rsid w:val="00B01C1B"/>
    <w:rsid w:val="00B01C6B"/>
    <w:rsid w:val="00B01F33"/>
    <w:rsid w:val="00B01FB8"/>
    <w:rsid w:val="00B02127"/>
    <w:rsid w:val="00B021B9"/>
    <w:rsid w:val="00B022A4"/>
    <w:rsid w:val="00B0267F"/>
    <w:rsid w:val="00B028F7"/>
    <w:rsid w:val="00B029DA"/>
    <w:rsid w:val="00B02B35"/>
    <w:rsid w:val="00B02B53"/>
    <w:rsid w:val="00B02BA1"/>
    <w:rsid w:val="00B02C18"/>
    <w:rsid w:val="00B02C58"/>
    <w:rsid w:val="00B02C68"/>
    <w:rsid w:val="00B02CEA"/>
    <w:rsid w:val="00B02D3F"/>
    <w:rsid w:val="00B03258"/>
    <w:rsid w:val="00B0352A"/>
    <w:rsid w:val="00B03B50"/>
    <w:rsid w:val="00B03B88"/>
    <w:rsid w:val="00B03EA7"/>
    <w:rsid w:val="00B0403A"/>
    <w:rsid w:val="00B040C5"/>
    <w:rsid w:val="00B046C5"/>
    <w:rsid w:val="00B0471B"/>
    <w:rsid w:val="00B0481F"/>
    <w:rsid w:val="00B04838"/>
    <w:rsid w:val="00B04883"/>
    <w:rsid w:val="00B04989"/>
    <w:rsid w:val="00B04C29"/>
    <w:rsid w:val="00B04E01"/>
    <w:rsid w:val="00B04E9F"/>
    <w:rsid w:val="00B0504A"/>
    <w:rsid w:val="00B051EE"/>
    <w:rsid w:val="00B051F1"/>
    <w:rsid w:val="00B05247"/>
    <w:rsid w:val="00B05697"/>
    <w:rsid w:val="00B05A39"/>
    <w:rsid w:val="00B05A5D"/>
    <w:rsid w:val="00B05D02"/>
    <w:rsid w:val="00B05DAB"/>
    <w:rsid w:val="00B05FB3"/>
    <w:rsid w:val="00B061F1"/>
    <w:rsid w:val="00B06491"/>
    <w:rsid w:val="00B064B6"/>
    <w:rsid w:val="00B06525"/>
    <w:rsid w:val="00B06623"/>
    <w:rsid w:val="00B0665F"/>
    <w:rsid w:val="00B0672B"/>
    <w:rsid w:val="00B06794"/>
    <w:rsid w:val="00B06842"/>
    <w:rsid w:val="00B068DC"/>
    <w:rsid w:val="00B0692E"/>
    <w:rsid w:val="00B0699E"/>
    <w:rsid w:val="00B06AD2"/>
    <w:rsid w:val="00B06D66"/>
    <w:rsid w:val="00B06DB1"/>
    <w:rsid w:val="00B070BB"/>
    <w:rsid w:val="00B071D1"/>
    <w:rsid w:val="00B071EB"/>
    <w:rsid w:val="00B072B1"/>
    <w:rsid w:val="00B0733C"/>
    <w:rsid w:val="00B07373"/>
    <w:rsid w:val="00B075B5"/>
    <w:rsid w:val="00B0781A"/>
    <w:rsid w:val="00B07874"/>
    <w:rsid w:val="00B079DF"/>
    <w:rsid w:val="00B07BD8"/>
    <w:rsid w:val="00B07CFB"/>
    <w:rsid w:val="00B07D56"/>
    <w:rsid w:val="00B07E1F"/>
    <w:rsid w:val="00B101BF"/>
    <w:rsid w:val="00B101C8"/>
    <w:rsid w:val="00B10265"/>
    <w:rsid w:val="00B103C8"/>
    <w:rsid w:val="00B103DB"/>
    <w:rsid w:val="00B1059E"/>
    <w:rsid w:val="00B10668"/>
    <w:rsid w:val="00B1072E"/>
    <w:rsid w:val="00B1072F"/>
    <w:rsid w:val="00B10A13"/>
    <w:rsid w:val="00B10B5F"/>
    <w:rsid w:val="00B10B8C"/>
    <w:rsid w:val="00B10C85"/>
    <w:rsid w:val="00B10F42"/>
    <w:rsid w:val="00B11075"/>
    <w:rsid w:val="00B1115B"/>
    <w:rsid w:val="00B1115E"/>
    <w:rsid w:val="00B111EC"/>
    <w:rsid w:val="00B1126F"/>
    <w:rsid w:val="00B113A0"/>
    <w:rsid w:val="00B113D8"/>
    <w:rsid w:val="00B114A0"/>
    <w:rsid w:val="00B114F1"/>
    <w:rsid w:val="00B115AA"/>
    <w:rsid w:val="00B115E1"/>
    <w:rsid w:val="00B11701"/>
    <w:rsid w:val="00B11864"/>
    <w:rsid w:val="00B119B7"/>
    <w:rsid w:val="00B119F4"/>
    <w:rsid w:val="00B11B0F"/>
    <w:rsid w:val="00B11BBC"/>
    <w:rsid w:val="00B11DA6"/>
    <w:rsid w:val="00B11F5B"/>
    <w:rsid w:val="00B12240"/>
    <w:rsid w:val="00B129A1"/>
    <w:rsid w:val="00B12A83"/>
    <w:rsid w:val="00B12D3A"/>
    <w:rsid w:val="00B12DF1"/>
    <w:rsid w:val="00B130E1"/>
    <w:rsid w:val="00B13388"/>
    <w:rsid w:val="00B13437"/>
    <w:rsid w:val="00B1344D"/>
    <w:rsid w:val="00B134B9"/>
    <w:rsid w:val="00B1351B"/>
    <w:rsid w:val="00B136B2"/>
    <w:rsid w:val="00B13714"/>
    <w:rsid w:val="00B137A7"/>
    <w:rsid w:val="00B13970"/>
    <w:rsid w:val="00B13976"/>
    <w:rsid w:val="00B13992"/>
    <w:rsid w:val="00B13B32"/>
    <w:rsid w:val="00B13C29"/>
    <w:rsid w:val="00B13CA4"/>
    <w:rsid w:val="00B13D6A"/>
    <w:rsid w:val="00B13EB1"/>
    <w:rsid w:val="00B13FED"/>
    <w:rsid w:val="00B14058"/>
    <w:rsid w:val="00B14386"/>
    <w:rsid w:val="00B144D6"/>
    <w:rsid w:val="00B145BB"/>
    <w:rsid w:val="00B14768"/>
    <w:rsid w:val="00B149CF"/>
    <w:rsid w:val="00B14EE5"/>
    <w:rsid w:val="00B14FD4"/>
    <w:rsid w:val="00B14FF3"/>
    <w:rsid w:val="00B15037"/>
    <w:rsid w:val="00B150CB"/>
    <w:rsid w:val="00B15163"/>
    <w:rsid w:val="00B15199"/>
    <w:rsid w:val="00B152B1"/>
    <w:rsid w:val="00B153CF"/>
    <w:rsid w:val="00B15445"/>
    <w:rsid w:val="00B1549B"/>
    <w:rsid w:val="00B1581B"/>
    <w:rsid w:val="00B1597B"/>
    <w:rsid w:val="00B1597C"/>
    <w:rsid w:val="00B15B68"/>
    <w:rsid w:val="00B15DC8"/>
    <w:rsid w:val="00B15F62"/>
    <w:rsid w:val="00B15FD2"/>
    <w:rsid w:val="00B161B5"/>
    <w:rsid w:val="00B1620E"/>
    <w:rsid w:val="00B16256"/>
    <w:rsid w:val="00B162AD"/>
    <w:rsid w:val="00B162FB"/>
    <w:rsid w:val="00B1632B"/>
    <w:rsid w:val="00B16417"/>
    <w:rsid w:val="00B16483"/>
    <w:rsid w:val="00B164CC"/>
    <w:rsid w:val="00B16518"/>
    <w:rsid w:val="00B16851"/>
    <w:rsid w:val="00B169E8"/>
    <w:rsid w:val="00B16B76"/>
    <w:rsid w:val="00B16C69"/>
    <w:rsid w:val="00B16C9F"/>
    <w:rsid w:val="00B16D82"/>
    <w:rsid w:val="00B16EA3"/>
    <w:rsid w:val="00B16F33"/>
    <w:rsid w:val="00B16F55"/>
    <w:rsid w:val="00B17184"/>
    <w:rsid w:val="00B17214"/>
    <w:rsid w:val="00B17258"/>
    <w:rsid w:val="00B17286"/>
    <w:rsid w:val="00B17351"/>
    <w:rsid w:val="00B175AC"/>
    <w:rsid w:val="00B176D7"/>
    <w:rsid w:val="00B17853"/>
    <w:rsid w:val="00B17877"/>
    <w:rsid w:val="00B178F0"/>
    <w:rsid w:val="00B1799B"/>
    <w:rsid w:val="00B17CB1"/>
    <w:rsid w:val="00B17F61"/>
    <w:rsid w:val="00B202E2"/>
    <w:rsid w:val="00B203E5"/>
    <w:rsid w:val="00B207BA"/>
    <w:rsid w:val="00B208CF"/>
    <w:rsid w:val="00B20A9A"/>
    <w:rsid w:val="00B20AAD"/>
    <w:rsid w:val="00B20C28"/>
    <w:rsid w:val="00B20F43"/>
    <w:rsid w:val="00B20F50"/>
    <w:rsid w:val="00B20FEC"/>
    <w:rsid w:val="00B2108B"/>
    <w:rsid w:val="00B210F3"/>
    <w:rsid w:val="00B2155D"/>
    <w:rsid w:val="00B21589"/>
    <w:rsid w:val="00B21683"/>
    <w:rsid w:val="00B216E1"/>
    <w:rsid w:val="00B217F3"/>
    <w:rsid w:val="00B21A2F"/>
    <w:rsid w:val="00B21AE4"/>
    <w:rsid w:val="00B21EC4"/>
    <w:rsid w:val="00B21F38"/>
    <w:rsid w:val="00B22055"/>
    <w:rsid w:val="00B220EE"/>
    <w:rsid w:val="00B2239B"/>
    <w:rsid w:val="00B22550"/>
    <w:rsid w:val="00B2271D"/>
    <w:rsid w:val="00B22AAC"/>
    <w:rsid w:val="00B22BDB"/>
    <w:rsid w:val="00B22C0B"/>
    <w:rsid w:val="00B22C13"/>
    <w:rsid w:val="00B23069"/>
    <w:rsid w:val="00B230F0"/>
    <w:rsid w:val="00B236BB"/>
    <w:rsid w:val="00B237D7"/>
    <w:rsid w:val="00B23C4D"/>
    <w:rsid w:val="00B23DFF"/>
    <w:rsid w:val="00B23F60"/>
    <w:rsid w:val="00B245DA"/>
    <w:rsid w:val="00B245E1"/>
    <w:rsid w:val="00B24670"/>
    <w:rsid w:val="00B24735"/>
    <w:rsid w:val="00B249F5"/>
    <w:rsid w:val="00B249FA"/>
    <w:rsid w:val="00B24AF0"/>
    <w:rsid w:val="00B24B16"/>
    <w:rsid w:val="00B24D59"/>
    <w:rsid w:val="00B2503B"/>
    <w:rsid w:val="00B250C1"/>
    <w:rsid w:val="00B25220"/>
    <w:rsid w:val="00B2526B"/>
    <w:rsid w:val="00B252AB"/>
    <w:rsid w:val="00B252BB"/>
    <w:rsid w:val="00B25315"/>
    <w:rsid w:val="00B25372"/>
    <w:rsid w:val="00B2542F"/>
    <w:rsid w:val="00B2588A"/>
    <w:rsid w:val="00B258A9"/>
    <w:rsid w:val="00B25BBE"/>
    <w:rsid w:val="00B25BD1"/>
    <w:rsid w:val="00B25C65"/>
    <w:rsid w:val="00B25C9F"/>
    <w:rsid w:val="00B25DB5"/>
    <w:rsid w:val="00B25DEE"/>
    <w:rsid w:val="00B260FA"/>
    <w:rsid w:val="00B26231"/>
    <w:rsid w:val="00B26281"/>
    <w:rsid w:val="00B262CD"/>
    <w:rsid w:val="00B26358"/>
    <w:rsid w:val="00B263ED"/>
    <w:rsid w:val="00B26445"/>
    <w:rsid w:val="00B2657A"/>
    <w:rsid w:val="00B26744"/>
    <w:rsid w:val="00B2688B"/>
    <w:rsid w:val="00B268C1"/>
    <w:rsid w:val="00B26AD4"/>
    <w:rsid w:val="00B270E9"/>
    <w:rsid w:val="00B2720E"/>
    <w:rsid w:val="00B272CD"/>
    <w:rsid w:val="00B275F5"/>
    <w:rsid w:val="00B2766E"/>
    <w:rsid w:val="00B2768E"/>
    <w:rsid w:val="00B27731"/>
    <w:rsid w:val="00B2781D"/>
    <w:rsid w:val="00B278BD"/>
    <w:rsid w:val="00B27A83"/>
    <w:rsid w:val="00B27B30"/>
    <w:rsid w:val="00B27B6F"/>
    <w:rsid w:val="00B27C55"/>
    <w:rsid w:val="00B27C71"/>
    <w:rsid w:val="00B27EB5"/>
    <w:rsid w:val="00B300B3"/>
    <w:rsid w:val="00B30170"/>
    <w:rsid w:val="00B301A1"/>
    <w:rsid w:val="00B30399"/>
    <w:rsid w:val="00B3051C"/>
    <w:rsid w:val="00B305B8"/>
    <w:rsid w:val="00B3078E"/>
    <w:rsid w:val="00B309E7"/>
    <w:rsid w:val="00B30A61"/>
    <w:rsid w:val="00B30AAF"/>
    <w:rsid w:val="00B30B84"/>
    <w:rsid w:val="00B30D2F"/>
    <w:rsid w:val="00B30FA0"/>
    <w:rsid w:val="00B31218"/>
    <w:rsid w:val="00B313C1"/>
    <w:rsid w:val="00B314C0"/>
    <w:rsid w:val="00B3165C"/>
    <w:rsid w:val="00B31747"/>
    <w:rsid w:val="00B31C4F"/>
    <w:rsid w:val="00B31D00"/>
    <w:rsid w:val="00B31EBA"/>
    <w:rsid w:val="00B31EFC"/>
    <w:rsid w:val="00B31F38"/>
    <w:rsid w:val="00B31F73"/>
    <w:rsid w:val="00B320D9"/>
    <w:rsid w:val="00B320EF"/>
    <w:rsid w:val="00B32166"/>
    <w:rsid w:val="00B32242"/>
    <w:rsid w:val="00B32257"/>
    <w:rsid w:val="00B32387"/>
    <w:rsid w:val="00B323ED"/>
    <w:rsid w:val="00B324B7"/>
    <w:rsid w:val="00B325EF"/>
    <w:rsid w:val="00B32727"/>
    <w:rsid w:val="00B3273B"/>
    <w:rsid w:val="00B32899"/>
    <w:rsid w:val="00B32B75"/>
    <w:rsid w:val="00B32D0F"/>
    <w:rsid w:val="00B32ED9"/>
    <w:rsid w:val="00B33009"/>
    <w:rsid w:val="00B3320A"/>
    <w:rsid w:val="00B33215"/>
    <w:rsid w:val="00B332AD"/>
    <w:rsid w:val="00B337AB"/>
    <w:rsid w:val="00B33809"/>
    <w:rsid w:val="00B338AF"/>
    <w:rsid w:val="00B3391C"/>
    <w:rsid w:val="00B33A00"/>
    <w:rsid w:val="00B33C6E"/>
    <w:rsid w:val="00B33CB5"/>
    <w:rsid w:val="00B33D5C"/>
    <w:rsid w:val="00B33FE9"/>
    <w:rsid w:val="00B34040"/>
    <w:rsid w:val="00B34105"/>
    <w:rsid w:val="00B34363"/>
    <w:rsid w:val="00B34399"/>
    <w:rsid w:val="00B343E3"/>
    <w:rsid w:val="00B344AF"/>
    <w:rsid w:val="00B34534"/>
    <w:rsid w:val="00B345E1"/>
    <w:rsid w:val="00B3474C"/>
    <w:rsid w:val="00B3485C"/>
    <w:rsid w:val="00B348D2"/>
    <w:rsid w:val="00B34A13"/>
    <w:rsid w:val="00B34A4D"/>
    <w:rsid w:val="00B34BC0"/>
    <w:rsid w:val="00B34CE9"/>
    <w:rsid w:val="00B34D06"/>
    <w:rsid w:val="00B34DC5"/>
    <w:rsid w:val="00B34E1A"/>
    <w:rsid w:val="00B34F22"/>
    <w:rsid w:val="00B34FFE"/>
    <w:rsid w:val="00B350CD"/>
    <w:rsid w:val="00B3511E"/>
    <w:rsid w:val="00B35182"/>
    <w:rsid w:val="00B3527A"/>
    <w:rsid w:val="00B358F8"/>
    <w:rsid w:val="00B35926"/>
    <w:rsid w:val="00B3596D"/>
    <w:rsid w:val="00B35ACA"/>
    <w:rsid w:val="00B35B0B"/>
    <w:rsid w:val="00B35BDE"/>
    <w:rsid w:val="00B35BEC"/>
    <w:rsid w:val="00B36007"/>
    <w:rsid w:val="00B36053"/>
    <w:rsid w:val="00B361EC"/>
    <w:rsid w:val="00B36203"/>
    <w:rsid w:val="00B364FE"/>
    <w:rsid w:val="00B3660E"/>
    <w:rsid w:val="00B3665B"/>
    <w:rsid w:val="00B3681D"/>
    <w:rsid w:val="00B36913"/>
    <w:rsid w:val="00B369A8"/>
    <w:rsid w:val="00B369C4"/>
    <w:rsid w:val="00B36B08"/>
    <w:rsid w:val="00B36BDA"/>
    <w:rsid w:val="00B36CFA"/>
    <w:rsid w:val="00B36E13"/>
    <w:rsid w:val="00B36EB0"/>
    <w:rsid w:val="00B36F5B"/>
    <w:rsid w:val="00B370EB"/>
    <w:rsid w:val="00B3719D"/>
    <w:rsid w:val="00B372EE"/>
    <w:rsid w:val="00B37305"/>
    <w:rsid w:val="00B3731A"/>
    <w:rsid w:val="00B37320"/>
    <w:rsid w:val="00B376E8"/>
    <w:rsid w:val="00B37B52"/>
    <w:rsid w:val="00B37CB3"/>
    <w:rsid w:val="00B37D37"/>
    <w:rsid w:val="00B37DB5"/>
    <w:rsid w:val="00B37ED2"/>
    <w:rsid w:val="00B37FAB"/>
    <w:rsid w:val="00B4014E"/>
    <w:rsid w:val="00B40262"/>
    <w:rsid w:val="00B406D8"/>
    <w:rsid w:val="00B40817"/>
    <w:rsid w:val="00B40974"/>
    <w:rsid w:val="00B40B48"/>
    <w:rsid w:val="00B40C81"/>
    <w:rsid w:val="00B40EDE"/>
    <w:rsid w:val="00B40EF8"/>
    <w:rsid w:val="00B40FA4"/>
    <w:rsid w:val="00B41674"/>
    <w:rsid w:val="00B41930"/>
    <w:rsid w:val="00B41953"/>
    <w:rsid w:val="00B41962"/>
    <w:rsid w:val="00B41A14"/>
    <w:rsid w:val="00B41B19"/>
    <w:rsid w:val="00B41B1D"/>
    <w:rsid w:val="00B41CBF"/>
    <w:rsid w:val="00B41E2C"/>
    <w:rsid w:val="00B41F67"/>
    <w:rsid w:val="00B42101"/>
    <w:rsid w:val="00B42113"/>
    <w:rsid w:val="00B42474"/>
    <w:rsid w:val="00B42539"/>
    <w:rsid w:val="00B425DC"/>
    <w:rsid w:val="00B4276B"/>
    <w:rsid w:val="00B42827"/>
    <w:rsid w:val="00B42927"/>
    <w:rsid w:val="00B4296F"/>
    <w:rsid w:val="00B4298C"/>
    <w:rsid w:val="00B429EE"/>
    <w:rsid w:val="00B42C5D"/>
    <w:rsid w:val="00B42D3C"/>
    <w:rsid w:val="00B42E3A"/>
    <w:rsid w:val="00B4311F"/>
    <w:rsid w:val="00B431B6"/>
    <w:rsid w:val="00B431F2"/>
    <w:rsid w:val="00B431FB"/>
    <w:rsid w:val="00B43210"/>
    <w:rsid w:val="00B43224"/>
    <w:rsid w:val="00B436EB"/>
    <w:rsid w:val="00B4377D"/>
    <w:rsid w:val="00B43796"/>
    <w:rsid w:val="00B43ACD"/>
    <w:rsid w:val="00B43CCA"/>
    <w:rsid w:val="00B43D99"/>
    <w:rsid w:val="00B43DC9"/>
    <w:rsid w:val="00B43F2A"/>
    <w:rsid w:val="00B43F68"/>
    <w:rsid w:val="00B43F95"/>
    <w:rsid w:val="00B4426E"/>
    <w:rsid w:val="00B442ED"/>
    <w:rsid w:val="00B444D5"/>
    <w:rsid w:val="00B44559"/>
    <w:rsid w:val="00B44562"/>
    <w:rsid w:val="00B4456E"/>
    <w:rsid w:val="00B4470E"/>
    <w:rsid w:val="00B447FF"/>
    <w:rsid w:val="00B44AF3"/>
    <w:rsid w:val="00B44C7E"/>
    <w:rsid w:val="00B44CAC"/>
    <w:rsid w:val="00B44CB5"/>
    <w:rsid w:val="00B44E07"/>
    <w:rsid w:val="00B44E24"/>
    <w:rsid w:val="00B44F33"/>
    <w:rsid w:val="00B44FDA"/>
    <w:rsid w:val="00B451E3"/>
    <w:rsid w:val="00B45341"/>
    <w:rsid w:val="00B454DF"/>
    <w:rsid w:val="00B4566F"/>
    <w:rsid w:val="00B456B4"/>
    <w:rsid w:val="00B45C34"/>
    <w:rsid w:val="00B4616F"/>
    <w:rsid w:val="00B465A7"/>
    <w:rsid w:val="00B466DB"/>
    <w:rsid w:val="00B46708"/>
    <w:rsid w:val="00B4693D"/>
    <w:rsid w:val="00B46992"/>
    <w:rsid w:val="00B46A7F"/>
    <w:rsid w:val="00B46C47"/>
    <w:rsid w:val="00B46C8B"/>
    <w:rsid w:val="00B46D01"/>
    <w:rsid w:val="00B46F17"/>
    <w:rsid w:val="00B4714C"/>
    <w:rsid w:val="00B47420"/>
    <w:rsid w:val="00B475E1"/>
    <w:rsid w:val="00B4762C"/>
    <w:rsid w:val="00B4781B"/>
    <w:rsid w:val="00B4782D"/>
    <w:rsid w:val="00B47B20"/>
    <w:rsid w:val="00B47CF1"/>
    <w:rsid w:val="00B47D25"/>
    <w:rsid w:val="00B50095"/>
    <w:rsid w:val="00B501AB"/>
    <w:rsid w:val="00B50216"/>
    <w:rsid w:val="00B5028B"/>
    <w:rsid w:val="00B5029D"/>
    <w:rsid w:val="00B50388"/>
    <w:rsid w:val="00B50463"/>
    <w:rsid w:val="00B50687"/>
    <w:rsid w:val="00B50902"/>
    <w:rsid w:val="00B50B1F"/>
    <w:rsid w:val="00B50B73"/>
    <w:rsid w:val="00B50C5F"/>
    <w:rsid w:val="00B50C79"/>
    <w:rsid w:val="00B50F9B"/>
    <w:rsid w:val="00B50FF5"/>
    <w:rsid w:val="00B511B7"/>
    <w:rsid w:val="00B51247"/>
    <w:rsid w:val="00B51337"/>
    <w:rsid w:val="00B51341"/>
    <w:rsid w:val="00B515EC"/>
    <w:rsid w:val="00B51872"/>
    <w:rsid w:val="00B51B12"/>
    <w:rsid w:val="00B51C87"/>
    <w:rsid w:val="00B51D37"/>
    <w:rsid w:val="00B51D8C"/>
    <w:rsid w:val="00B51D95"/>
    <w:rsid w:val="00B51DAA"/>
    <w:rsid w:val="00B51DDF"/>
    <w:rsid w:val="00B51ECC"/>
    <w:rsid w:val="00B52119"/>
    <w:rsid w:val="00B521B7"/>
    <w:rsid w:val="00B52365"/>
    <w:rsid w:val="00B52388"/>
    <w:rsid w:val="00B52567"/>
    <w:rsid w:val="00B52789"/>
    <w:rsid w:val="00B527D9"/>
    <w:rsid w:val="00B528CC"/>
    <w:rsid w:val="00B528E9"/>
    <w:rsid w:val="00B5296D"/>
    <w:rsid w:val="00B52B06"/>
    <w:rsid w:val="00B52F20"/>
    <w:rsid w:val="00B52F3D"/>
    <w:rsid w:val="00B52FDF"/>
    <w:rsid w:val="00B530D5"/>
    <w:rsid w:val="00B531C0"/>
    <w:rsid w:val="00B53352"/>
    <w:rsid w:val="00B534CC"/>
    <w:rsid w:val="00B5391F"/>
    <w:rsid w:val="00B539A4"/>
    <w:rsid w:val="00B53C0D"/>
    <w:rsid w:val="00B53C18"/>
    <w:rsid w:val="00B53D08"/>
    <w:rsid w:val="00B53F13"/>
    <w:rsid w:val="00B5409E"/>
    <w:rsid w:val="00B54329"/>
    <w:rsid w:val="00B54705"/>
    <w:rsid w:val="00B5476D"/>
    <w:rsid w:val="00B548AD"/>
    <w:rsid w:val="00B549E3"/>
    <w:rsid w:val="00B54A86"/>
    <w:rsid w:val="00B54DA3"/>
    <w:rsid w:val="00B54DE2"/>
    <w:rsid w:val="00B54FD3"/>
    <w:rsid w:val="00B550DA"/>
    <w:rsid w:val="00B550E3"/>
    <w:rsid w:val="00B55568"/>
    <w:rsid w:val="00B555DD"/>
    <w:rsid w:val="00B55609"/>
    <w:rsid w:val="00B5564E"/>
    <w:rsid w:val="00B55676"/>
    <w:rsid w:val="00B558B8"/>
    <w:rsid w:val="00B56017"/>
    <w:rsid w:val="00B562A7"/>
    <w:rsid w:val="00B562CD"/>
    <w:rsid w:val="00B56305"/>
    <w:rsid w:val="00B56320"/>
    <w:rsid w:val="00B56470"/>
    <w:rsid w:val="00B565FD"/>
    <w:rsid w:val="00B56604"/>
    <w:rsid w:val="00B56953"/>
    <w:rsid w:val="00B56B33"/>
    <w:rsid w:val="00B56B78"/>
    <w:rsid w:val="00B56BE6"/>
    <w:rsid w:val="00B56BE7"/>
    <w:rsid w:val="00B56CD1"/>
    <w:rsid w:val="00B56E96"/>
    <w:rsid w:val="00B56F6F"/>
    <w:rsid w:val="00B56F85"/>
    <w:rsid w:val="00B56FE9"/>
    <w:rsid w:val="00B57186"/>
    <w:rsid w:val="00B57226"/>
    <w:rsid w:val="00B572BF"/>
    <w:rsid w:val="00B57436"/>
    <w:rsid w:val="00B5781E"/>
    <w:rsid w:val="00B579C3"/>
    <w:rsid w:val="00B57C0C"/>
    <w:rsid w:val="00B57CD4"/>
    <w:rsid w:val="00B57D68"/>
    <w:rsid w:val="00B57F35"/>
    <w:rsid w:val="00B6018C"/>
    <w:rsid w:val="00B60295"/>
    <w:rsid w:val="00B602CF"/>
    <w:rsid w:val="00B6070D"/>
    <w:rsid w:val="00B6096E"/>
    <w:rsid w:val="00B60A28"/>
    <w:rsid w:val="00B60A4B"/>
    <w:rsid w:val="00B60B1A"/>
    <w:rsid w:val="00B60B2B"/>
    <w:rsid w:val="00B60C33"/>
    <w:rsid w:val="00B60EDA"/>
    <w:rsid w:val="00B60EDE"/>
    <w:rsid w:val="00B61016"/>
    <w:rsid w:val="00B610BA"/>
    <w:rsid w:val="00B61149"/>
    <w:rsid w:val="00B6119B"/>
    <w:rsid w:val="00B6122B"/>
    <w:rsid w:val="00B61281"/>
    <w:rsid w:val="00B61300"/>
    <w:rsid w:val="00B614F4"/>
    <w:rsid w:val="00B61508"/>
    <w:rsid w:val="00B615DA"/>
    <w:rsid w:val="00B6164F"/>
    <w:rsid w:val="00B61753"/>
    <w:rsid w:val="00B61A7D"/>
    <w:rsid w:val="00B61CD1"/>
    <w:rsid w:val="00B61DB1"/>
    <w:rsid w:val="00B61DC0"/>
    <w:rsid w:val="00B623E7"/>
    <w:rsid w:val="00B62620"/>
    <w:rsid w:val="00B62857"/>
    <w:rsid w:val="00B62A29"/>
    <w:rsid w:val="00B62AE2"/>
    <w:rsid w:val="00B62C16"/>
    <w:rsid w:val="00B62CA1"/>
    <w:rsid w:val="00B62E1E"/>
    <w:rsid w:val="00B62E20"/>
    <w:rsid w:val="00B630E8"/>
    <w:rsid w:val="00B631B7"/>
    <w:rsid w:val="00B631EF"/>
    <w:rsid w:val="00B634BC"/>
    <w:rsid w:val="00B634BD"/>
    <w:rsid w:val="00B6352C"/>
    <w:rsid w:val="00B6361B"/>
    <w:rsid w:val="00B63801"/>
    <w:rsid w:val="00B6388F"/>
    <w:rsid w:val="00B6409A"/>
    <w:rsid w:val="00B6418F"/>
    <w:rsid w:val="00B6430B"/>
    <w:rsid w:val="00B645E6"/>
    <w:rsid w:val="00B645FB"/>
    <w:rsid w:val="00B646AD"/>
    <w:rsid w:val="00B646D9"/>
    <w:rsid w:val="00B64D82"/>
    <w:rsid w:val="00B64FDC"/>
    <w:rsid w:val="00B65039"/>
    <w:rsid w:val="00B6506A"/>
    <w:rsid w:val="00B6528E"/>
    <w:rsid w:val="00B65446"/>
    <w:rsid w:val="00B65593"/>
    <w:rsid w:val="00B65607"/>
    <w:rsid w:val="00B65B4F"/>
    <w:rsid w:val="00B65CA4"/>
    <w:rsid w:val="00B65D48"/>
    <w:rsid w:val="00B65E24"/>
    <w:rsid w:val="00B66023"/>
    <w:rsid w:val="00B660A0"/>
    <w:rsid w:val="00B660DF"/>
    <w:rsid w:val="00B66195"/>
    <w:rsid w:val="00B661B6"/>
    <w:rsid w:val="00B661F3"/>
    <w:rsid w:val="00B66386"/>
    <w:rsid w:val="00B664A9"/>
    <w:rsid w:val="00B66574"/>
    <w:rsid w:val="00B665CD"/>
    <w:rsid w:val="00B66632"/>
    <w:rsid w:val="00B6665A"/>
    <w:rsid w:val="00B6677E"/>
    <w:rsid w:val="00B66851"/>
    <w:rsid w:val="00B6697F"/>
    <w:rsid w:val="00B66995"/>
    <w:rsid w:val="00B66C16"/>
    <w:rsid w:val="00B66CE8"/>
    <w:rsid w:val="00B66F85"/>
    <w:rsid w:val="00B67056"/>
    <w:rsid w:val="00B670F0"/>
    <w:rsid w:val="00B67159"/>
    <w:rsid w:val="00B671A8"/>
    <w:rsid w:val="00B67312"/>
    <w:rsid w:val="00B675CE"/>
    <w:rsid w:val="00B67609"/>
    <w:rsid w:val="00B6784F"/>
    <w:rsid w:val="00B67B11"/>
    <w:rsid w:val="00B67B4C"/>
    <w:rsid w:val="00B67B85"/>
    <w:rsid w:val="00B67C17"/>
    <w:rsid w:val="00B67E3F"/>
    <w:rsid w:val="00B67EB9"/>
    <w:rsid w:val="00B67F5F"/>
    <w:rsid w:val="00B67F91"/>
    <w:rsid w:val="00B70006"/>
    <w:rsid w:val="00B70040"/>
    <w:rsid w:val="00B702BC"/>
    <w:rsid w:val="00B70400"/>
    <w:rsid w:val="00B705D2"/>
    <w:rsid w:val="00B70760"/>
    <w:rsid w:val="00B7097E"/>
    <w:rsid w:val="00B70B7A"/>
    <w:rsid w:val="00B70BC6"/>
    <w:rsid w:val="00B710A3"/>
    <w:rsid w:val="00B711CC"/>
    <w:rsid w:val="00B7124D"/>
    <w:rsid w:val="00B714BB"/>
    <w:rsid w:val="00B71552"/>
    <w:rsid w:val="00B715FA"/>
    <w:rsid w:val="00B7165F"/>
    <w:rsid w:val="00B716ED"/>
    <w:rsid w:val="00B71873"/>
    <w:rsid w:val="00B718C9"/>
    <w:rsid w:val="00B71907"/>
    <w:rsid w:val="00B71A2E"/>
    <w:rsid w:val="00B71B37"/>
    <w:rsid w:val="00B71DEF"/>
    <w:rsid w:val="00B71E28"/>
    <w:rsid w:val="00B71F68"/>
    <w:rsid w:val="00B72258"/>
    <w:rsid w:val="00B7248F"/>
    <w:rsid w:val="00B724A4"/>
    <w:rsid w:val="00B724CA"/>
    <w:rsid w:val="00B7251A"/>
    <w:rsid w:val="00B72630"/>
    <w:rsid w:val="00B72645"/>
    <w:rsid w:val="00B7266B"/>
    <w:rsid w:val="00B7268F"/>
    <w:rsid w:val="00B7293B"/>
    <w:rsid w:val="00B72AA9"/>
    <w:rsid w:val="00B72EA4"/>
    <w:rsid w:val="00B72ED6"/>
    <w:rsid w:val="00B7302E"/>
    <w:rsid w:val="00B73127"/>
    <w:rsid w:val="00B73221"/>
    <w:rsid w:val="00B732C3"/>
    <w:rsid w:val="00B733FE"/>
    <w:rsid w:val="00B734D5"/>
    <w:rsid w:val="00B73804"/>
    <w:rsid w:val="00B738C0"/>
    <w:rsid w:val="00B73AB1"/>
    <w:rsid w:val="00B73AFE"/>
    <w:rsid w:val="00B73E32"/>
    <w:rsid w:val="00B73F0F"/>
    <w:rsid w:val="00B740E6"/>
    <w:rsid w:val="00B741D5"/>
    <w:rsid w:val="00B74286"/>
    <w:rsid w:val="00B74469"/>
    <w:rsid w:val="00B74506"/>
    <w:rsid w:val="00B7454E"/>
    <w:rsid w:val="00B7458D"/>
    <w:rsid w:val="00B748DB"/>
    <w:rsid w:val="00B74901"/>
    <w:rsid w:val="00B749B7"/>
    <w:rsid w:val="00B74A56"/>
    <w:rsid w:val="00B74A9B"/>
    <w:rsid w:val="00B74AF8"/>
    <w:rsid w:val="00B74D61"/>
    <w:rsid w:val="00B74E77"/>
    <w:rsid w:val="00B74EB6"/>
    <w:rsid w:val="00B750B4"/>
    <w:rsid w:val="00B75232"/>
    <w:rsid w:val="00B752C8"/>
    <w:rsid w:val="00B75373"/>
    <w:rsid w:val="00B754A6"/>
    <w:rsid w:val="00B7552E"/>
    <w:rsid w:val="00B75694"/>
    <w:rsid w:val="00B75757"/>
    <w:rsid w:val="00B75866"/>
    <w:rsid w:val="00B758B3"/>
    <w:rsid w:val="00B759F1"/>
    <w:rsid w:val="00B75B1C"/>
    <w:rsid w:val="00B75C5A"/>
    <w:rsid w:val="00B75C64"/>
    <w:rsid w:val="00B75D5E"/>
    <w:rsid w:val="00B75E18"/>
    <w:rsid w:val="00B75FB7"/>
    <w:rsid w:val="00B76021"/>
    <w:rsid w:val="00B762CC"/>
    <w:rsid w:val="00B7632F"/>
    <w:rsid w:val="00B7650D"/>
    <w:rsid w:val="00B76650"/>
    <w:rsid w:val="00B76A0D"/>
    <w:rsid w:val="00B76D61"/>
    <w:rsid w:val="00B76F1B"/>
    <w:rsid w:val="00B771D9"/>
    <w:rsid w:val="00B77591"/>
    <w:rsid w:val="00B776A2"/>
    <w:rsid w:val="00B776E2"/>
    <w:rsid w:val="00B778E4"/>
    <w:rsid w:val="00B77955"/>
    <w:rsid w:val="00B77ACD"/>
    <w:rsid w:val="00B77CA8"/>
    <w:rsid w:val="00B77DE8"/>
    <w:rsid w:val="00B77E41"/>
    <w:rsid w:val="00B77EC4"/>
    <w:rsid w:val="00B77EF5"/>
    <w:rsid w:val="00B77F3D"/>
    <w:rsid w:val="00B77FAB"/>
    <w:rsid w:val="00B80117"/>
    <w:rsid w:val="00B801D7"/>
    <w:rsid w:val="00B80208"/>
    <w:rsid w:val="00B80214"/>
    <w:rsid w:val="00B8051F"/>
    <w:rsid w:val="00B8059C"/>
    <w:rsid w:val="00B80888"/>
    <w:rsid w:val="00B80969"/>
    <w:rsid w:val="00B80974"/>
    <w:rsid w:val="00B80A1D"/>
    <w:rsid w:val="00B80A39"/>
    <w:rsid w:val="00B80C47"/>
    <w:rsid w:val="00B80D06"/>
    <w:rsid w:val="00B80DB1"/>
    <w:rsid w:val="00B80F37"/>
    <w:rsid w:val="00B81116"/>
    <w:rsid w:val="00B811F5"/>
    <w:rsid w:val="00B812BF"/>
    <w:rsid w:val="00B812F5"/>
    <w:rsid w:val="00B815AA"/>
    <w:rsid w:val="00B81723"/>
    <w:rsid w:val="00B817BD"/>
    <w:rsid w:val="00B8180E"/>
    <w:rsid w:val="00B8190D"/>
    <w:rsid w:val="00B81D96"/>
    <w:rsid w:val="00B81E2F"/>
    <w:rsid w:val="00B81EB7"/>
    <w:rsid w:val="00B82159"/>
    <w:rsid w:val="00B8219A"/>
    <w:rsid w:val="00B8241C"/>
    <w:rsid w:val="00B82662"/>
    <w:rsid w:val="00B827D7"/>
    <w:rsid w:val="00B82AA8"/>
    <w:rsid w:val="00B82D8B"/>
    <w:rsid w:val="00B82ECC"/>
    <w:rsid w:val="00B83041"/>
    <w:rsid w:val="00B8309C"/>
    <w:rsid w:val="00B83119"/>
    <w:rsid w:val="00B831E5"/>
    <w:rsid w:val="00B83239"/>
    <w:rsid w:val="00B83331"/>
    <w:rsid w:val="00B83340"/>
    <w:rsid w:val="00B8342A"/>
    <w:rsid w:val="00B834A6"/>
    <w:rsid w:val="00B83650"/>
    <w:rsid w:val="00B83747"/>
    <w:rsid w:val="00B83778"/>
    <w:rsid w:val="00B83BB8"/>
    <w:rsid w:val="00B83C83"/>
    <w:rsid w:val="00B83E08"/>
    <w:rsid w:val="00B83E13"/>
    <w:rsid w:val="00B83E6B"/>
    <w:rsid w:val="00B84014"/>
    <w:rsid w:val="00B840CF"/>
    <w:rsid w:val="00B84165"/>
    <w:rsid w:val="00B84185"/>
    <w:rsid w:val="00B8424E"/>
    <w:rsid w:val="00B844D2"/>
    <w:rsid w:val="00B84590"/>
    <w:rsid w:val="00B845ED"/>
    <w:rsid w:val="00B84794"/>
    <w:rsid w:val="00B84861"/>
    <w:rsid w:val="00B848DA"/>
    <w:rsid w:val="00B84A81"/>
    <w:rsid w:val="00B84A8D"/>
    <w:rsid w:val="00B84C54"/>
    <w:rsid w:val="00B84CB2"/>
    <w:rsid w:val="00B84DB2"/>
    <w:rsid w:val="00B84E21"/>
    <w:rsid w:val="00B85068"/>
    <w:rsid w:val="00B85339"/>
    <w:rsid w:val="00B85364"/>
    <w:rsid w:val="00B85386"/>
    <w:rsid w:val="00B85495"/>
    <w:rsid w:val="00B855F0"/>
    <w:rsid w:val="00B85646"/>
    <w:rsid w:val="00B856F4"/>
    <w:rsid w:val="00B85777"/>
    <w:rsid w:val="00B8582F"/>
    <w:rsid w:val="00B858BF"/>
    <w:rsid w:val="00B858C9"/>
    <w:rsid w:val="00B858F1"/>
    <w:rsid w:val="00B85AEE"/>
    <w:rsid w:val="00B85CC0"/>
    <w:rsid w:val="00B85DFB"/>
    <w:rsid w:val="00B85F14"/>
    <w:rsid w:val="00B86037"/>
    <w:rsid w:val="00B8604F"/>
    <w:rsid w:val="00B860D2"/>
    <w:rsid w:val="00B8611F"/>
    <w:rsid w:val="00B86128"/>
    <w:rsid w:val="00B8623B"/>
    <w:rsid w:val="00B86283"/>
    <w:rsid w:val="00B8663A"/>
    <w:rsid w:val="00B86876"/>
    <w:rsid w:val="00B868CC"/>
    <w:rsid w:val="00B8696E"/>
    <w:rsid w:val="00B86A60"/>
    <w:rsid w:val="00B86BD9"/>
    <w:rsid w:val="00B86CA9"/>
    <w:rsid w:val="00B86E85"/>
    <w:rsid w:val="00B86F14"/>
    <w:rsid w:val="00B86F98"/>
    <w:rsid w:val="00B870B3"/>
    <w:rsid w:val="00B873B9"/>
    <w:rsid w:val="00B87770"/>
    <w:rsid w:val="00B8778D"/>
    <w:rsid w:val="00B877DA"/>
    <w:rsid w:val="00B87886"/>
    <w:rsid w:val="00B878B6"/>
    <w:rsid w:val="00B87AC7"/>
    <w:rsid w:val="00B87BFB"/>
    <w:rsid w:val="00B87DB6"/>
    <w:rsid w:val="00B87EA6"/>
    <w:rsid w:val="00B87F8F"/>
    <w:rsid w:val="00B901C4"/>
    <w:rsid w:val="00B90262"/>
    <w:rsid w:val="00B90342"/>
    <w:rsid w:val="00B90394"/>
    <w:rsid w:val="00B903BF"/>
    <w:rsid w:val="00B90602"/>
    <w:rsid w:val="00B909CA"/>
    <w:rsid w:val="00B90A48"/>
    <w:rsid w:val="00B90A7B"/>
    <w:rsid w:val="00B90AC5"/>
    <w:rsid w:val="00B90CA7"/>
    <w:rsid w:val="00B90E12"/>
    <w:rsid w:val="00B90E4A"/>
    <w:rsid w:val="00B90FE7"/>
    <w:rsid w:val="00B914CD"/>
    <w:rsid w:val="00B91AE8"/>
    <w:rsid w:val="00B91BE5"/>
    <w:rsid w:val="00B91E2D"/>
    <w:rsid w:val="00B922F8"/>
    <w:rsid w:val="00B92502"/>
    <w:rsid w:val="00B92635"/>
    <w:rsid w:val="00B926B3"/>
    <w:rsid w:val="00B92873"/>
    <w:rsid w:val="00B928D8"/>
    <w:rsid w:val="00B92BE3"/>
    <w:rsid w:val="00B92BEE"/>
    <w:rsid w:val="00B92D50"/>
    <w:rsid w:val="00B92EAC"/>
    <w:rsid w:val="00B92F23"/>
    <w:rsid w:val="00B92F79"/>
    <w:rsid w:val="00B930E7"/>
    <w:rsid w:val="00B931C2"/>
    <w:rsid w:val="00B931DA"/>
    <w:rsid w:val="00B93387"/>
    <w:rsid w:val="00B934FC"/>
    <w:rsid w:val="00B934FD"/>
    <w:rsid w:val="00B9350B"/>
    <w:rsid w:val="00B93587"/>
    <w:rsid w:val="00B93793"/>
    <w:rsid w:val="00B93828"/>
    <w:rsid w:val="00B93AA0"/>
    <w:rsid w:val="00B93AC1"/>
    <w:rsid w:val="00B93B7A"/>
    <w:rsid w:val="00B93F61"/>
    <w:rsid w:val="00B93FE3"/>
    <w:rsid w:val="00B9417B"/>
    <w:rsid w:val="00B943AF"/>
    <w:rsid w:val="00B94461"/>
    <w:rsid w:val="00B944B4"/>
    <w:rsid w:val="00B94512"/>
    <w:rsid w:val="00B945BD"/>
    <w:rsid w:val="00B94802"/>
    <w:rsid w:val="00B94893"/>
    <w:rsid w:val="00B948BF"/>
    <w:rsid w:val="00B94A2A"/>
    <w:rsid w:val="00B94B43"/>
    <w:rsid w:val="00B94B58"/>
    <w:rsid w:val="00B94BEC"/>
    <w:rsid w:val="00B94F8B"/>
    <w:rsid w:val="00B952B4"/>
    <w:rsid w:val="00B9562B"/>
    <w:rsid w:val="00B959C6"/>
    <w:rsid w:val="00B95A18"/>
    <w:rsid w:val="00B95CCA"/>
    <w:rsid w:val="00B96156"/>
    <w:rsid w:val="00B9637E"/>
    <w:rsid w:val="00B9688A"/>
    <w:rsid w:val="00B969B0"/>
    <w:rsid w:val="00B96A37"/>
    <w:rsid w:val="00B96F80"/>
    <w:rsid w:val="00B97030"/>
    <w:rsid w:val="00B9727B"/>
    <w:rsid w:val="00B972BF"/>
    <w:rsid w:val="00B97311"/>
    <w:rsid w:val="00B9731D"/>
    <w:rsid w:val="00B97693"/>
    <w:rsid w:val="00B976FA"/>
    <w:rsid w:val="00B97741"/>
    <w:rsid w:val="00B97744"/>
    <w:rsid w:val="00B97BD4"/>
    <w:rsid w:val="00B97DCD"/>
    <w:rsid w:val="00B97E57"/>
    <w:rsid w:val="00B97F1F"/>
    <w:rsid w:val="00B97F87"/>
    <w:rsid w:val="00BA023A"/>
    <w:rsid w:val="00BA0264"/>
    <w:rsid w:val="00BA0315"/>
    <w:rsid w:val="00BA0538"/>
    <w:rsid w:val="00BA05EE"/>
    <w:rsid w:val="00BA0622"/>
    <w:rsid w:val="00BA0768"/>
    <w:rsid w:val="00BA078D"/>
    <w:rsid w:val="00BA0790"/>
    <w:rsid w:val="00BA0822"/>
    <w:rsid w:val="00BA08A4"/>
    <w:rsid w:val="00BA08D8"/>
    <w:rsid w:val="00BA095A"/>
    <w:rsid w:val="00BA0B9F"/>
    <w:rsid w:val="00BA0C81"/>
    <w:rsid w:val="00BA0E0C"/>
    <w:rsid w:val="00BA0E4F"/>
    <w:rsid w:val="00BA0FA4"/>
    <w:rsid w:val="00BA1100"/>
    <w:rsid w:val="00BA111C"/>
    <w:rsid w:val="00BA11D4"/>
    <w:rsid w:val="00BA11E1"/>
    <w:rsid w:val="00BA1275"/>
    <w:rsid w:val="00BA1581"/>
    <w:rsid w:val="00BA1763"/>
    <w:rsid w:val="00BA1791"/>
    <w:rsid w:val="00BA19E0"/>
    <w:rsid w:val="00BA1BA6"/>
    <w:rsid w:val="00BA1CEF"/>
    <w:rsid w:val="00BA1F67"/>
    <w:rsid w:val="00BA1FE2"/>
    <w:rsid w:val="00BA2012"/>
    <w:rsid w:val="00BA2025"/>
    <w:rsid w:val="00BA2491"/>
    <w:rsid w:val="00BA24DE"/>
    <w:rsid w:val="00BA25FE"/>
    <w:rsid w:val="00BA2601"/>
    <w:rsid w:val="00BA2F07"/>
    <w:rsid w:val="00BA30AF"/>
    <w:rsid w:val="00BA321B"/>
    <w:rsid w:val="00BA3469"/>
    <w:rsid w:val="00BA3480"/>
    <w:rsid w:val="00BA366B"/>
    <w:rsid w:val="00BA3878"/>
    <w:rsid w:val="00BA3A06"/>
    <w:rsid w:val="00BA3BBD"/>
    <w:rsid w:val="00BA3EE6"/>
    <w:rsid w:val="00BA3F07"/>
    <w:rsid w:val="00BA3F20"/>
    <w:rsid w:val="00BA3FDC"/>
    <w:rsid w:val="00BA4025"/>
    <w:rsid w:val="00BA41A8"/>
    <w:rsid w:val="00BA41E0"/>
    <w:rsid w:val="00BA42C9"/>
    <w:rsid w:val="00BA4548"/>
    <w:rsid w:val="00BA45A2"/>
    <w:rsid w:val="00BA4671"/>
    <w:rsid w:val="00BA46CC"/>
    <w:rsid w:val="00BA471D"/>
    <w:rsid w:val="00BA4BEF"/>
    <w:rsid w:val="00BA4C31"/>
    <w:rsid w:val="00BA4CF7"/>
    <w:rsid w:val="00BA4F2C"/>
    <w:rsid w:val="00BA54A0"/>
    <w:rsid w:val="00BA55DA"/>
    <w:rsid w:val="00BA5690"/>
    <w:rsid w:val="00BA5705"/>
    <w:rsid w:val="00BA5756"/>
    <w:rsid w:val="00BA580E"/>
    <w:rsid w:val="00BA58D9"/>
    <w:rsid w:val="00BA5913"/>
    <w:rsid w:val="00BA5A6C"/>
    <w:rsid w:val="00BA5AAE"/>
    <w:rsid w:val="00BA5BDF"/>
    <w:rsid w:val="00BA5E45"/>
    <w:rsid w:val="00BA5E9C"/>
    <w:rsid w:val="00BA64AF"/>
    <w:rsid w:val="00BA6C4E"/>
    <w:rsid w:val="00BA6D9C"/>
    <w:rsid w:val="00BA6EE7"/>
    <w:rsid w:val="00BA71FE"/>
    <w:rsid w:val="00BA720E"/>
    <w:rsid w:val="00BA736F"/>
    <w:rsid w:val="00BA73AA"/>
    <w:rsid w:val="00BA7426"/>
    <w:rsid w:val="00BA7508"/>
    <w:rsid w:val="00BA75DF"/>
    <w:rsid w:val="00BA7768"/>
    <w:rsid w:val="00BA77B6"/>
    <w:rsid w:val="00BA7890"/>
    <w:rsid w:val="00BA78D7"/>
    <w:rsid w:val="00BA7A3E"/>
    <w:rsid w:val="00BA7B15"/>
    <w:rsid w:val="00BA7B44"/>
    <w:rsid w:val="00BA7B5D"/>
    <w:rsid w:val="00BA7B6D"/>
    <w:rsid w:val="00BA7CD8"/>
    <w:rsid w:val="00BA7E6B"/>
    <w:rsid w:val="00BA7FC3"/>
    <w:rsid w:val="00BB0258"/>
    <w:rsid w:val="00BB041D"/>
    <w:rsid w:val="00BB04BD"/>
    <w:rsid w:val="00BB04D0"/>
    <w:rsid w:val="00BB0AE2"/>
    <w:rsid w:val="00BB0CAF"/>
    <w:rsid w:val="00BB0CD7"/>
    <w:rsid w:val="00BB0D8B"/>
    <w:rsid w:val="00BB0E5C"/>
    <w:rsid w:val="00BB119A"/>
    <w:rsid w:val="00BB12CA"/>
    <w:rsid w:val="00BB1779"/>
    <w:rsid w:val="00BB1831"/>
    <w:rsid w:val="00BB1AB4"/>
    <w:rsid w:val="00BB1ADF"/>
    <w:rsid w:val="00BB1B44"/>
    <w:rsid w:val="00BB1B4F"/>
    <w:rsid w:val="00BB1D75"/>
    <w:rsid w:val="00BB1D9C"/>
    <w:rsid w:val="00BB1DAE"/>
    <w:rsid w:val="00BB1E8B"/>
    <w:rsid w:val="00BB2190"/>
    <w:rsid w:val="00BB2297"/>
    <w:rsid w:val="00BB22CA"/>
    <w:rsid w:val="00BB2349"/>
    <w:rsid w:val="00BB24ED"/>
    <w:rsid w:val="00BB2572"/>
    <w:rsid w:val="00BB25F7"/>
    <w:rsid w:val="00BB295A"/>
    <w:rsid w:val="00BB2BE9"/>
    <w:rsid w:val="00BB2EB9"/>
    <w:rsid w:val="00BB32EA"/>
    <w:rsid w:val="00BB330F"/>
    <w:rsid w:val="00BB3575"/>
    <w:rsid w:val="00BB3581"/>
    <w:rsid w:val="00BB3639"/>
    <w:rsid w:val="00BB3704"/>
    <w:rsid w:val="00BB37B9"/>
    <w:rsid w:val="00BB3883"/>
    <w:rsid w:val="00BB38A3"/>
    <w:rsid w:val="00BB39B7"/>
    <w:rsid w:val="00BB3AD3"/>
    <w:rsid w:val="00BB40ED"/>
    <w:rsid w:val="00BB4311"/>
    <w:rsid w:val="00BB45FB"/>
    <w:rsid w:val="00BB46C6"/>
    <w:rsid w:val="00BB476E"/>
    <w:rsid w:val="00BB491F"/>
    <w:rsid w:val="00BB4974"/>
    <w:rsid w:val="00BB4C01"/>
    <w:rsid w:val="00BB4DE5"/>
    <w:rsid w:val="00BB510B"/>
    <w:rsid w:val="00BB5127"/>
    <w:rsid w:val="00BB5317"/>
    <w:rsid w:val="00BB53B9"/>
    <w:rsid w:val="00BB540E"/>
    <w:rsid w:val="00BB54DE"/>
    <w:rsid w:val="00BB5506"/>
    <w:rsid w:val="00BB5626"/>
    <w:rsid w:val="00BB57E8"/>
    <w:rsid w:val="00BB5C60"/>
    <w:rsid w:val="00BB5CB8"/>
    <w:rsid w:val="00BB5D33"/>
    <w:rsid w:val="00BB5EAF"/>
    <w:rsid w:val="00BB61B9"/>
    <w:rsid w:val="00BB63D9"/>
    <w:rsid w:val="00BB651A"/>
    <w:rsid w:val="00BB652C"/>
    <w:rsid w:val="00BB668F"/>
    <w:rsid w:val="00BB6721"/>
    <w:rsid w:val="00BB6838"/>
    <w:rsid w:val="00BB6848"/>
    <w:rsid w:val="00BB6A44"/>
    <w:rsid w:val="00BB6E77"/>
    <w:rsid w:val="00BB6EC8"/>
    <w:rsid w:val="00BB6F08"/>
    <w:rsid w:val="00BB71B4"/>
    <w:rsid w:val="00BB71D1"/>
    <w:rsid w:val="00BB73FB"/>
    <w:rsid w:val="00BB773D"/>
    <w:rsid w:val="00BB78BD"/>
    <w:rsid w:val="00BB794D"/>
    <w:rsid w:val="00BB79E1"/>
    <w:rsid w:val="00BB7A43"/>
    <w:rsid w:val="00BB7C1C"/>
    <w:rsid w:val="00BB7EC0"/>
    <w:rsid w:val="00BC04C3"/>
    <w:rsid w:val="00BC08E6"/>
    <w:rsid w:val="00BC0B3D"/>
    <w:rsid w:val="00BC0B86"/>
    <w:rsid w:val="00BC0C94"/>
    <w:rsid w:val="00BC0EB5"/>
    <w:rsid w:val="00BC102C"/>
    <w:rsid w:val="00BC1060"/>
    <w:rsid w:val="00BC1082"/>
    <w:rsid w:val="00BC15AF"/>
    <w:rsid w:val="00BC1910"/>
    <w:rsid w:val="00BC1A27"/>
    <w:rsid w:val="00BC1D47"/>
    <w:rsid w:val="00BC1DD2"/>
    <w:rsid w:val="00BC1E22"/>
    <w:rsid w:val="00BC20B2"/>
    <w:rsid w:val="00BC21D2"/>
    <w:rsid w:val="00BC22DC"/>
    <w:rsid w:val="00BC2611"/>
    <w:rsid w:val="00BC273A"/>
    <w:rsid w:val="00BC28AA"/>
    <w:rsid w:val="00BC297E"/>
    <w:rsid w:val="00BC2D14"/>
    <w:rsid w:val="00BC2DCC"/>
    <w:rsid w:val="00BC2E8E"/>
    <w:rsid w:val="00BC2F61"/>
    <w:rsid w:val="00BC303E"/>
    <w:rsid w:val="00BC303F"/>
    <w:rsid w:val="00BC312C"/>
    <w:rsid w:val="00BC31AB"/>
    <w:rsid w:val="00BC3274"/>
    <w:rsid w:val="00BC3283"/>
    <w:rsid w:val="00BC358C"/>
    <w:rsid w:val="00BC36B0"/>
    <w:rsid w:val="00BC374F"/>
    <w:rsid w:val="00BC3932"/>
    <w:rsid w:val="00BC3C06"/>
    <w:rsid w:val="00BC3F52"/>
    <w:rsid w:val="00BC428F"/>
    <w:rsid w:val="00BC43E4"/>
    <w:rsid w:val="00BC4428"/>
    <w:rsid w:val="00BC4690"/>
    <w:rsid w:val="00BC4889"/>
    <w:rsid w:val="00BC489C"/>
    <w:rsid w:val="00BC4BDC"/>
    <w:rsid w:val="00BC4E10"/>
    <w:rsid w:val="00BC5016"/>
    <w:rsid w:val="00BC506D"/>
    <w:rsid w:val="00BC50CA"/>
    <w:rsid w:val="00BC50E6"/>
    <w:rsid w:val="00BC51F0"/>
    <w:rsid w:val="00BC53F0"/>
    <w:rsid w:val="00BC55EC"/>
    <w:rsid w:val="00BC55F5"/>
    <w:rsid w:val="00BC5738"/>
    <w:rsid w:val="00BC5788"/>
    <w:rsid w:val="00BC57DA"/>
    <w:rsid w:val="00BC5A28"/>
    <w:rsid w:val="00BC5BF7"/>
    <w:rsid w:val="00BC5C34"/>
    <w:rsid w:val="00BC5C69"/>
    <w:rsid w:val="00BC5C70"/>
    <w:rsid w:val="00BC5C85"/>
    <w:rsid w:val="00BC5DD8"/>
    <w:rsid w:val="00BC5E21"/>
    <w:rsid w:val="00BC5EEE"/>
    <w:rsid w:val="00BC6207"/>
    <w:rsid w:val="00BC6249"/>
    <w:rsid w:val="00BC6266"/>
    <w:rsid w:val="00BC63DA"/>
    <w:rsid w:val="00BC642E"/>
    <w:rsid w:val="00BC64D7"/>
    <w:rsid w:val="00BC684A"/>
    <w:rsid w:val="00BC68D8"/>
    <w:rsid w:val="00BC6987"/>
    <w:rsid w:val="00BC69F3"/>
    <w:rsid w:val="00BC6A7A"/>
    <w:rsid w:val="00BC6CA9"/>
    <w:rsid w:val="00BC6D29"/>
    <w:rsid w:val="00BC6FEA"/>
    <w:rsid w:val="00BC71A3"/>
    <w:rsid w:val="00BC7497"/>
    <w:rsid w:val="00BC75B4"/>
    <w:rsid w:val="00BC75EF"/>
    <w:rsid w:val="00BC7661"/>
    <w:rsid w:val="00BC76C5"/>
    <w:rsid w:val="00BC7775"/>
    <w:rsid w:val="00BC7BF4"/>
    <w:rsid w:val="00BC7C1B"/>
    <w:rsid w:val="00BC7C29"/>
    <w:rsid w:val="00BC7DEE"/>
    <w:rsid w:val="00BC7F78"/>
    <w:rsid w:val="00BD004B"/>
    <w:rsid w:val="00BD0098"/>
    <w:rsid w:val="00BD0253"/>
    <w:rsid w:val="00BD0268"/>
    <w:rsid w:val="00BD0386"/>
    <w:rsid w:val="00BD03B9"/>
    <w:rsid w:val="00BD04EA"/>
    <w:rsid w:val="00BD08E7"/>
    <w:rsid w:val="00BD09B1"/>
    <w:rsid w:val="00BD0B1B"/>
    <w:rsid w:val="00BD0B52"/>
    <w:rsid w:val="00BD0D48"/>
    <w:rsid w:val="00BD0ED2"/>
    <w:rsid w:val="00BD0EDF"/>
    <w:rsid w:val="00BD0EF9"/>
    <w:rsid w:val="00BD10FA"/>
    <w:rsid w:val="00BD113A"/>
    <w:rsid w:val="00BD11DF"/>
    <w:rsid w:val="00BD13E8"/>
    <w:rsid w:val="00BD1442"/>
    <w:rsid w:val="00BD14C5"/>
    <w:rsid w:val="00BD17DC"/>
    <w:rsid w:val="00BD1874"/>
    <w:rsid w:val="00BD1884"/>
    <w:rsid w:val="00BD1C2D"/>
    <w:rsid w:val="00BD1F46"/>
    <w:rsid w:val="00BD1F4B"/>
    <w:rsid w:val="00BD20A4"/>
    <w:rsid w:val="00BD25A6"/>
    <w:rsid w:val="00BD2681"/>
    <w:rsid w:val="00BD274A"/>
    <w:rsid w:val="00BD2849"/>
    <w:rsid w:val="00BD2FDC"/>
    <w:rsid w:val="00BD3185"/>
    <w:rsid w:val="00BD3266"/>
    <w:rsid w:val="00BD334E"/>
    <w:rsid w:val="00BD347F"/>
    <w:rsid w:val="00BD34D7"/>
    <w:rsid w:val="00BD35BC"/>
    <w:rsid w:val="00BD35F2"/>
    <w:rsid w:val="00BD363D"/>
    <w:rsid w:val="00BD3705"/>
    <w:rsid w:val="00BD39DF"/>
    <w:rsid w:val="00BD3B4A"/>
    <w:rsid w:val="00BD3BA7"/>
    <w:rsid w:val="00BD3D37"/>
    <w:rsid w:val="00BD3E61"/>
    <w:rsid w:val="00BD3E74"/>
    <w:rsid w:val="00BD3FA1"/>
    <w:rsid w:val="00BD407C"/>
    <w:rsid w:val="00BD40BC"/>
    <w:rsid w:val="00BD418D"/>
    <w:rsid w:val="00BD42CC"/>
    <w:rsid w:val="00BD42D9"/>
    <w:rsid w:val="00BD43A0"/>
    <w:rsid w:val="00BD47FB"/>
    <w:rsid w:val="00BD4863"/>
    <w:rsid w:val="00BD4AF1"/>
    <w:rsid w:val="00BD4C6C"/>
    <w:rsid w:val="00BD4CB6"/>
    <w:rsid w:val="00BD4D5A"/>
    <w:rsid w:val="00BD4D8B"/>
    <w:rsid w:val="00BD4D95"/>
    <w:rsid w:val="00BD4F94"/>
    <w:rsid w:val="00BD5132"/>
    <w:rsid w:val="00BD5547"/>
    <w:rsid w:val="00BD5554"/>
    <w:rsid w:val="00BD56C3"/>
    <w:rsid w:val="00BD5709"/>
    <w:rsid w:val="00BD5717"/>
    <w:rsid w:val="00BD5739"/>
    <w:rsid w:val="00BD586E"/>
    <w:rsid w:val="00BD59D5"/>
    <w:rsid w:val="00BD59E3"/>
    <w:rsid w:val="00BD5A22"/>
    <w:rsid w:val="00BD5AEE"/>
    <w:rsid w:val="00BD5F92"/>
    <w:rsid w:val="00BD5FB8"/>
    <w:rsid w:val="00BD6207"/>
    <w:rsid w:val="00BD6434"/>
    <w:rsid w:val="00BD64C3"/>
    <w:rsid w:val="00BD66D9"/>
    <w:rsid w:val="00BD68DA"/>
    <w:rsid w:val="00BD6C1E"/>
    <w:rsid w:val="00BD6C74"/>
    <w:rsid w:val="00BD6F66"/>
    <w:rsid w:val="00BD70C7"/>
    <w:rsid w:val="00BD716A"/>
    <w:rsid w:val="00BD7262"/>
    <w:rsid w:val="00BD73C9"/>
    <w:rsid w:val="00BD748B"/>
    <w:rsid w:val="00BD76B7"/>
    <w:rsid w:val="00BD7770"/>
    <w:rsid w:val="00BD782F"/>
    <w:rsid w:val="00BD78DF"/>
    <w:rsid w:val="00BD798C"/>
    <w:rsid w:val="00BD7C06"/>
    <w:rsid w:val="00BD7E8C"/>
    <w:rsid w:val="00BD7EC7"/>
    <w:rsid w:val="00BD7F55"/>
    <w:rsid w:val="00BD7F68"/>
    <w:rsid w:val="00BD7F8D"/>
    <w:rsid w:val="00BE0040"/>
    <w:rsid w:val="00BE0142"/>
    <w:rsid w:val="00BE0418"/>
    <w:rsid w:val="00BE0467"/>
    <w:rsid w:val="00BE07AD"/>
    <w:rsid w:val="00BE0848"/>
    <w:rsid w:val="00BE0A9C"/>
    <w:rsid w:val="00BE0ADB"/>
    <w:rsid w:val="00BE0B7A"/>
    <w:rsid w:val="00BE0C40"/>
    <w:rsid w:val="00BE0C42"/>
    <w:rsid w:val="00BE0C6C"/>
    <w:rsid w:val="00BE0FAE"/>
    <w:rsid w:val="00BE1203"/>
    <w:rsid w:val="00BE129B"/>
    <w:rsid w:val="00BE12B6"/>
    <w:rsid w:val="00BE12CE"/>
    <w:rsid w:val="00BE16ED"/>
    <w:rsid w:val="00BE19E3"/>
    <w:rsid w:val="00BE1AD8"/>
    <w:rsid w:val="00BE2009"/>
    <w:rsid w:val="00BE20C6"/>
    <w:rsid w:val="00BE22CE"/>
    <w:rsid w:val="00BE22F9"/>
    <w:rsid w:val="00BE23BA"/>
    <w:rsid w:val="00BE249D"/>
    <w:rsid w:val="00BE27C2"/>
    <w:rsid w:val="00BE2838"/>
    <w:rsid w:val="00BE28BE"/>
    <w:rsid w:val="00BE29DE"/>
    <w:rsid w:val="00BE2FF7"/>
    <w:rsid w:val="00BE30AD"/>
    <w:rsid w:val="00BE3348"/>
    <w:rsid w:val="00BE33ED"/>
    <w:rsid w:val="00BE34A8"/>
    <w:rsid w:val="00BE35B6"/>
    <w:rsid w:val="00BE377F"/>
    <w:rsid w:val="00BE389D"/>
    <w:rsid w:val="00BE38B1"/>
    <w:rsid w:val="00BE3BBA"/>
    <w:rsid w:val="00BE3CE9"/>
    <w:rsid w:val="00BE3D44"/>
    <w:rsid w:val="00BE3FF6"/>
    <w:rsid w:val="00BE4024"/>
    <w:rsid w:val="00BE40AB"/>
    <w:rsid w:val="00BE4648"/>
    <w:rsid w:val="00BE483D"/>
    <w:rsid w:val="00BE4AA4"/>
    <w:rsid w:val="00BE4AF8"/>
    <w:rsid w:val="00BE4CA5"/>
    <w:rsid w:val="00BE4D5E"/>
    <w:rsid w:val="00BE5088"/>
    <w:rsid w:val="00BE50F0"/>
    <w:rsid w:val="00BE51E1"/>
    <w:rsid w:val="00BE5258"/>
    <w:rsid w:val="00BE5270"/>
    <w:rsid w:val="00BE52E8"/>
    <w:rsid w:val="00BE537A"/>
    <w:rsid w:val="00BE5539"/>
    <w:rsid w:val="00BE5550"/>
    <w:rsid w:val="00BE5779"/>
    <w:rsid w:val="00BE59B9"/>
    <w:rsid w:val="00BE5A0D"/>
    <w:rsid w:val="00BE5A12"/>
    <w:rsid w:val="00BE5A72"/>
    <w:rsid w:val="00BE5ACB"/>
    <w:rsid w:val="00BE5BA7"/>
    <w:rsid w:val="00BE5BB1"/>
    <w:rsid w:val="00BE5D9E"/>
    <w:rsid w:val="00BE5DAB"/>
    <w:rsid w:val="00BE5F38"/>
    <w:rsid w:val="00BE60CA"/>
    <w:rsid w:val="00BE687E"/>
    <w:rsid w:val="00BE68EA"/>
    <w:rsid w:val="00BE6979"/>
    <w:rsid w:val="00BE6B76"/>
    <w:rsid w:val="00BE6CC5"/>
    <w:rsid w:val="00BE6DE3"/>
    <w:rsid w:val="00BE6F6D"/>
    <w:rsid w:val="00BE6FF6"/>
    <w:rsid w:val="00BE7255"/>
    <w:rsid w:val="00BE75F4"/>
    <w:rsid w:val="00BE77C4"/>
    <w:rsid w:val="00BE7831"/>
    <w:rsid w:val="00BE785C"/>
    <w:rsid w:val="00BE7B80"/>
    <w:rsid w:val="00BE7BA9"/>
    <w:rsid w:val="00BE7BD9"/>
    <w:rsid w:val="00BE7E9C"/>
    <w:rsid w:val="00BE7FBB"/>
    <w:rsid w:val="00BE7FDB"/>
    <w:rsid w:val="00BF035E"/>
    <w:rsid w:val="00BF0372"/>
    <w:rsid w:val="00BF0403"/>
    <w:rsid w:val="00BF0505"/>
    <w:rsid w:val="00BF05A7"/>
    <w:rsid w:val="00BF0624"/>
    <w:rsid w:val="00BF0988"/>
    <w:rsid w:val="00BF0A0B"/>
    <w:rsid w:val="00BF0D02"/>
    <w:rsid w:val="00BF103C"/>
    <w:rsid w:val="00BF10B7"/>
    <w:rsid w:val="00BF129A"/>
    <w:rsid w:val="00BF12E0"/>
    <w:rsid w:val="00BF138B"/>
    <w:rsid w:val="00BF147E"/>
    <w:rsid w:val="00BF1501"/>
    <w:rsid w:val="00BF15C5"/>
    <w:rsid w:val="00BF17A6"/>
    <w:rsid w:val="00BF1AC8"/>
    <w:rsid w:val="00BF1C05"/>
    <w:rsid w:val="00BF1C40"/>
    <w:rsid w:val="00BF1F46"/>
    <w:rsid w:val="00BF206C"/>
    <w:rsid w:val="00BF22CF"/>
    <w:rsid w:val="00BF248B"/>
    <w:rsid w:val="00BF24F7"/>
    <w:rsid w:val="00BF25AF"/>
    <w:rsid w:val="00BF2626"/>
    <w:rsid w:val="00BF264D"/>
    <w:rsid w:val="00BF26EC"/>
    <w:rsid w:val="00BF2BD6"/>
    <w:rsid w:val="00BF2CF1"/>
    <w:rsid w:val="00BF2E92"/>
    <w:rsid w:val="00BF32C7"/>
    <w:rsid w:val="00BF3866"/>
    <w:rsid w:val="00BF3988"/>
    <w:rsid w:val="00BF39F5"/>
    <w:rsid w:val="00BF3C37"/>
    <w:rsid w:val="00BF3C9E"/>
    <w:rsid w:val="00BF3DD9"/>
    <w:rsid w:val="00BF3DE0"/>
    <w:rsid w:val="00BF3DEB"/>
    <w:rsid w:val="00BF4100"/>
    <w:rsid w:val="00BF42AC"/>
    <w:rsid w:val="00BF45DE"/>
    <w:rsid w:val="00BF4661"/>
    <w:rsid w:val="00BF4853"/>
    <w:rsid w:val="00BF48C4"/>
    <w:rsid w:val="00BF4B2E"/>
    <w:rsid w:val="00BF4CB6"/>
    <w:rsid w:val="00BF4DAF"/>
    <w:rsid w:val="00BF4DB7"/>
    <w:rsid w:val="00BF4DBA"/>
    <w:rsid w:val="00BF52C8"/>
    <w:rsid w:val="00BF531F"/>
    <w:rsid w:val="00BF5609"/>
    <w:rsid w:val="00BF5714"/>
    <w:rsid w:val="00BF579A"/>
    <w:rsid w:val="00BF596D"/>
    <w:rsid w:val="00BF5AAB"/>
    <w:rsid w:val="00BF5B68"/>
    <w:rsid w:val="00BF5C9A"/>
    <w:rsid w:val="00BF5CCF"/>
    <w:rsid w:val="00BF5CD4"/>
    <w:rsid w:val="00BF5EAF"/>
    <w:rsid w:val="00BF613D"/>
    <w:rsid w:val="00BF63BB"/>
    <w:rsid w:val="00BF6458"/>
    <w:rsid w:val="00BF647C"/>
    <w:rsid w:val="00BF64C9"/>
    <w:rsid w:val="00BF6582"/>
    <w:rsid w:val="00BF6701"/>
    <w:rsid w:val="00BF67F8"/>
    <w:rsid w:val="00BF6918"/>
    <w:rsid w:val="00BF6A6F"/>
    <w:rsid w:val="00BF6B03"/>
    <w:rsid w:val="00BF6D54"/>
    <w:rsid w:val="00BF6E4A"/>
    <w:rsid w:val="00BF6E92"/>
    <w:rsid w:val="00BF6EBE"/>
    <w:rsid w:val="00BF70B4"/>
    <w:rsid w:val="00BF7135"/>
    <w:rsid w:val="00BF7438"/>
    <w:rsid w:val="00BF7546"/>
    <w:rsid w:val="00BF77DF"/>
    <w:rsid w:val="00BF77F1"/>
    <w:rsid w:val="00BF7833"/>
    <w:rsid w:val="00BF79E4"/>
    <w:rsid w:val="00BF7C80"/>
    <w:rsid w:val="00BF7E5B"/>
    <w:rsid w:val="00BF7EB2"/>
    <w:rsid w:val="00BF7F22"/>
    <w:rsid w:val="00BF7FB8"/>
    <w:rsid w:val="00C003E0"/>
    <w:rsid w:val="00C00413"/>
    <w:rsid w:val="00C004CC"/>
    <w:rsid w:val="00C004F9"/>
    <w:rsid w:val="00C0060E"/>
    <w:rsid w:val="00C006A8"/>
    <w:rsid w:val="00C0074C"/>
    <w:rsid w:val="00C00852"/>
    <w:rsid w:val="00C00865"/>
    <w:rsid w:val="00C00880"/>
    <w:rsid w:val="00C009A4"/>
    <w:rsid w:val="00C00A0F"/>
    <w:rsid w:val="00C00A65"/>
    <w:rsid w:val="00C00AD9"/>
    <w:rsid w:val="00C00DF7"/>
    <w:rsid w:val="00C01284"/>
    <w:rsid w:val="00C0132E"/>
    <w:rsid w:val="00C01494"/>
    <w:rsid w:val="00C014CC"/>
    <w:rsid w:val="00C014D2"/>
    <w:rsid w:val="00C016D7"/>
    <w:rsid w:val="00C0174F"/>
    <w:rsid w:val="00C01759"/>
    <w:rsid w:val="00C019F1"/>
    <w:rsid w:val="00C01AE5"/>
    <w:rsid w:val="00C01CEF"/>
    <w:rsid w:val="00C01EDA"/>
    <w:rsid w:val="00C01F59"/>
    <w:rsid w:val="00C02128"/>
    <w:rsid w:val="00C021DE"/>
    <w:rsid w:val="00C021EB"/>
    <w:rsid w:val="00C022C1"/>
    <w:rsid w:val="00C02329"/>
    <w:rsid w:val="00C02454"/>
    <w:rsid w:val="00C0246E"/>
    <w:rsid w:val="00C02661"/>
    <w:rsid w:val="00C0266F"/>
    <w:rsid w:val="00C026DB"/>
    <w:rsid w:val="00C0273C"/>
    <w:rsid w:val="00C02841"/>
    <w:rsid w:val="00C029EF"/>
    <w:rsid w:val="00C02A82"/>
    <w:rsid w:val="00C02B19"/>
    <w:rsid w:val="00C02CC2"/>
    <w:rsid w:val="00C02CCF"/>
    <w:rsid w:val="00C032F1"/>
    <w:rsid w:val="00C03443"/>
    <w:rsid w:val="00C034F9"/>
    <w:rsid w:val="00C036ED"/>
    <w:rsid w:val="00C03869"/>
    <w:rsid w:val="00C03961"/>
    <w:rsid w:val="00C03C60"/>
    <w:rsid w:val="00C03EB0"/>
    <w:rsid w:val="00C044DA"/>
    <w:rsid w:val="00C0466E"/>
    <w:rsid w:val="00C046CD"/>
    <w:rsid w:val="00C0475A"/>
    <w:rsid w:val="00C049E8"/>
    <w:rsid w:val="00C04BC8"/>
    <w:rsid w:val="00C04C72"/>
    <w:rsid w:val="00C04DD2"/>
    <w:rsid w:val="00C04DE3"/>
    <w:rsid w:val="00C04E1E"/>
    <w:rsid w:val="00C05048"/>
    <w:rsid w:val="00C05136"/>
    <w:rsid w:val="00C0526E"/>
    <w:rsid w:val="00C0536B"/>
    <w:rsid w:val="00C05383"/>
    <w:rsid w:val="00C05388"/>
    <w:rsid w:val="00C05463"/>
    <w:rsid w:val="00C056AC"/>
    <w:rsid w:val="00C05713"/>
    <w:rsid w:val="00C0571A"/>
    <w:rsid w:val="00C05727"/>
    <w:rsid w:val="00C0578A"/>
    <w:rsid w:val="00C05B9D"/>
    <w:rsid w:val="00C05D35"/>
    <w:rsid w:val="00C05DF8"/>
    <w:rsid w:val="00C05E8C"/>
    <w:rsid w:val="00C05ECE"/>
    <w:rsid w:val="00C05F04"/>
    <w:rsid w:val="00C05F91"/>
    <w:rsid w:val="00C0604F"/>
    <w:rsid w:val="00C06178"/>
    <w:rsid w:val="00C06224"/>
    <w:rsid w:val="00C06229"/>
    <w:rsid w:val="00C0625E"/>
    <w:rsid w:val="00C062CC"/>
    <w:rsid w:val="00C063E7"/>
    <w:rsid w:val="00C06481"/>
    <w:rsid w:val="00C067B6"/>
    <w:rsid w:val="00C06828"/>
    <w:rsid w:val="00C06A02"/>
    <w:rsid w:val="00C06B04"/>
    <w:rsid w:val="00C06B44"/>
    <w:rsid w:val="00C06EE5"/>
    <w:rsid w:val="00C06EE7"/>
    <w:rsid w:val="00C07070"/>
    <w:rsid w:val="00C0708A"/>
    <w:rsid w:val="00C070D5"/>
    <w:rsid w:val="00C071A5"/>
    <w:rsid w:val="00C0728F"/>
    <w:rsid w:val="00C07343"/>
    <w:rsid w:val="00C073A1"/>
    <w:rsid w:val="00C07570"/>
    <w:rsid w:val="00C07659"/>
    <w:rsid w:val="00C077FD"/>
    <w:rsid w:val="00C07915"/>
    <w:rsid w:val="00C07BF0"/>
    <w:rsid w:val="00C07E0B"/>
    <w:rsid w:val="00C07F00"/>
    <w:rsid w:val="00C07FBC"/>
    <w:rsid w:val="00C07FD1"/>
    <w:rsid w:val="00C10032"/>
    <w:rsid w:val="00C10277"/>
    <w:rsid w:val="00C10379"/>
    <w:rsid w:val="00C104A2"/>
    <w:rsid w:val="00C1082F"/>
    <w:rsid w:val="00C10850"/>
    <w:rsid w:val="00C10931"/>
    <w:rsid w:val="00C109F3"/>
    <w:rsid w:val="00C10ADC"/>
    <w:rsid w:val="00C10BA8"/>
    <w:rsid w:val="00C10D2D"/>
    <w:rsid w:val="00C10DEB"/>
    <w:rsid w:val="00C10F82"/>
    <w:rsid w:val="00C11483"/>
    <w:rsid w:val="00C116C0"/>
    <w:rsid w:val="00C118AD"/>
    <w:rsid w:val="00C1193D"/>
    <w:rsid w:val="00C119AB"/>
    <w:rsid w:val="00C11A53"/>
    <w:rsid w:val="00C11D5D"/>
    <w:rsid w:val="00C11E19"/>
    <w:rsid w:val="00C121EE"/>
    <w:rsid w:val="00C12475"/>
    <w:rsid w:val="00C124FA"/>
    <w:rsid w:val="00C125D0"/>
    <w:rsid w:val="00C1275D"/>
    <w:rsid w:val="00C12A00"/>
    <w:rsid w:val="00C12B65"/>
    <w:rsid w:val="00C12C84"/>
    <w:rsid w:val="00C12F31"/>
    <w:rsid w:val="00C12F3B"/>
    <w:rsid w:val="00C12F8C"/>
    <w:rsid w:val="00C12FC4"/>
    <w:rsid w:val="00C13012"/>
    <w:rsid w:val="00C130E5"/>
    <w:rsid w:val="00C13193"/>
    <w:rsid w:val="00C131B7"/>
    <w:rsid w:val="00C13226"/>
    <w:rsid w:val="00C1322A"/>
    <w:rsid w:val="00C13266"/>
    <w:rsid w:val="00C13339"/>
    <w:rsid w:val="00C13359"/>
    <w:rsid w:val="00C13383"/>
    <w:rsid w:val="00C137A9"/>
    <w:rsid w:val="00C13AD4"/>
    <w:rsid w:val="00C13C87"/>
    <w:rsid w:val="00C1410D"/>
    <w:rsid w:val="00C14192"/>
    <w:rsid w:val="00C142D5"/>
    <w:rsid w:val="00C146AD"/>
    <w:rsid w:val="00C14794"/>
    <w:rsid w:val="00C147BE"/>
    <w:rsid w:val="00C14977"/>
    <w:rsid w:val="00C14982"/>
    <w:rsid w:val="00C14A9E"/>
    <w:rsid w:val="00C14CCB"/>
    <w:rsid w:val="00C14E10"/>
    <w:rsid w:val="00C14F4C"/>
    <w:rsid w:val="00C15069"/>
    <w:rsid w:val="00C1522A"/>
    <w:rsid w:val="00C15239"/>
    <w:rsid w:val="00C15362"/>
    <w:rsid w:val="00C155BD"/>
    <w:rsid w:val="00C1582D"/>
    <w:rsid w:val="00C15873"/>
    <w:rsid w:val="00C158D0"/>
    <w:rsid w:val="00C15A7E"/>
    <w:rsid w:val="00C15ADB"/>
    <w:rsid w:val="00C15E58"/>
    <w:rsid w:val="00C16213"/>
    <w:rsid w:val="00C1633B"/>
    <w:rsid w:val="00C16435"/>
    <w:rsid w:val="00C164C3"/>
    <w:rsid w:val="00C16684"/>
    <w:rsid w:val="00C167D8"/>
    <w:rsid w:val="00C1681D"/>
    <w:rsid w:val="00C169CA"/>
    <w:rsid w:val="00C16B6D"/>
    <w:rsid w:val="00C17467"/>
    <w:rsid w:val="00C17596"/>
    <w:rsid w:val="00C175B6"/>
    <w:rsid w:val="00C1767D"/>
    <w:rsid w:val="00C17A3A"/>
    <w:rsid w:val="00C17B74"/>
    <w:rsid w:val="00C17C8A"/>
    <w:rsid w:val="00C17D75"/>
    <w:rsid w:val="00C17F12"/>
    <w:rsid w:val="00C17FDD"/>
    <w:rsid w:val="00C20277"/>
    <w:rsid w:val="00C20319"/>
    <w:rsid w:val="00C20444"/>
    <w:rsid w:val="00C2045E"/>
    <w:rsid w:val="00C2046D"/>
    <w:rsid w:val="00C204B2"/>
    <w:rsid w:val="00C207C5"/>
    <w:rsid w:val="00C20963"/>
    <w:rsid w:val="00C20C3C"/>
    <w:rsid w:val="00C20DC1"/>
    <w:rsid w:val="00C20E52"/>
    <w:rsid w:val="00C210FC"/>
    <w:rsid w:val="00C212AF"/>
    <w:rsid w:val="00C21393"/>
    <w:rsid w:val="00C21434"/>
    <w:rsid w:val="00C2145C"/>
    <w:rsid w:val="00C21596"/>
    <w:rsid w:val="00C215C3"/>
    <w:rsid w:val="00C21647"/>
    <w:rsid w:val="00C21755"/>
    <w:rsid w:val="00C2176B"/>
    <w:rsid w:val="00C21770"/>
    <w:rsid w:val="00C218A4"/>
    <w:rsid w:val="00C219A4"/>
    <w:rsid w:val="00C21A10"/>
    <w:rsid w:val="00C21A6A"/>
    <w:rsid w:val="00C21ADF"/>
    <w:rsid w:val="00C21E4B"/>
    <w:rsid w:val="00C22036"/>
    <w:rsid w:val="00C22136"/>
    <w:rsid w:val="00C22516"/>
    <w:rsid w:val="00C22708"/>
    <w:rsid w:val="00C22A64"/>
    <w:rsid w:val="00C22AC8"/>
    <w:rsid w:val="00C22BB5"/>
    <w:rsid w:val="00C22C0B"/>
    <w:rsid w:val="00C22CF6"/>
    <w:rsid w:val="00C22DBA"/>
    <w:rsid w:val="00C22E78"/>
    <w:rsid w:val="00C231B5"/>
    <w:rsid w:val="00C23462"/>
    <w:rsid w:val="00C2350C"/>
    <w:rsid w:val="00C23954"/>
    <w:rsid w:val="00C23A64"/>
    <w:rsid w:val="00C23D87"/>
    <w:rsid w:val="00C23F76"/>
    <w:rsid w:val="00C2400F"/>
    <w:rsid w:val="00C24759"/>
    <w:rsid w:val="00C24892"/>
    <w:rsid w:val="00C249C8"/>
    <w:rsid w:val="00C249EB"/>
    <w:rsid w:val="00C24B37"/>
    <w:rsid w:val="00C24C3A"/>
    <w:rsid w:val="00C24DB5"/>
    <w:rsid w:val="00C24E80"/>
    <w:rsid w:val="00C24FB5"/>
    <w:rsid w:val="00C25030"/>
    <w:rsid w:val="00C250BB"/>
    <w:rsid w:val="00C250EA"/>
    <w:rsid w:val="00C25233"/>
    <w:rsid w:val="00C2551C"/>
    <w:rsid w:val="00C257A5"/>
    <w:rsid w:val="00C25963"/>
    <w:rsid w:val="00C25BCC"/>
    <w:rsid w:val="00C25C61"/>
    <w:rsid w:val="00C25F51"/>
    <w:rsid w:val="00C25F77"/>
    <w:rsid w:val="00C261E7"/>
    <w:rsid w:val="00C261FB"/>
    <w:rsid w:val="00C26260"/>
    <w:rsid w:val="00C26597"/>
    <w:rsid w:val="00C26808"/>
    <w:rsid w:val="00C26A13"/>
    <w:rsid w:val="00C26AB1"/>
    <w:rsid w:val="00C26BA2"/>
    <w:rsid w:val="00C26CA6"/>
    <w:rsid w:val="00C26D0D"/>
    <w:rsid w:val="00C26E12"/>
    <w:rsid w:val="00C2706C"/>
    <w:rsid w:val="00C270B2"/>
    <w:rsid w:val="00C27320"/>
    <w:rsid w:val="00C27511"/>
    <w:rsid w:val="00C2759C"/>
    <w:rsid w:val="00C27AC6"/>
    <w:rsid w:val="00C27C37"/>
    <w:rsid w:val="00C27F62"/>
    <w:rsid w:val="00C300BD"/>
    <w:rsid w:val="00C3036E"/>
    <w:rsid w:val="00C30397"/>
    <w:rsid w:val="00C304B8"/>
    <w:rsid w:val="00C3057E"/>
    <w:rsid w:val="00C308C2"/>
    <w:rsid w:val="00C30B2D"/>
    <w:rsid w:val="00C30B4A"/>
    <w:rsid w:val="00C30D4E"/>
    <w:rsid w:val="00C3109C"/>
    <w:rsid w:val="00C312CD"/>
    <w:rsid w:val="00C31543"/>
    <w:rsid w:val="00C31607"/>
    <w:rsid w:val="00C3176C"/>
    <w:rsid w:val="00C31771"/>
    <w:rsid w:val="00C31BED"/>
    <w:rsid w:val="00C31CAA"/>
    <w:rsid w:val="00C31CE1"/>
    <w:rsid w:val="00C31D07"/>
    <w:rsid w:val="00C31D3E"/>
    <w:rsid w:val="00C31DAA"/>
    <w:rsid w:val="00C31FA0"/>
    <w:rsid w:val="00C320A1"/>
    <w:rsid w:val="00C320C2"/>
    <w:rsid w:val="00C32110"/>
    <w:rsid w:val="00C321F6"/>
    <w:rsid w:val="00C322E4"/>
    <w:rsid w:val="00C3244A"/>
    <w:rsid w:val="00C32531"/>
    <w:rsid w:val="00C32695"/>
    <w:rsid w:val="00C329C5"/>
    <w:rsid w:val="00C32A97"/>
    <w:rsid w:val="00C32BF8"/>
    <w:rsid w:val="00C32EB3"/>
    <w:rsid w:val="00C33124"/>
    <w:rsid w:val="00C3315E"/>
    <w:rsid w:val="00C33244"/>
    <w:rsid w:val="00C332E7"/>
    <w:rsid w:val="00C335D7"/>
    <w:rsid w:val="00C336BC"/>
    <w:rsid w:val="00C338C0"/>
    <w:rsid w:val="00C339B2"/>
    <w:rsid w:val="00C339E9"/>
    <w:rsid w:val="00C33A44"/>
    <w:rsid w:val="00C33B12"/>
    <w:rsid w:val="00C33BF1"/>
    <w:rsid w:val="00C33C26"/>
    <w:rsid w:val="00C33C8A"/>
    <w:rsid w:val="00C33E22"/>
    <w:rsid w:val="00C33F61"/>
    <w:rsid w:val="00C344A7"/>
    <w:rsid w:val="00C34571"/>
    <w:rsid w:val="00C347FF"/>
    <w:rsid w:val="00C34939"/>
    <w:rsid w:val="00C34B22"/>
    <w:rsid w:val="00C34CFE"/>
    <w:rsid w:val="00C34F0C"/>
    <w:rsid w:val="00C35047"/>
    <w:rsid w:val="00C35056"/>
    <w:rsid w:val="00C350A2"/>
    <w:rsid w:val="00C353EC"/>
    <w:rsid w:val="00C35820"/>
    <w:rsid w:val="00C35F39"/>
    <w:rsid w:val="00C35F86"/>
    <w:rsid w:val="00C360F4"/>
    <w:rsid w:val="00C36321"/>
    <w:rsid w:val="00C363E8"/>
    <w:rsid w:val="00C3640B"/>
    <w:rsid w:val="00C3665C"/>
    <w:rsid w:val="00C36BEE"/>
    <w:rsid w:val="00C36CE5"/>
    <w:rsid w:val="00C36FB9"/>
    <w:rsid w:val="00C373D5"/>
    <w:rsid w:val="00C37517"/>
    <w:rsid w:val="00C3765F"/>
    <w:rsid w:val="00C3767C"/>
    <w:rsid w:val="00C37838"/>
    <w:rsid w:val="00C37AE0"/>
    <w:rsid w:val="00C37E23"/>
    <w:rsid w:val="00C40216"/>
    <w:rsid w:val="00C40256"/>
    <w:rsid w:val="00C4059F"/>
    <w:rsid w:val="00C40618"/>
    <w:rsid w:val="00C4082C"/>
    <w:rsid w:val="00C40923"/>
    <w:rsid w:val="00C40ACF"/>
    <w:rsid w:val="00C40C97"/>
    <w:rsid w:val="00C40D96"/>
    <w:rsid w:val="00C40F9B"/>
    <w:rsid w:val="00C40FF9"/>
    <w:rsid w:val="00C410E1"/>
    <w:rsid w:val="00C41283"/>
    <w:rsid w:val="00C415BF"/>
    <w:rsid w:val="00C41709"/>
    <w:rsid w:val="00C417F7"/>
    <w:rsid w:val="00C41847"/>
    <w:rsid w:val="00C41BF1"/>
    <w:rsid w:val="00C41C46"/>
    <w:rsid w:val="00C41C98"/>
    <w:rsid w:val="00C41DAA"/>
    <w:rsid w:val="00C41E24"/>
    <w:rsid w:val="00C41E74"/>
    <w:rsid w:val="00C41E8A"/>
    <w:rsid w:val="00C422BE"/>
    <w:rsid w:val="00C42431"/>
    <w:rsid w:val="00C427A5"/>
    <w:rsid w:val="00C42981"/>
    <w:rsid w:val="00C4299E"/>
    <w:rsid w:val="00C429A7"/>
    <w:rsid w:val="00C429C8"/>
    <w:rsid w:val="00C42D5D"/>
    <w:rsid w:val="00C42DE8"/>
    <w:rsid w:val="00C42E06"/>
    <w:rsid w:val="00C42F25"/>
    <w:rsid w:val="00C4305D"/>
    <w:rsid w:val="00C43249"/>
    <w:rsid w:val="00C432B9"/>
    <w:rsid w:val="00C432DE"/>
    <w:rsid w:val="00C43371"/>
    <w:rsid w:val="00C43423"/>
    <w:rsid w:val="00C43434"/>
    <w:rsid w:val="00C43815"/>
    <w:rsid w:val="00C439CC"/>
    <w:rsid w:val="00C43A07"/>
    <w:rsid w:val="00C43A56"/>
    <w:rsid w:val="00C43ADC"/>
    <w:rsid w:val="00C43CF9"/>
    <w:rsid w:val="00C43E1B"/>
    <w:rsid w:val="00C44278"/>
    <w:rsid w:val="00C442CA"/>
    <w:rsid w:val="00C4439A"/>
    <w:rsid w:val="00C44400"/>
    <w:rsid w:val="00C44425"/>
    <w:rsid w:val="00C44464"/>
    <w:rsid w:val="00C445C5"/>
    <w:rsid w:val="00C446C4"/>
    <w:rsid w:val="00C44838"/>
    <w:rsid w:val="00C44A73"/>
    <w:rsid w:val="00C44D3F"/>
    <w:rsid w:val="00C44F03"/>
    <w:rsid w:val="00C44FC8"/>
    <w:rsid w:val="00C45054"/>
    <w:rsid w:val="00C4507D"/>
    <w:rsid w:val="00C45258"/>
    <w:rsid w:val="00C45582"/>
    <w:rsid w:val="00C4577E"/>
    <w:rsid w:val="00C459C4"/>
    <w:rsid w:val="00C45A1F"/>
    <w:rsid w:val="00C45DA9"/>
    <w:rsid w:val="00C45E26"/>
    <w:rsid w:val="00C45FEA"/>
    <w:rsid w:val="00C46280"/>
    <w:rsid w:val="00C46342"/>
    <w:rsid w:val="00C46411"/>
    <w:rsid w:val="00C46455"/>
    <w:rsid w:val="00C464AE"/>
    <w:rsid w:val="00C464CB"/>
    <w:rsid w:val="00C465DD"/>
    <w:rsid w:val="00C46695"/>
    <w:rsid w:val="00C468EA"/>
    <w:rsid w:val="00C468F3"/>
    <w:rsid w:val="00C46AC4"/>
    <w:rsid w:val="00C46AF0"/>
    <w:rsid w:val="00C46AF2"/>
    <w:rsid w:val="00C46B62"/>
    <w:rsid w:val="00C47105"/>
    <w:rsid w:val="00C476B3"/>
    <w:rsid w:val="00C479D2"/>
    <w:rsid w:val="00C47A3C"/>
    <w:rsid w:val="00C47A77"/>
    <w:rsid w:val="00C47B74"/>
    <w:rsid w:val="00C47FB5"/>
    <w:rsid w:val="00C5002A"/>
    <w:rsid w:val="00C500CC"/>
    <w:rsid w:val="00C50148"/>
    <w:rsid w:val="00C50178"/>
    <w:rsid w:val="00C5064E"/>
    <w:rsid w:val="00C507A3"/>
    <w:rsid w:val="00C508E1"/>
    <w:rsid w:val="00C5094D"/>
    <w:rsid w:val="00C50972"/>
    <w:rsid w:val="00C5099A"/>
    <w:rsid w:val="00C50AE3"/>
    <w:rsid w:val="00C50AFA"/>
    <w:rsid w:val="00C50D24"/>
    <w:rsid w:val="00C50E13"/>
    <w:rsid w:val="00C50E89"/>
    <w:rsid w:val="00C50EC0"/>
    <w:rsid w:val="00C50F32"/>
    <w:rsid w:val="00C50FAC"/>
    <w:rsid w:val="00C50FFB"/>
    <w:rsid w:val="00C5121E"/>
    <w:rsid w:val="00C5123C"/>
    <w:rsid w:val="00C5134D"/>
    <w:rsid w:val="00C5140B"/>
    <w:rsid w:val="00C51411"/>
    <w:rsid w:val="00C514C4"/>
    <w:rsid w:val="00C515F1"/>
    <w:rsid w:val="00C51710"/>
    <w:rsid w:val="00C51744"/>
    <w:rsid w:val="00C519AF"/>
    <w:rsid w:val="00C519E9"/>
    <w:rsid w:val="00C51AB5"/>
    <w:rsid w:val="00C51D19"/>
    <w:rsid w:val="00C51DE3"/>
    <w:rsid w:val="00C51ED1"/>
    <w:rsid w:val="00C51FC4"/>
    <w:rsid w:val="00C5239C"/>
    <w:rsid w:val="00C52452"/>
    <w:rsid w:val="00C52506"/>
    <w:rsid w:val="00C525A6"/>
    <w:rsid w:val="00C529F8"/>
    <w:rsid w:val="00C52ABD"/>
    <w:rsid w:val="00C52B05"/>
    <w:rsid w:val="00C52BB4"/>
    <w:rsid w:val="00C52DB3"/>
    <w:rsid w:val="00C52DFB"/>
    <w:rsid w:val="00C52ECA"/>
    <w:rsid w:val="00C52F56"/>
    <w:rsid w:val="00C530AA"/>
    <w:rsid w:val="00C531CC"/>
    <w:rsid w:val="00C53530"/>
    <w:rsid w:val="00C536E6"/>
    <w:rsid w:val="00C53903"/>
    <w:rsid w:val="00C53C68"/>
    <w:rsid w:val="00C53D6D"/>
    <w:rsid w:val="00C53D96"/>
    <w:rsid w:val="00C5414D"/>
    <w:rsid w:val="00C5425C"/>
    <w:rsid w:val="00C543CB"/>
    <w:rsid w:val="00C544EF"/>
    <w:rsid w:val="00C546B9"/>
    <w:rsid w:val="00C5478B"/>
    <w:rsid w:val="00C54940"/>
    <w:rsid w:val="00C5499B"/>
    <w:rsid w:val="00C54B59"/>
    <w:rsid w:val="00C54C91"/>
    <w:rsid w:val="00C54CA9"/>
    <w:rsid w:val="00C54EF3"/>
    <w:rsid w:val="00C5512E"/>
    <w:rsid w:val="00C551EA"/>
    <w:rsid w:val="00C55563"/>
    <w:rsid w:val="00C55585"/>
    <w:rsid w:val="00C559A4"/>
    <w:rsid w:val="00C55AD5"/>
    <w:rsid w:val="00C55E0B"/>
    <w:rsid w:val="00C55EF5"/>
    <w:rsid w:val="00C56102"/>
    <w:rsid w:val="00C561B8"/>
    <w:rsid w:val="00C5621C"/>
    <w:rsid w:val="00C562C6"/>
    <w:rsid w:val="00C562FF"/>
    <w:rsid w:val="00C563E5"/>
    <w:rsid w:val="00C564C5"/>
    <w:rsid w:val="00C565C6"/>
    <w:rsid w:val="00C5697D"/>
    <w:rsid w:val="00C56AA0"/>
    <w:rsid w:val="00C56D7A"/>
    <w:rsid w:val="00C56DD8"/>
    <w:rsid w:val="00C56F31"/>
    <w:rsid w:val="00C56F6A"/>
    <w:rsid w:val="00C570AC"/>
    <w:rsid w:val="00C570C1"/>
    <w:rsid w:val="00C57246"/>
    <w:rsid w:val="00C573C8"/>
    <w:rsid w:val="00C57457"/>
    <w:rsid w:val="00C5771E"/>
    <w:rsid w:val="00C57804"/>
    <w:rsid w:val="00C578D4"/>
    <w:rsid w:val="00C579B3"/>
    <w:rsid w:val="00C57A36"/>
    <w:rsid w:val="00C57A57"/>
    <w:rsid w:val="00C57E46"/>
    <w:rsid w:val="00C57FB3"/>
    <w:rsid w:val="00C600F2"/>
    <w:rsid w:val="00C6010F"/>
    <w:rsid w:val="00C60110"/>
    <w:rsid w:val="00C60162"/>
    <w:rsid w:val="00C601F3"/>
    <w:rsid w:val="00C60213"/>
    <w:rsid w:val="00C60216"/>
    <w:rsid w:val="00C608ED"/>
    <w:rsid w:val="00C60998"/>
    <w:rsid w:val="00C60B54"/>
    <w:rsid w:val="00C60BAA"/>
    <w:rsid w:val="00C60CAD"/>
    <w:rsid w:val="00C60F5F"/>
    <w:rsid w:val="00C61139"/>
    <w:rsid w:val="00C61191"/>
    <w:rsid w:val="00C6129D"/>
    <w:rsid w:val="00C6130C"/>
    <w:rsid w:val="00C61396"/>
    <w:rsid w:val="00C6148E"/>
    <w:rsid w:val="00C615A6"/>
    <w:rsid w:val="00C61659"/>
    <w:rsid w:val="00C61886"/>
    <w:rsid w:val="00C618AB"/>
    <w:rsid w:val="00C61B4D"/>
    <w:rsid w:val="00C62122"/>
    <w:rsid w:val="00C62737"/>
    <w:rsid w:val="00C62883"/>
    <w:rsid w:val="00C628D1"/>
    <w:rsid w:val="00C63083"/>
    <w:rsid w:val="00C63203"/>
    <w:rsid w:val="00C63212"/>
    <w:rsid w:val="00C63364"/>
    <w:rsid w:val="00C633F9"/>
    <w:rsid w:val="00C63518"/>
    <w:rsid w:val="00C63574"/>
    <w:rsid w:val="00C6385C"/>
    <w:rsid w:val="00C639F2"/>
    <w:rsid w:val="00C63A16"/>
    <w:rsid w:val="00C63ADA"/>
    <w:rsid w:val="00C63D02"/>
    <w:rsid w:val="00C63D15"/>
    <w:rsid w:val="00C63D16"/>
    <w:rsid w:val="00C63DC5"/>
    <w:rsid w:val="00C63DEB"/>
    <w:rsid w:val="00C63FCB"/>
    <w:rsid w:val="00C640B0"/>
    <w:rsid w:val="00C640B1"/>
    <w:rsid w:val="00C64207"/>
    <w:rsid w:val="00C6432A"/>
    <w:rsid w:val="00C6437F"/>
    <w:rsid w:val="00C644C3"/>
    <w:rsid w:val="00C644F4"/>
    <w:rsid w:val="00C6469C"/>
    <w:rsid w:val="00C64788"/>
    <w:rsid w:val="00C64887"/>
    <w:rsid w:val="00C64B1B"/>
    <w:rsid w:val="00C64B6F"/>
    <w:rsid w:val="00C64D16"/>
    <w:rsid w:val="00C64DB6"/>
    <w:rsid w:val="00C64EAF"/>
    <w:rsid w:val="00C64EDF"/>
    <w:rsid w:val="00C64F71"/>
    <w:rsid w:val="00C651C1"/>
    <w:rsid w:val="00C6544E"/>
    <w:rsid w:val="00C65451"/>
    <w:rsid w:val="00C65459"/>
    <w:rsid w:val="00C659AD"/>
    <w:rsid w:val="00C65A15"/>
    <w:rsid w:val="00C65A63"/>
    <w:rsid w:val="00C65DCE"/>
    <w:rsid w:val="00C65E62"/>
    <w:rsid w:val="00C65F29"/>
    <w:rsid w:val="00C65FD9"/>
    <w:rsid w:val="00C66374"/>
    <w:rsid w:val="00C663CC"/>
    <w:rsid w:val="00C663EF"/>
    <w:rsid w:val="00C664C5"/>
    <w:rsid w:val="00C6674C"/>
    <w:rsid w:val="00C66925"/>
    <w:rsid w:val="00C66A7E"/>
    <w:rsid w:val="00C66A8E"/>
    <w:rsid w:val="00C66BD1"/>
    <w:rsid w:val="00C66BDD"/>
    <w:rsid w:val="00C66CC3"/>
    <w:rsid w:val="00C66E20"/>
    <w:rsid w:val="00C6740E"/>
    <w:rsid w:val="00C674D9"/>
    <w:rsid w:val="00C67664"/>
    <w:rsid w:val="00C678DB"/>
    <w:rsid w:val="00C67BCC"/>
    <w:rsid w:val="00C67C9E"/>
    <w:rsid w:val="00C67CAE"/>
    <w:rsid w:val="00C67CE4"/>
    <w:rsid w:val="00C67CFB"/>
    <w:rsid w:val="00C67E8F"/>
    <w:rsid w:val="00C701FB"/>
    <w:rsid w:val="00C7022B"/>
    <w:rsid w:val="00C70231"/>
    <w:rsid w:val="00C70293"/>
    <w:rsid w:val="00C7032D"/>
    <w:rsid w:val="00C703A5"/>
    <w:rsid w:val="00C70A60"/>
    <w:rsid w:val="00C70A9E"/>
    <w:rsid w:val="00C70AA5"/>
    <w:rsid w:val="00C70C71"/>
    <w:rsid w:val="00C70DD7"/>
    <w:rsid w:val="00C71048"/>
    <w:rsid w:val="00C711B2"/>
    <w:rsid w:val="00C7128E"/>
    <w:rsid w:val="00C7132F"/>
    <w:rsid w:val="00C71667"/>
    <w:rsid w:val="00C71CAB"/>
    <w:rsid w:val="00C71E2B"/>
    <w:rsid w:val="00C71FC9"/>
    <w:rsid w:val="00C71FE2"/>
    <w:rsid w:val="00C72293"/>
    <w:rsid w:val="00C724E9"/>
    <w:rsid w:val="00C725F4"/>
    <w:rsid w:val="00C7267A"/>
    <w:rsid w:val="00C72804"/>
    <w:rsid w:val="00C728FB"/>
    <w:rsid w:val="00C728FF"/>
    <w:rsid w:val="00C72A30"/>
    <w:rsid w:val="00C72C78"/>
    <w:rsid w:val="00C7303C"/>
    <w:rsid w:val="00C730F8"/>
    <w:rsid w:val="00C731A2"/>
    <w:rsid w:val="00C7354F"/>
    <w:rsid w:val="00C73731"/>
    <w:rsid w:val="00C73753"/>
    <w:rsid w:val="00C73945"/>
    <w:rsid w:val="00C73C2E"/>
    <w:rsid w:val="00C73C7F"/>
    <w:rsid w:val="00C73E41"/>
    <w:rsid w:val="00C74021"/>
    <w:rsid w:val="00C7411A"/>
    <w:rsid w:val="00C744AB"/>
    <w:rsid w:val="00C7480E"/>
    <w:rsid w:val="00C7487B"/>
    <w:rsid w:val="00C74AA9"/>
    <w:rsid w:val="00C74F2A"/>
    <w:rsid w:val="00C74F33"/>
    <w:rsid w:val="00C74FC4"/>
    <w:rsid w:val="00C75228"/>
    <w:rsid w:val="00C75261"/>
    <w:rsid w:val="00C752B4"/>
    <w:rsid w:val="00C75713"/>
    <w:rsid w:val="00C75A51"/>
    <w:rsid w:val="00C75A62"/>
    <w:rsid w:val="00C75B35"/>
    <w:rsid w:val="00C75B75"/>
    <w:rsid w:val="00C75E33"/>
    <w:rsid w:val="00C761D2"/>
    <w:rsid w:val="00C7629E"/>
    <w:rsid w:val="00C7630F"/>
    <w:rsid w:val="00C76993"/>
    <w:rsid w:val="00C770BA"/>
    <w:rsid w:val="00C771F8"/>
    <w:rsid w:val="00C772EC"/>
    <w:rsid w:val="00C77458"/>
    <w:rsid w:val="00C774EA"/>
    <w:rsid w:val="00C77503"/>
    <w:rsid w:val="00C77C2B"/>
    <w:rsid w:val="00C77E18"/>
    <w:rsid w:val="00C77F10"/>
    <w:rsid w:val="00C77F65"/>
    <w:rsid w:val="00C80073"/>
    <w:rsid w:val="00C80216"/>
    <w:rsid w:val="00C803FB"/>
    <w:rsid w:val="00C8058C"/>
    <w:rsid w:val="00C8091F"/>
    <w:rsid w:val="00C8097F"/>
    <w:rsid w:val="00C80988"/>
    <w:rsid w:val="00C80B9F"/>
    <w:rsid w:val="00C80C80"/>
    <w:rsid w:val="00C80CB6"/>
    <w:rsid w:val="00C80D6E"/>
    <w:rsid w:val="00C80DFA"/>
    <w:rsid w:val="00C80E9D"/>
    <w:rsid w:val="00C80EBF"/>
    <w:rsid w:val="00C810C6"/>
    <w:rsid w:val="00C81109"/>
    <w:rsid w:val="00C814D3"/>
    <w:rsid w:val="00C815FF"/>
    <w:rsid w:val="00C81605"/>
    <w:rsid w:val="00C81801"/>
    <w:rsid w:val="00C81871"/>
    <w:rsid w:val="00C81BDF"/>
    <w:rsid w:val="00C81D80"/>
    <w:rsid w:val="00C81DBB"/>
    <w:rsid w:val="00C820D7"/>
    <w:rsid w:val="00C822DF"/>
    <w:rsid w:val="00C82635"/>
    <w:rsid w:val="00C82A77"/>
    <w:rsid w:val="00C82C83"/>
    <w:rsid w:val="00C82CA8"/>
    <w:rsid w:val="00C82D05"/>
    <w:rsid w:val="00C82D98"/>
    <w:rsid w:val="00C8301C"/>
    <w:rsid w:val="00C83047"/>
    <w:rsid w:val="00C830D0"/>
    <w:rsid w:val="00C8310D"/>
    <w:rsid w:val="00C83135"/>
    <w:rsid w:val="00C831D0"/>
    <w:rsid w:val="00C83337"/>
    <w:rsid w:val="00C8356A"/>
    <w:rsid w:val="00C83612"/>
    <w:rsid w:val="00C8374A"/>
    <w:rsid w:val="00C8374B"/>
    <w:rsid w:val="00C83806"/>
    <w:rsid w:val="00C83876"/>
    <w:rsid w:val="00C83ABD"/>
    <w:rsid w:val="00C83E3C"/>
    <w:rsid w:val="00C83E55"/>
    <w:rsid w:val="00C842E1"/>
    <w:rsid w:val="00C8437D"/>
    <w:rsid w:val="00C8440E"/>
    <w:rsid w:val="00C844CD"/>
    <w:rsid w:val="00C84520"/>
    <w:rsid w:val="00C8482B"/>
    <w:rsid w:val="00C849D2"/>
    <w:rsid w:val="00C84B67"/>
    <w:rsid w:val="00C84BF4"/>
    <w:rsid w:val="00C84C15"/>
    <w:rsid w:val="00C84C5E"/>
    <w:rsid w:val="00C84DAB"/>
    <w:rsid w:val="00C84FA0"/>
    <w:rsid w:val="00C850B5"/>
    <w:rsid w:val="00C85101"/>
    <w:rsid w:val="00C852F1"/>
    <w:rsid w:val="00C85499"/>
    <w:rsid w:val="00C85539"/>
    <w:rsid w:val="00C85DDE"/>
    <w:rsid w:val="00C85E4E"/>
    <w:rsid w:val="00C85EB0"/>
    <w:rsid w:val="00C85EDD"/>
    <w:rsid w:val="00C85FF3"/>
    <w:rsid w:val="00C860A1"/>
    <w:rsid w:val="00C863DA"/>
    <w:rsid w:val="00C86883"/>
    <w:rsid w:val="00C8689B"/>
    <w:rsid w:val="00C8699E"/>
    <w:rsid w:val="00C86B99"/>
    <w:rsid w:val="00C86D85"/>
    <w:rsid w:val="00C86E07"/>
    <w:rsid w:val="00C86EB9"/>
    <w:rsid w:val="00C86F13"/>
    <w:rsid w:val="00C86F44"/>
    <w:rsid w:val="00C86F8F"/>
    <w:rsid w:val="00C8708F"/>
    <w:rsid w:val="00C87240"/>
    <w:rsid w:val="00C87472"/>
    <w:rsid w:val="00C874DA"/>
    <w:rsid w:val="00C8767B"/>
    <w:rsid w:val="00C87732"/>
    <w:rsid w:val="00C877C8"/>
    <w:rsid w:val="00C87BFF"/>
    <w:rsid w:val="00C900B2"/>
    <w:rsid w:val="00C903AC"/>
    <w:rsid w:val="00C90486"/>
    <w:rsid w:val="00C906A3"/>
    <w:rsid w:val="00C90AEF"/>
    <w:rsid w:val="00C90B3A"/>
    <w:rsid w:val="00C90BEA"/>
    <w:rsid w:val="00C90CE8"/>
    <w:rsid w:val="00C90D28"/>
    <w:rsid w:val="00C90E61"/>
    <w:rsid w:val="00C90F0F"/>
    <w:rsid w:val="00C90FC4"/>
    <w:rsid w:val="00C91217"/>
    <w:rsid w:val="00C91298"/>
    <w:rsid w:val="00C912EF"/>
    <w:rsid w:val="00C9134F"/>
    <w:rsid w:val="00C9139B"/>
    <w:rsid w:val="00C91AFB"/>
    <w:rsid w:val="00C91B52"/>
    <w:rsid w:val="00C91E14"/>
    <w:rsid w:val="00C91FFF"/>
    <w:rsid w:val="00C92141"/>
    <w:rsid w:val="00C9250F"/>
    <w:rsid w:val="00C926A8"/>
    <w:rsid w:val="00C9296F"/>
    <w:rsid w:val="00C929BF"/>
    <w:rsid w:val="00C92BFF"/>
    <w:rsid w:val="00C92C0D"/>
    <w:rsid w:val="00C92C2E"/>
    <w:rsid w:val="00C92C31"/>
    <w:rsid w:val="00C92E2B"/>
    <w:rsid w:val="00C92E32"/>
    <w:rsid w:val="00C92EAA"/>
    <w:rsid w:val="00C93212"/>
    <w:rsid w:val="00C932CB"/>
    <w:rsid w:val="00C93468"/>
    <w:rsid w:val="00C93548"/>
    <w:rsid w:val="00C93A76"/>
    <w:rsid w:val="00C93CF5"/>
    <w:rsid w:val="00C9424F"/>
    <w:rsid w:val="00C943D7"/>
    <w:rsid w:val="00C9442C"/>
    <w:rsid w:val="00C944A2"/>
    <w:rsid w:val="00C94566"/>
    <w:rsid w:val="00C945FF"/>
    <w:rsid w:val="00C94684"/>
    <w:rsid w:val="00C946F4"/>
    <w:rsid w:val="00C9485C"/>
    <w:rsid w:val="00C948AC"/>
    <w:rsid w:val="00C9497E"/>
    <w:rsid w:val="00C94A4C"/>
    <w:rsid w:val="00C94A66"/>
    <w:rsid w:val="00C94B29"/>
    <w:rsid w:val="00C94D56"/>
    <w:rsid w:val="00C94DB9"/>
    <w:rsid w:val="00C94E56"/>
    <w:rsid w:val="00C94EEE"/>
    <w:rsid w:val="00C95287"/>
    <w:rsid w:val="00C9535D"/>
    <w:rsid w:val="00C953B6"/>
    <w:rsid w:val="00C956A3"/>
    <w:rsid w:val="00C9595B"/>
    <w:rsid w:val="00C95984"/>
    <w:rsid w:val="00C95D65"/>
    <w:rsid w:val="00C95EDF"/>
    <w:rsid w:val="00C9612A"/>
    <w:rsid w:val="00C962C6"/>
    <w:rsid w:val="00C9631A"/>
    <w:rsid w:val="00C963B3"/>
    <w:rsid w:val="00C963E5"/>
    <w:rsid w:val="00C96487"/>
    <w:rsid w:val="00C964AB"/>
    <w:rsid w:val="00C965C3"/>
    <w:rsid w:val="00C96889"/>
    <w:rsid w:val="00C968E3"/>
    <w:rsid w:val="00C969F9"/>
    <w:rsid w:val="00C96A24"/>
    <w:rsid w:val="00C96E61"/>
    <w:rsid w:val="00C9726D"/>
    <w:rsid w:val="00C973A3"/>
    <w:rsid w:val="00C973C9"/>
    <w:rsid w:val="00C9799F"/>
    <w:rsid w:val="00C97B0F"/>
    <w:rsid w:val="00C97B39"/>
    <w:rsid w:val="00C97B9D"/>
    <w:rsid w:val="00C97C90"/>
    <w:rsid w:val="00C97CAD"/>
    <w:rsid w:val="00C97DBB"/>
    <w:rsid w:val="00CA00DE"/>
    <w:rsid w:val="00CA01C8"/>
    <w:rsid w:val="00CA0375"/>
    <w:rsid w:val="00CA059C"/>
    <w:rsid w:val="00CA07EA"/>
    <w:rsid w:val="00CA0991"/>
    <w:rsid w:val="00CA0B1C"/>
    <w:rsid w:val="00CA0B6D"/>
    <w:rsid w:val="00CA0BF5"/>
    <w:rsid w:val="00CA0C7B"/>
    <w:rsid w:val="00CA0F76"/>
    <w:rsid w:val="00CA0FAA"/>
    <w:rsid w:val="00CA0FF2"/>
    <w:rsid w:val="00CA11A3"/>
    <w:rsid w:val="00CA11AB"/>
    <w:rsid w:val="00CA1252"/>
    <w:rsid w:val="00CA13B6"/>
    <w:rsid w:val="00CA13D1"/>
    <w:rsid w:val="00CA1446"/>
    <w:rsid w:val="00CA1474"/>
    <w:rsid w:val="00CA14A4"/>
    <w:rsid w:val="00CA1A5C"/>
    <w:rsid w:val="00CA1A7F"/>
    <w:rsid w:val="00CA1AAB"/>
    <w:rsid w:val="00CA1B9A"/>
    <w:rsid w:val="00CA231C"/>
    <w:rsid w:val="00CA2445"/>
    <w:rsid w:val="00CA252B"/>
    <w:rsid w:val="00CA25CF"/>
    <w:rsid w:val="00CA2959"/>
    <w:rsid w:val="00CA2BCC"/>
    <w:rsid w:val="00CA2D2D"/>
    <w:rsid w:val="00CA2D43"/>
    <w:rsid w:val="00CA2F49"/>
    <w:rsid w:val="00CA3378"/>
    <w:rsid w:val="00CA3488"/>
    <w:rsid w:val="00CA35A7"/>
    <w:rsid w:val="00CA388A"/>
    <w:rsid w:val="00CA3D08"/>
    <w:rsid w:val="00CA42EB"/>
    <w:rsid w:val="00CA475C"/>
    <w:rsid w:val="00CA47A1"/>
    <w:rsid w:val="00CA4910"/>
    <w:rsid w:val="00CA4981"/>
    <w:rsid w:val="00CA4A5D"/>
    <w:rsid w:val="00CA4D40"/>
    <w:rsid w:val="00CA4D73"/>
    <w:rsid w:val="00CA4E14"/>
    <w:rsid w:val="00CA4E63"/>
    <w:rsid w:val="00CA4E6B"/>
    <w:rsid w:val="00CA4F2F"/>
    <w:rsid w:val="00CA4F52"/>
    <w:rsid w:val="00CA5025"/>
    <w:rsid w:val="00CA5122"/>
    <w:rsid w:val="00CA5123"/>
    <w:rsid w:val="00CA5265"/>
    <w:rsid w:val="00CA53AE"/>
    <w:rsid w:val="00CA53C2"/>
    <w:rsid w:val="00CA5685"/>
    <w:rsid w:val="00CA571D"/>
    <w:rsid w:val="00CA57BB"/>
    <w:rsid w:val="00CA5836"/>
    <w:rsid w:val="00CA59D9"/>
    <w:rsid w:val="00CA5A3C"/>
    <w:rsid w:val="00CA5AE5"/>
    <w:rsid w:val="00CA5B67"/>
    <w:rsid w:val="00CA5BFC"/>
    <w:rsid w:val="00CA5D6D"/>
    <w:rsid w:val="00CA5E1C"/>
    <w:rsid w:val="00CA5E66"/>
    <w:rsid w:val="00CA5EA3"/>
    <w:rsid w:val="00CA5FF1"/>
    <w:rsid w:val="00CA601D"/>
    <w:rsid w:val="00CA61E9"/>
    <w:rsid w:val="00CA64CF"/>
    <w:rsid w:val="00CA64EB"/>
    <w:rsid w:val="00CA65C2"/>
    <w:rsid w:val="00CA66D4"/>
    <w:rsid w:val="00CA6C96"/>
    <w:rsid w:val="00CA6D86"/>
    <w:rsid w:val="00CA6D96"/>
    <w:rsid w:val="00CA70DD"/>
    <w:rsid w:val="00CA7220"/>
    <w:rsid w:val="00CA725F"/>
    <w:rsid w:val="00CA78F7"/>
    <w:rsid w:val="00CA7AEF"/>
    <w:rsid w:val="00CA7B21"/>
    <w:rsid w:val="00CA7C01"/>
    <w:rsid w:val="00CA7C8F"/>
    <w:rsid w:val="00CA7D01"/>
    <w:rsid w:val="00CA7EA6"/>
    <w:rsid w:val="00CA7EAF"/>
    <w:rsid w:val="00CB0145"/>
    <w:rsid w:val="00CB0362"/>
    <w:rsid w:val="00CB0469"/>
    <w:rsid w:val="00CB056E"/>
    <w:rsid w:val="00CB05E9"/>
    <w:rsid w:val="00CB078B"/>
    <w:rsid w:val="00CB07A8"/>
    <w:rsid w:val="00CB0886"/>
    <w:rsid w:val="00CB0A30"/>
    <w:rsid w:val="00CB0A66"/>
    <w:rsid w:val="00CB0A89"/>
    <w:rsid w:val="00CB0B7C"/>
    <w:rsid w:val="00CB0C14"/>
    <w:rsid w:val="00CB0C49"/>
    <w:rsid w:val="00CB0C87"/>
    <w:rsid w:val="00CB0C90"/>
    <w:rsid w:val="00CB1083"/>
    <w:rsid w:val="00CB108C"/>
    <w:rsid w:val="00CB10C5"/>
    <w:rsid w:val="00CB1296"/>
    <w:rsid w:val="00CB1813"/>
    <w:rsid w:val="00CB1919"/>
    <w:rsid w:val="00CB1CAB"/>
    <w:rsid w:val="00CB1CEB"/>
    <w:rsid w:val="00CB1E21"/>
    <w:rsid w:val="00CB21DC"/>
    <w:rsid w:val="00CB2251"/>
    <w:rsid w:val="00CB2268"/>
    <w:rsid w:val="00CB252E"/>
    <w:rsid w:val="00CB25B4"/>
    <w:rsid w:val="00CB2615"/>
    <w:rsid w:val="00CB266A"/>
    <w:rsid w:val="00CB26C1"/>
    <w:rsid w:val="00CB2737"/>
    <w:rsid w:val="00CB29D2"/>
    <w:rsid w:val="00CB2C01"/>
    <w:rsid w:val="00CB2E13"/>
    <w:rsid w:val="00CB3041"/>
    <w:rsid w:val="00CB31D1"/>
    <w:rsid w:val="00CB32D5"/>
    <w:rsid w:val="00CB3427"/>
    <w:rsid w:val="00CB364C"/>
    <w:rsid w:val="00CB366D"/>
    <w:rsid w:val="00CB37F1"/>
    <w:rsid w:val="00CB3818"/>
    <w:rsid w:val="00CB3972"/>
    <w:rsid w:val="00CB3B44"/>
    <w:rsid w:val="00CB3C1E"/>
    <w:rsid w:val="00CB3C46"/>
    <w:rsid w:val="00CB3C4D"/>
    <w:rsid w:val="00CB3DAD"/>
    <w:rsid w:val="00CB3FAB"/>
    <w:rsid w:val="00CB3FFB"/>
    <w:rsid w:val="00CB43D6"/>
    <w:rsid w:val="00CB47F3"/>
    <w:rsid w:val="00CB485C"/>
    <w:rsid w:val="00CB4868"/>
    <w:rsid w:val="00CB4994"/>
    <w:rsid w:val="00CB49C5"/>
    <w:rsid w:val="00CB49C8"/>
    <w:rsid w:val="00CB4A30"/>
    <w:rsid w:val="00CB4A7C"/>
    <w:rsid w:val="00CB4FB1"/>
    <w:rsid w:val="00CB5009"/>
    <w:rsid w:val="00CB509A"/>
    <w:rsid w:val="00CB511F"/>
    <w:rsid w:val="00CB5185"/>
    <w:rsid w:val="00CB52C2"/>
    <w:rsid w:val="00CB53EA"/>
    <w:rsid w:val="00CB53ED"/>
    <w:rsid w:val="00CB55AA"/>
    <w:rsid w:val="00CB5753"/>
    <w:rsid w:val="00CB579A"/>
    <w:rsid w:val="00CB587D"/>
    <w:rsid w:val="00CB58A3"/>
    <w:rsid w:val="00CB5AB9"/>
    <w:rsid w:val="00CB5AEE"/>
    <w:rsid w:val="00CB5BB5"/>
    <w:rsid w:val="00CB5CA8"/>
    <w:rsid w:val="00CB5CFB"/>
    <w:rsid w:val="00CB5EBF"/>
    <w:rsid w:val="00CB5F26"/>
    <w:rsid w:val="00CB6182"/>
    <w:rsid w:val="00CB6924"/>
    <w:rsid w:val="00CB6A84"/>
    <w:rsid w:val="00CB6AFA"/>
    <w:rsid w:val="00CB6C4C"/>
    <w:rsid w:val="00CB6C93"/>
    <w:rsid w:val="00CB6F04"/>
    <w:rsid w:val="00CB6F57"/>
    <w:rsid w:val="00CB6F75"/>
    <w:rsid w:val="00CB7110"/>
    <w:rsid w:val="00CB7144"/>
    <w:rsid w:val="00CB7465"/>
    <w:rsid w:val="00CB76E9"/>
    <w:rsid w:val="00CB773D"/>
    <w:rsid w:val="00CB77DE"/>
    <w:rsid w:val="00CB78FE"/>
    <w:rsid w:val="00CB7A9E"/>
    <w:rsid w:val="00CB7C02"/>
    <w:rsid w:val="00CB7DA7"/>
    <w:rsid w:val="00CB7DB8"/>
    <w:rsid w:val="00CB7DE5"/>
    <w:rsid w:val="00CB7EA7"/>
    <w:rsid w:val="00CB7EFC"/>
    <w:rsid w:val="00CB7F95"/>
    <w:rsid w:val="00CC01D5"/>
    <w:rsid w:val="00CC0224"/>
    <w:rsid w:val="00CC0253"/>
    <w:rsid w:val="00CC0269"/>
    <w:rsid w:val="00CC02B5"/>
    <w:rsid w:val="00CC06FC"/>
    <w:rsid w:val="00CC07D9"/>
    <w:rsid w:val="00CC08E5"/>
    <w:rsid w:val="00CC09B2"/>
    <w:rsid w:val="00CC0ADA"/>
    <w:rsid w:val="00CC0AE8"/>
    <w:rsid w:val="00CC0BE1"/>
    <w:rsid w:val="00CC10DB"/>
    <w:rsid w:val="00CC11DD"/>
    <w:rsid w:val="00CC1235"/>
    <w:rsid w:val="00CC1891"/>
    <w:rsid w:val="00CC1A9D"/>
    <w:rsid w:val="00CC1BDF"/>
    <w:rsid w:val="00CC1C37"/>
    <w:rsid w:val="00CC1DC0"/>
    <w:rsid w:val="00CC1DE1"/>
    <w:rsid w:val="00CC1EF1"/>
    <w:rsid w:val="00CC1FE7"/>
    <w:rsid w:val="00CC21B7"/>
    <w:rsid w:val="00CC2246"/>
    <w:rsid w:val="00CC2434"/>
    <w:rsid w:val="00CC2453"/>
    <w:rsid w:val="00CC24FE"/>
    <w:rsid w:val="00CC255E"/>
    <w:rsid w:val="00CC271E"/>
    <w:rsid w:val="00CC2935"/>
    <w:rsid w:val="00CC29B5"/>
    <w:rsid w:val="00CC2C2C"/>
    <w:rsid w:val="00CC2DE1"/>
    <w:rsid w:val="00CC2E04"/>
    <w:rsid w:val="00CC2E14"/>
    <w:rsid w:val="00CC300A"/>
    <w:rsid w:val="00CC30DF"/>
    <w:rsid w:val="00CC3288"/>
    <w:rsid w:val="00CC36FD"/>
    <w:rsid w:val="00CC3815"/>
    <w:rsid w:val="00CC3A28"/>
    <w:rsid w:val="00CC3B12"/>
    <w:rsid w:val="00CC3B5C"/>
    <w:rsid w:val="00CC3BC8"/>
    <w:rsid w:val="00CC3C0D"/>
    <w:rsid w:val="00CC3C2B"/>
    <w:rsid w:val="00CC3CAC"/>
    <w:rsid w:val="00CC3DAE"/>
    <w:rsid w:val="00CC3EDB"/>
    <w:rsid w:val="00CC3F50"/>
    <w:rsid w:val="00CC3F7B"/>
    <w:rsid w:val="00CC402E"/>
    <w:rsid w:val="00CC4068"/>
    <w:rsid w:val="00CC4306"/>
    <w:rsid w:val="00CC44EA"/>
    <w:rsid w:val="00CC44F2"/>
    <w:rsid w:val="00CC4696"/>
    <w:rsid w:val="00CC470B"/>
    <w:rsid w:val="00CC4976"/>
    <w:rsid w:val="00CC4A15"/>
    <w:rsid w:val="00CC4A93"/>
    <w:rsid w:val="00CC4D23"/>
    <w:rsid w:val="00CC4FB2"/>
    <w:rsid w:val="00CC510A"/>
    <w:rsid w:val="00CC514A"/>
    <w:rsid w:val="00CC525B"/>
    <w:rsid w:val="00CC52CC"/>
    <w:rsid w:val="00CC5627"/>
    <w:rsid w:val="00CC56C8"/>
    <w:rsid w:val="00CC58FA"/>
    <w:rsid w:val="00CC590E"/>
    <w:rsid w:val="00CC591D"/>
    <w:rsid w:val="00CC5943"/>
    <w:rsid w:val="00CC5A36"/>
    <w:rsid w:val="00CC5B07"/>
    <w:rsid w:val="00CC5C13"/>
    <w:rsid w:val="00CC617F"/>
    <w:rsid w:val="00CC6206"/>
    <w:rsid w:val="00CC645D"/>
    <w:rsid w:val="00CC655A"/>
    <w:rsid w:val="00CC6602"/>
    <w:rsid w:val="00CC670E"/>
    <w:rsid w:val="00CC694F"/>
    <w:rsid w:val="00CC69BE"/>
    <w:rsid w:val="00CC6A63"/>
    <w:rsid w:val="00CC6A76"/>
    <w:rsid w:val="00CC6B0D"/>
    <w:rsid w:val="00CC6B25"/>
    <w:rsid w:val="00CC6B51"/>
    <w:rsid w:val="00CC6B9B"/>
    <w:rsid w:val="00CC6C4E"/>
    <w:rsid w:val="00CC6E6E"/>
    <w:rsid w:val="00CC6E96"/>
    <w:rsid w:val="00CC6F72"/>
    <w:rsid w:val="00CC7016"/>
    <w:rsid w:val="00CC704E"/>
    <w:rsid w:val="00CC7163"/>
    <w:rsid w:val="00CC7392"/>
    <w:rsid w:val="00CC748D"/>
    <w:rsid w:val="00CC7670"/>
    <w:rsid w:val="00CC775E"/>
    <w:rsid w:val="00CC777E"/>
    <w:rsid w:val="00CC7B21"/>
    <w:rsid w:val="00CC7D1C"/>
    <w:rsid w:val="00CC7D99"/>
    <w:rsid w:val="00CC7EAE"/>
    <w:rsid w:val="00CC7F0F"/>
    <w:rsid w:val="00CD0020"/>
    <w:rsid w:val="00CD00CC"/>
    <w:rsid w:val="00CD01E7"/>
    <w:rsid w:val="00CD0497"/>
    <w:rsid w:val="00CD04C8"/>
    <w:rsid w:val="00CD0516"/>
    <w:rsid w:val="00CD05C1"/>
    <w:rsid w:val="00CD0642"/>
    <w:rsid w:val="00CD084E"/>
    <w:rsid w:val="00CD0CE4"/>
    <w:rsid w:val="00CD0D43"/>
    <w:rsid w:val="00CD0D8D"/>
    <w:rsid w:val="00CD0DE3"/>
    <w:rsid w:val="00CD0ECC"/>
    <w:rsid w:val="00CD0FC3"/>
    <w:rsid w:val="00CD0FD8"/>
    <w:rsid w:val="00CD10EA"/>
    <w:rsid w:val="00CD13E8"/>
    <w:rsid w:val="00CD159F"/>
    <w:rsid w:val="00CD1D21"/>
    <w:rsid w:val="00CD1DDA"/>
    <w:rsid w:val="00CD2047"/>
    <w:rsid w:val="00CD24F2"/>
    <w:rsid w:val="00CD25E2"/>
    <w:rsid w:val="00CD2656"/>
    <w:rsid w:val="00CD2690"/>
    <w:rsid w:val="00CD26DF"/>
    <w:rsid w:val="00CD2AE5"/>
    <w:rsid w:val="00CD2B7C"/>
    <w:rsid w:val="00CD2C9B"/>
    <w:rsid w:val="00CD2CA1"/>
    <w:rsid w:val="00CD2D3A"/>
    <w:rsid w:val="00CD2DEF"/>
    <w:rsid w:val="00CD2EEC"/>
    <w:rsid w:val="00CD2F4C"/>
    <w:rsid w:val="00CD3043"/>
    <w:rsid w:val="00CD32C1"/>
    <w:rsid w:val="00CD32FF"/>
    <w:rsid w:val="00CD3605"/>
    <w:rsid w:val="00CD363C"/>
    <w:rsid w:val="00CD364B"/>
    <w:rsid w:val="00CD36CF"/>
    <w:rsid w:val="00CD36EE"/>
    <w:rsid w:val="00CD37A5"/>
    <w:rsid w:val="00CD381D"/>
    <w:rsid w:val="00CD3874"/>
    <w:rsid w:val="00CD39E5"/>
    <w:rsid w:val="00CD3A8C"/>
    <w:rsid w:val="00CD3C73"/>
    <w:rsid w:val="00CD3D8C"/>
    <w:rsid w:val="00CD3DE3"/>
    <w:rsid w:val="00CD3EA9"/>
    <w:rsid w:val="00CD418D"/>
    <w:rsid w:val="00CD4371"/>
    <w:rsid w:val="00CD4423"/>
    <w:rsid w:val="00CD4763"/>
    <w:rsid w:val="00CD4796"/>
    <w:rsid w:val="00CD4D5B"/>
    <w:rsid w:val="00CD4DF7"/>
    <w:rsid w:val="00CD4F64"/>
    <w:rsid w:val="00CD5081"/>
    <w:rsid w:val="00CD5244"/>
    <w:rsid w:val="00CD5270"/>
    <w:rsid w:val="00CD5410"/>
    <w:rsid w:val="00CD5528"/>
    <w:rsid w:val="00CD553A"/>
    <w:rsid w:val="00CD5869"/>
    <w:rsid w:val="00CD58A3"/>
    <w:rsid w:val="00CD592B"/>
    <w:rsid w:val="00CD59A3"/>
    <w:rsid w:val="00CD5A88"/>
    <w:rsid w:val="00CD5B52"/>
    <w:rsid w:val="00CD5D0A"/>
    <w:rsid w:val="00CD5FA0"/>
    <w:rsid w:val="00CD601D"/>
    <w:rsid w:val="00CD624B"/>
    <w:rsid w:val="00CD635C"/>
    <w:rsid w:val="00CD6409"/>
    <w:rsid w:val="00CD6422"/>
    <w:rsid w:val="00CD6522"/>
    <w:rsid w:val="00CD664D"/>
    <w:rsid w:val="00CD6730"/>
    <w:rsid w:val="00CD69EF"/>
    <w:rsid w:val="00CD6AFD"/>
    <w:rsid w:val="00CD6CAF"/>
    <w:rsid w:val="00CD6D1B"/>
    <w:rsid w:val="00CD7016"/>
    <w:rsid w:val="00CD70EE"/>
    <w:rsid w:val="00CD7208"/>
    <w:rsid w:val="00CD748F"/>
    <w:rsid w:val="00CD74EC"/>
    <w:rsid w:val="00CD75DD"/>
    <w:rsid w:val="00CD75E4"/>
    <w:rsid w:val="00CD78ED"/>
    <w:rsid w:val="00CD7914"/>
    <w:rsid w:val="00CD79E0"/>
    <w:rsid w:val="00CD7AAB"/>
    <w:rsid w:val="00CD7C9F"/>
    <w:rsid w:val="00CD7CC3"/>
    <w:rsid w:val="00CD7F4C"/>
    <w:rsid w:val="00CD7FEE"/>
    <w:rsid w:val="00CE00BC"/>
    <w:rsid w:val="00CE00CD"/>
    <w:rsid w:val="00CE02A8"/>
    <w:rsid w:val="00CE051F"/>
    <w:rsid w:val="00CE05D1"/>
    <w:rsid w:val="00CE06DE"/>
    <w:rsid w:val="00CE0889"/>
    <w:rsid w:val="00CE0997"/>
    <w:rsid w:val="00CE0A06"/>
    <w:rsid w:val="00CE0AFC"/>
    <w:rsid w:val="00CE0B24"/>
    <w:rsid w:val="00CE0B52"/>
    <w:rsid w:val="00CE0D77"/>
    <w:rsid w:val="00CE0EC1"/>
    <w:rsid w:val="00CE0F4A"/>
    <w:rsid w:val="00CE0FFC"/>
    <w:rsid w:val="00CE1481"/>
    <w:rsid w:val="00CE14EE"/>
    <w:rsid w:val="00CE1616"/>
    <w:rsid w:val="00CE174A"/>
    <w:rsid w:val="00CE18A0"/>
    <w:rsid w:val="00CE19C9"/>
    <w:rsid w:val="00CE19EE"/>
    <w:rsid w:val="00CE1B4B"/>
    <w:rsid w:val="00CE1C7D"/>
    <w:rsid w:val="00CE1FAB"/>
    <w:rsid w:val="00CE1FC9"/>
    <w:rsid w:val="00CE21D7"/>
    <w:rsid w:val="00CE2417"/>
    <w:rsid w:val="00CE2464"/>
    <w:rsid w:val="00CE2714"/>
    <w:rsid w:val="00CE277E"/>
    <w:rsid w:val="00CE28F3"/>
    <w:rsid w:val="00CE2B57"/>
    <w:rsid w:val="00CE2D87"/>
    <w:rsid w:val="00CE2DA9"/>
    <w:rsid w:val="00CE2DE0"/>
    <w:rsid w:val="00CE2ED0"/>
    <w:rsid w:val="00CE2F4B"/>
    <w:rsid w:val="00CE3137"/>
    <w:rsid w:val="00CE31D0"/>
    <w:rsid w:val="00CE353C"/>
    <w:rsid w:val="00CE3699"/>
    <w:rsid w:val="00CE37B3"/>
    <w:rsid w:val="00CE38DE"/>
    <w:rsid w:val="00CE3A9C"/>
    <w:rsid w:val="00CE3B1E"/>
    <w:rsid w:val="00CE3BA7"/>
    <w:rsid w:val="00CE3C98"/>
    <w:rsid w:val="00CE3D1B"/>
    <w:rsid w:val="00CE4049"/>
    <w:rsid w:val="00CE4187"/>
    <w:rsid w:val="00CE43A5"/>
    <w:rsid w:val="00CE4684"/>
    <w:rsid w:val="00CE4785"/>
    <w:rsid w:val="00CE4B4C"/>
    <w:rsid w:val="00CE4D4B"/>
    <w:rsid w:val="00CE4E20"/>
    <w:rsid w:val="00CE4E93"/>
    <w:rsid w:val="00CE5014"/>
    <w:rsid w:val="00CE5101"/>
    <w:rsid w:val="00CE519A"/>
    <w:rsid w:val="00CE5319"/>
    <w:rsid w:val="00CE553D"/>
    <w:rsid w:val="00CE56E4"/>
    <w:rsid w:val="00CE5731"/>
    <w:rsid w:val="00CE57D7"/>
    <w:rsid w:val="00CE583A"/>
    <w:rsid w:val="00CE5CDC"/>
    <w:rsid w:val="00CE5EEE"/>
    <w:rsid w:val="00CE5F59"/>
    <w:rsid w:val="00CE611D"/>
    <w:rsid w:val="00CE6147"/>
    <w:rsid w:val="00CE6196"/>
    <w:rsid w:val="00CE64EC"/>
    <w:rsid w:val="00CE6670"/>
    <w:rsid w:val="00CE66D6"/>
    <w:rsid w:val="00CE697F"/>
    <w:rsid w:val="00CE6FBE"/>
    <w:rsid w:val="00CE7255"/>
    <w:rsid w:val="00CE766D"/>
    <w:rsid w:val="00CE771C"/>
    <w:rsid w:val="00CE7A84"/>
    <w:rsid w:val="00CE7BC6"/>
    <w:rsid w:val="00CE7C2F"/>
    <w:rsid w:val="00CE7D51"/>
    <w:rsid w:val="00CE7F2F"/>
    <w:rsid w:val="00CF013E"/>
    <w:rsid w:val="00CF019B"/>
    <w:rsid w:val="00CF03E8"/>
    <w:rsid w:val="00CF0474"/>
    <w:rsid w:val="00CF083E"/>
    <w:rsid w:val="00CF0963"/>
    <w:rsid w:val="00CF09F2"/>
    <w:rsid w:val="00CF0B2F"/>
    <w:rsid w:val="00CF0CCA"/>
    <w:rsid w:val="00CF0D57"/>
    <w:rsid w:val="00CF0D74"/>
    <w:rsid w:val="00CF0DF8"/>
    <w:rsid w:val="00CF1143"/>
    <w:rsid w:val="00CF1184"/>
    <w:rsid w:val="00CF1186"/>
    <w:rsid w:val="00CF11E2"/>
    <w:rsid w:val="00CF14E5"/>
    <w:rsid w:val="00CF173A"/>
    <w:rsid w:val="00CF1760"/>
    <w:rsid w:val="00CF177E"/>
    <w:rsid w:val="00CF17F6"/>
    <w:rsid w:val="00CF18A6"/>
    <w:rsid w:val="00CF19BD"/>
    <w:rsid w:val="00CF1A7C"/>
    <w:rsid w:val="00CF1BAE"/>
    <w:rsid w:val="00CF1BED"/>
    <w:rsid w:val="00CF1C66"/>
    <w:rsid w:val="00CF1D4D"/>
    <w:rsid w:val="00CF1F7F"/>
    <w:rsid w:val="00CF2120"/>
    <w:rsid w:val="00CF2121"/>
    <w:rsid w:val="00CF21E8"/>
    <w:rsid w:val="00CF2230"/>
    <w:rsid w:val="00CF274A"/>
    <w:rsid w:val="00CF27E8"/>
    <w:rsid w:val="00CF293C"/>
    <w:rsid w:val="00CF2993"/>
    <w:rsid w:val="00CF2B44"/>
    <w:rsid w:val="00CF2B51"/>
    <w:rsid w:val="00CF2C70"/>
    <w:rsid w:val="00CF2DDA"/>
    <w:rsid w:val="00CF2F46"/>
    <w:rsid w:val="00CF2F8E"/>
    <w:rsid w:val="00CF2F9E"/>
    <w:rsid w:val="00CF2FA6"/>
    <w:rsid w:val="00CF3299"/>
    <w:rsid w:val="00CF32B6"/>
    <w:rsid w:val="00CF3310"/>
    <w:rsid w:val="00CF348B"/>
    <w:rsid w:val="00CF34BF"/>
    <w:rsid w:val="00CF359B"/>
    <w:rsid w:val="00CF37A3"/>
    <w:rsid w:val="00CF3860"/>
    <w:rsid w:val="00CF391F"/>
    <w:rsid w:val="00CF39C2"/>
    <w:rsid w:val="00CF39F0"/>
    <w:rsid w:val="00CF3C3D"/>
    <w:rsid w:val="00CF3FBF"/>
    <w:rsid w:val="00CF4031"/>
    <w:rsid w:val="00CF4161"/>
    <w:rsid w:val="00CF433A"/>
    <w:rsid w:val="00CF43D5"/>
    <w:rsid w:val="00CF45B0"/>
    <w:rsid w:val="00CF4ABB"/>
    <w:rsid w:val="00CF4BA4"/>
    <w:rsid w:val="00CF4BB8"/>
    <w:rsid w:val="00CF4FED"/>
    <w:rsid w:val="00CF5054"/>
    <w:rsid w:val="00CF50F8"/>
    <w:rsid w:val="00CF5243"/>
    <w:rsid w:val="00CF53FB"/>
    <w:rsid w:val="00CF55A6"/>
    <w:rsid w:val="00CF55F2"/>
    <w:rsid w:val="00CF562B"/>
    <w:rsid w:val="00CF563D"/>
    <w:rsid w:val="00CF56BA"/>
    <w:rsid w:val="00CF5806"/>
    <w:rsid w:val="00CF58E2"/>
    <w:rsid w:val="00CF5A2D"/>
    <w:rsid w:val="00CF5AAD"/>
    <w:rsid w:val="00CF5B37"/>
    <w:rsid w:val="00CF5ECF"/>
    <w:rsid w:val="00CF601E"/>
    <w:rsid w:val="00CF6068"/>
    <w:rsid w:val="00CF60A7"/>
    <w:rsid w:val="00CF6343"/>
    <w:rsid w:val="00CF63E0"/>
    <w:rsid w:val="00CF675D"/>
    <w:rsid w:val="00CF68B4"/>
    <w:rsid w:val="00CF6911"/>
    <w:rsid w:val="00CF69CF"/>
    <w:rsid w:val="00CF6C07"/>
    <w:rsid w:val="00CF6C17"/>
    <w:rsid w:val="00CF6D78"/>
    <w:rsid w:val="00CF6E4A"/>
    <w:rsid w:val="00CF6FEA"/>
    <w:rsid w:val="00CF70FA"/>
    <w:rsid w:val="00CF7149"/>
    <w:rsid w:val="00CF71FC"/>
    <w:rsid w:val="00CF739B"/>
    <w:rsid w:val="00CF757B"/>
    <w:rsid w:val="00CF7639"/>
    <w:rsid w:val="00CF7934"/>
    <w:rsid w:val="00CF7BD8"/>
    <w:rsid w:val="00CF7E6D"/>
    <w:rsid w:val="00D000B8"/>
    <w:rsid w:val="00D00160"/>
    <w:rsid w:val="00D005FB"/>
    <w:rsid w:val="00D0062F"/>
    <w:rsid w:val="00D00756"/>
    <w:rsid w:val="00D00813"/>
    <w:rsid w:val="00D00912"/>
    <w:rsid w:val="00D00BDF"/>
    <w:rsid w:val="00D00F16"/>
    <w:rsid w:val="00D01149"/>
    <w:rsid w:val="00D01262"/>
    <w:rsid w:val="00D0140B"/>
    <w:rsid w:val="00D01817"/>
    <w:rsid w:val="00D018CA"/>
    <w:rsid w:val="00D019B7"/>
    <w:rsid w:val="00D01A54"/>
    <w:rsid w:val="00D01E7F"/>
    <w:rsid w:val="00D01EA5"/>
    <w:rsid w:val="00D01F14"/>
    <w:rsid w:val="00D022FF"/>
    <w:rsid w:val="00D02336"/>
    <w:rsid w:val="00D023A1"/>
    <w:rsid w:val="00D0255F"/>
    <w:rsid w:val="00D0277B"/>
    <w:rsid w:val="00D0278C"/>
    <w:rsid w:val="00D0282F"/>
    <w:rsid w:val="00D029D4"/>
    <w:rsid w:val="00D029FD"/>
    <w:rsid w:val="00D02AFD"/>
    <w:rsid w:val="00D02CED"/>
    <w:rsid w:val="00D02CF5"/>
    <w:rsid w:val="00D02E04"/>
    <w:rsid w:val="00D02E0C"/>
    <w:rsid w:val="00D02E24"/>
    <w:rsid w:val="00D02FC5"/>
    <w:rsid w:val="00D0309A"/>
    <w:rsid w:val="00D032B4"/>
    <w:rsid w:val="00D0339D"/>
    <w:rsid w:val="00D033DE"/>
    <w:rsid w:val="00D0348D"/>
    <w:rsid w:val="00D0385A"/>
    <w:rsid w:val="00D03938"/>
    <w:rsid w:val="00D03A1C"/>
    <w:rsid w:val="00D03A48"/>
    <w:rsid w:val="00D03A55"/>
    <w:rsid w:val="00D03A8A"/>
    <w:rsid w:val="00D03B3D"/>
    <w:rsid w:val="00D03B80"/>
    <w:rsid w:val="00D03C0A"/>
    <w:rsid w:val="00D03C5E"/>
    <w:rsid w:val="00D03C82"/>
    <w:rsid w:val="00D03D67"/>
    <w:rsid w:val="00D045DF"/>
    <w:rsid w:val="00D04663"/>
    <w:rsid w:val="00D047B0"/>
    <w:rsid w:val="00D04813"/>
    <w:rsid w:val="00D04830"/>
    <w:rsid w:val="00D04A43"/>
    <w:rsid w:val="00D04B39"/>
    <w:rsid w:val="00D04C6A"/>
    <w:rsid w:val="00D04DAB"/>
    <w:rsid w:val="00D04EBF"/>
    <w:rsid w:val="00D04F21"/>
    <w:rsid w:val="00D05082"/>
    <w:rsid w:val="00D0518A"/>
    <w:rsid w:val="00D051BB"/>
    <w:rsid w:val="00D052AB"/>
    <w:rsid w:val="00D0555A"/>
    <w:rsid w:val="00D056B6"/>
    <w:rsid w:val="00D056E8"/>
    <w:rsid w:val="00D05724"/>
    <w:rsid w:val="00D05BEC"/>
    <w:rsid w:val="00D05C80"/>
    <w:rsid w:val="00D05DC1"/>
    <w:rsid w:val="00D05E74"/>
    <w:rsid w:val="00D05F15"/>
    <w:rsid w:val="00D05F65"/>
    <w:rsid w:val="00D06298"/>
    <w:rsid w:val="00D062B3"/>
    <w:rsid w:val="00D06438"/>
    <w:rsid w:val="00D0651A"/>
    <w:rsid w:val="00D065D8"/>
    <w:rsid w:val="00D06739"/>
    <w:rsid w:val="00D068A8"/>
    <w:rsid w:val="00D06911"/>
    <w:rsid w:val="00D06D1E"/>
    <w:rsid w:val="00D07352"/>
    <w:rsid w:val="00D07519"/>
    <w:rsid w:val="00D07675"/>
    <w:rsid w:val="00D07758"/>
    <w:rsid w:val="00D077C4"/>
    <w:rsid w:val="00D0798C"/>
    <w:rsid w:val="00D07A1B"/>
    <w:rsid w:val="00D07B6A"/>
    <w:rsid w:val="00D07EC6"/>
    <w:rsid w:val="00D07ED8"/>
    <w:rsid w:val="00D07F5E"/>
    <w:rsid w:val="00D08EDF"/>
    <w:rsid w:val="00D100F1"/>
    <w:rsid w:val="00D10196"/>
    <w:rsid w:val="00D10450"/>
    <w:rsid w:val="00D1087F"/>
    <w:rsid w:val="00D10955"/>
    <w:rsid w:val="00D10959"/>
    <w:rsid w:val="00D10A23"/>
    <w:rsid w:val="00D10B39"/>
    <w:rsid w:val="00D10BCE"/>
    <w:rsid w:val="00D10BE0"/>
    <w:rsid w:val="00D1100D"/>
    <w:rsid w:val="00D110A2"/>
    <w:rsid w:val="00D110F4"/>
    <w:rsid w:val="00D112C0"/>
    <w:rsid w:val="00D11507"/>
    <w:rsid w:val="00D11578"/>
    <w:rsid w:val="00D11A39"/>
    <w:rsid w:val="00D11A3F"/>
    <w:rsid w:val="00D11D95"/>
    <w:rsid w:val="00D11F9B"/>
    <w:rsid w:val="00D11FF0"/>
    <w:rsid w:val="00D1201B"/>
    <w:rsid w:val="00D12390"/>
    <w:rsid w:val="00D123B5"/>
    <w:rsid w:val="00D1259A"/>
    <w:rsid w:val="00D12648"/>
    <w:rsid w:val="00D1273C"/>
    <w:rsid w:val="00D129BC"/>
    <w:rsid w:val="00D12A6D"/>
    <w:rsid w:val="00D12BC5"/>
    <w:rsid w:val="00D12D1A"/>
    <w:rsid w:val="00D12EE2"/>
    <w:rsid w:val="00D13001"/>
    <w:rsid w:val="00D1303F"/>
    <w:rsid w:val="00D13382"/>
    <w:rsid w:val="00D13406"/>
    <w:rsid w:val="00D13454"/>
    <w:rsid w:val="00D13615"/>
    <w:rsid w:val="00D137A0"/>
    <w:rsid w:val="00D137CF"/>
    <w:rsid w:val="00D13AED"/>
    <w:rsid w:val="00D13DDA"/>
    <w:rsid w:val="00D13E51"/>
    <w:rsid w:val="00D13FA1"/>
    <w:rsid w:val="00D13FA8"/>
    <w:rsid w:val="00D13FB7"/>
    <w:rsid w:val="00D13FE3"/>
    <w:rsid w:val="00D140D8"/>
    <w:rsid w:val="00D140EF"/>
    <w:rsid w:val="00D142C0"/>
    <w:rsid w:val="00D1442C"/>
    <w:rsid w:val="00D14721"/>
    <w:rsid w:val="00D14831"/>
    <w:rsid w:val="00D1487A"/>
    <w:rsid w:val="00D14B26"/>
    <w:rsid w:val="00D14BF4"/>
    <w:rsid w:val="00D14DD3"/>
    <w:rsid w:val="00D15369"/>
    <w:rsid w:val="00D1536D"/>
    <w:rsid w:val="00D153D6"/>
    <w:rsid w:val="00D15957"/>
    <w:rsid w:val="00D15958"/>
    <w:rsid w:val="00D15ACA"/>
    <w:rsid w:val="00D15BD6"/>
    <w:rsid w:val="00D15C23"/>
    <w:rsid w:val="00D15D8C"/>
    <w:rsid w:val="00D163C2"/>
    <w:rsid w:val="00D16434"/>
    <w:rsid w:val="00D1648B"/>
    <w:rsid w:val="00D1677A"/>
    <w:rsid w:val="00D167F7"/>
    <w:rsid w:val="00D1688F"/>
    <w:rsid w:val="00D16939"/>
    <w:rsid w:val="00D169A5"/>
    <w:rsid w:val="00D16AE4"/>
    <w:rsid w:val="00D16B14"/>
    <w:rsid w:val="00D16B9B"/>
    <w:rsid w:val="00D16E74"/>
    <w:rsid w:val="00D170CE"/>
    <w:rsid w:val="00D171BD"/>
    <w:rsid w:val="00D172D4"/>
    <w:rsid w:val="00D17344"/>
    <w:rsid w:val="00D1775A"/>
    <w:rsid w:val="00D17F13"/>
    <w:rsid w:val="00D2009B"/>
    <w:rsid w:val="00D20575"/>
    <w:rsid w:val="00D206A3"/>
    <w:rsid w:val="00D20793"/>
    <w:rsid w:val="00D209ED"/>
    <w:rsid w:val="00D20BC2"/>
    <w:rsid w:val="00D20BC3"/>
    <w:rsid w:val="00D20D41"/>
    <w:rsid w:val="00D20F31"/>
    <w:rsid w:val="00D211B3"/>
    <w:rsid w:val="00D212C3"/>
    <w:rsid w:val="00D21561"/>
    <w:rsid w:val="00D216EB"/>
    <w:rsid w:val="00D21952"/>
    <w:rsid w:val="00D21965"/>
    <w:rsid w:val="00D219A3"/>
    <w:rsid w:val="00D21AF7"/>
    <w:rsid w:val="00D21B33"/>
    <w:rsid w:val="00D21C09"/>
    <w:rsid w:val="00D21E73"/>
    <w:rsid w:val="00D21ED0"/>
    <w:rsid w:val="00D21FBC"/>
    <w:rsid w:val="00D221F4"/>
    <w:rsid w:val="00D223CA"/>
    <w:rsid w:val="00D224FA"/>
    <w:rsid w:val="00D22663"/>
    <w:rsid w:val="00D22A64"/>
    <w:rsid w:val="00D230FA"/>
    <w:rsid w:val="00D23130"/>
    <w:rsid w:val="00D23373"/>
    <w:rsid w:val="00D23493"/>
    <w:rsid w:val="00D2356F"/>
    <w:rsid w:val="00D2357D"/>
    <w:rsid w:val="00D236B5"/>
    <w:rsid w:val="00D2373C"/>
    <w:rsid w:val="00D2380C"/>
    <w:rsid w:val="00D23811"/>
    <w:rsid w:val="00D23A0B"/>
    <w:rsid w:val="00D23A83"/>
    <w:rsid w:val="00D23B45"/>
    <w:rsid w:val="00D23E46"/>
    <w:rsid w:val="00D23F5D"/>
    <w:rsid w:val="00D23FFD"/>
    <w:rsid w:val="00D24070"/>
    <w:rsid w:val="00D241E0"/>
    <w:rsid w:val="00D2432F"/>
    <w:rsid w:val="00D24367"/>
    <w:rsid w:val="00D247FE"/>
    <w:rsid w:val="00D24AE2"/>
    <w:rsid w:val="00D24D3C"/>
    <w:rsid w:val="00D25007"/>
    <w:rsid w:val="00D253BE"/>
    <w:rsid w:val="00D2543F"/>
    <w:rsid w:val="00D2555A"/>
    <w:rsid w:val="00D25567"/>
    <w:rsid w:val="00D25613"/>
    <w:rsid w:val="00D256E5"/>
    <w:rsid w:val="00D25704"/>
    <w:rsid w:val="00D25757"/>
    <w:rsid w:val="00D2578A"/>
    <w:rsid w:val="00D25A48"/>
    <w:rsid w:val="00D25A74"/>
    <w:rsid w:val="00D25B21"/>
    <w:rsid w:val="00D25BA4"/>
    <w:rsid w:val="00D25D12"/>
    <w:rsid w:val="00D25E2A"/>
    <w:rsid w:val="00D25E38"/>
    <w:rsid w:val="00D25EA7"/>
    <w:rsid w:val="00D26120"/>
    <w:rsid w:val="00D26147"/>
    <w:rsid w:val="00D2630D"/>
    <w:rsid w:val="00D2639D"/>
    <w:rsid w:val="00D263D1"/>
    <w:rsid w:val="00D264F7"/>
    <w:rsid w:val="00D2662A"/>
    <w:rsid w:val="00D26880"/>
    <w:rsid w:val="00D2694F"/>
    <w:rsid w:val="00D269B9"/>
    <w:rsid w:val="00D26A1B"/>
    <w:rsid w:val="00D26A3F"/>
    <w:rsid w:val="00D26BD9"/>
    <w:rsid w:val="00D26BE9"/>
    <w:rsid w:val="00D26F08"/>
    <w:rsid w:val="00D26F42"/>
    <w:rsid w:val="00D26FB7"/>
    <w:rsid w:val="00D270D0"/>
    <w:rsid w:val="00D2711A"/>
    <w:rsid w:val="00D272F2"/>
    <w:rsid w:val="00D27345"/>
    <w:rsid w:val="00D2738D"/>
    <w:rsid w:val="00D27678"/>
    <w:rsid w:val="00D27763"/>
    <w:rsid w:val="00D27A08"/>
    <w:rsid w:val="00D27D39"/>
    <w:rsid w:val="00D27E13"/>
    <w:rsid w:val="00D27FFD"/>
    <w:rsid w:val="00D3004C"/>
    <w:rsid w:val="00D304F3"/>
    <w:rsid w:val="00D30506"/>
    <w:rsid w:val="00D3071F"/>
    <w:rsid w:val="00D307CC"/>
    <w:rsid w:val="00D30821"/>
    <w:rsid w:val="00D30A13"/>
    <w:rsid w:val="00D30A18"/>
    <w:rsid w:val="00D30BDA"/>
    <w:rsid w:val="00D30CDB"/>
    <w:rsid w:val="00D30D33"/>
    <w:rsid w:val="00D30E38"/>
    <w:rsid w:val="00D30F65"/>
    <w:rsid w:val="00D311D2"/>
    <w:rsid w:val="00D313C3"/>
    <w:rsid w:val="00D31425"/>
    <w:rsid w:val="00D3185D"/>
    <w:rsid w:val="00D3194D"/>
    <w:rsid w:val="00D3197A"/>
    <w:rsid w:val="00D31A46"/>
    <w:rsid w:val="00D31A89"/>
    <w:rsid w:val="00D31B9A"/>
    <w:rsid w:val="00D3209B"/>
    <w:rsid w:val="00D320A2"/>
    <w:rsid w:val="00D32148"/>
    <w:rsid w:val="00D32188"/>
    <w:rsid w:val="00D32BB6"/>
    <w:rsid w:val="00D32BE1"/>
    <w:rsid w:val="00D32C60"/>
    <w:rsid w:val="00D32CF6"/>
    <w:rsid w:val="00D32D8C"/>
    <w:rsid w:val="00D32DF9"/>
    <w:rsid w:val="00D330C6"/>
    <w:rsid w:val="00D33172"/>
    <w:rsid w:val="00D333D7"/>
    <w:rsid w:val="00D33673"/>
    <w:rsid w:val="00D33770"/>
    <w:rsid w:val="00D3377F"/>
    <w:rsid w:val="00D33895"/>
    <w:rsid w:val="00D33C1E"/>
    <w:rsid w:val="00D33C86"/>
    <w:rsid w:val="00D33D94"/>
    <w:rsid w:val="00D33F01"/>
    <w:rsid w:val="00D33F05"/>
    <w:rsid w:val="00D344CF"/>
    <w:rsid w:val="00D3476A"/>
    <w:rsid w:val="00D34873"/>
    <w:rsid w:val="00D3490F"/>
    <w:rsid w:val="00D349D0"/>
    <w:rsid w:val="00D34ACA"/>
    <w:rsid w:val="00D34D01"/>
    <w:rsid w:val="00D34D13"/>
    <w:rsid w:val="00D34EC2"/>
    <w:rsid w:val="00D3541F"/>
    <w:rsid w:val="00D35469"/>
    <w:rsid w:val="00D357C1"/>
    <w:rsid w:val="00D35857"/>
    <w:rsid w:val="00D35910"/>
    <w:rsid w:val="00D35ACC"/>
    <w:rsid w:val="00D35BCF"/>
    <w:rsid w:val="00D35D1B"/>
    <w:rsid w:val="00D35E73"/>
    <w:rsid w:val="00D35EFC"/>
    <w:rsid w:val="00D361C8"/>
    <w:rsid w:val="00D36303"/>
    <w:rsid w:val="00D3666F"/>
    <w:rsid w:val="00D366D4"/>
    <w:rsid w:val="00D366DB"/>
    <w:rsid w:val="00D36725"/>
    <w:rsid w:val="00D368B5"/>
    <w:rsid w:val="00D36A2D"/>
    <w:rsid w:val="00D36C0E"/>
    <w:rsid w:val="00D36E2F"/>
    <w:rsid w:val="00D36F2C"/>
    <w:rsid w:val="00D37094"/>
    <w:rsid w:val="00D37096"/>
    <w:rsid w:val="00D370A8"/>
    <w:rsid w:val="00D370DB"/>
    <w:rsid w:val="00D371FF"/>
    <w:rsid w:val="00D372B0"/>
    <w:rsid w:val="00D373D2"/>
    <w:rsid w:val="00D376ED"/>
    <w:rsid w:val="00D37746"/>
    <w:rsid w:val="00D37908"/>
    <w:rsid w:val="00D37ADE"/>
    <w:rsid w:val="00D37EA4"/>
    <w:rsid w:val="00D37EA6"/>
    <w:rsid w:val="00D400CF"/>
    <w:rsid w:val="00D4010C"/>
    <w:rsid w:val="00D402D5"/>
    <w:rsid w:val="00D40359"/>
    <w:rsid w:val="00D4039A"/>
    <w:rsid w:val="00D4094F"/>
    <w:rsid w:val="00D40975"/>
    <w:rsid w:val="00D409F5"/>
    <w:rsid w:val="00D40B7D"/>
    <w:rsid w:val="00D40D63"/>
    <w:rsid w:val="00D40E4E"/>
    <w:rsid w:val="00D410B2"/>
    <w:rsid w:val="00D4132F"/>
    <w:rsid w:val="00D41974"/>
    <w:rsid w:val="00D41C5D"/>
    <w:rsid w:val="00D41CC4"/>
    <w:rsid w:val="00D41DB0"/>
    <w:rsid w:val="00D41DC2"/>
    <w:rsid w:val="00D41DE8"/>
    <w:rsid w:val="00D420F0"/>
    <w:rsid w:val="00D4263F"/>
    <w:rsid w:val="00D42723"/>
    <w:rsid w:val="00D427FF"/>
    <w:rsid w:val="00D42BBF"/>
    <w:rsid w:val="00D42C1B"/>
    <w:rsid w:val="00D42E5E"/>
    <w:rsid w:val="00D42FCA"/>
    <w:rsid w:val="00D431D6"/>
    <w:rsid w:val="00D4337C"/>
    <w:rsid w:val="00D43390"/>
    <w:rsid w:val="00D434D5"/>
    <w:rsid w:val="00D43564"/>
    <w:rsid w:val="00D437DB"/>
    <w:rsid w:val="00D43836"/>
    <w:rsid w:val="00D439C1"/>
    <w:rsid w:val="00D43B46"/>
    <w:rsid w:val="00D43DFA"/>
    <w:rsid w:val="00D4435A"/>
    <w:rsid w:val="00D4449E"/>
    <w:rsid w:val="00D444CF"/>
    <w:rsid w:val="00D44637"/>
    <w:rsid w:val="00D447FE"/>
    <w:rsid w:val="00D44AFC"/>
    <w:rsid w:val="00D44C88"/>
    <w:rsid w:val="00D44D27"/>
    <w:rsid w:val="00D44D83"/>
    <w:rsid w:val="00D44DF8"/>
    <w:rsid w:val="00D44E3B"/>
    <w:rsid w:val="00D45182"/>
    <w:rsid w:val="00D45226"/>
    <w:rsid w:val="00D457BA"/>
    <w:rsid w:val="00D45847"/>
    <w:rsid w:val="00D45961"/>
    <w:rsid w:val="00D459EB"/>
    <w:rsid w:val="00D45A9E"/>
    <w:rsid w:val="00D45C02"/>
    <w:rsid w:val="00D45F9A"/>
    <w:rsid w:val="00D46013"/>
    <w:rsid w:val="00D4635F"/>
    <w:rsid w:val="00D464C4"/>
    <w:rsid w:val="00D466B9"/>
    <w:rsid w:val="00D466C8"/>
    <w:rsid w:val="00D46740"/>
    <w:rsid w:val="00D46828"/>
    <w:rsid w:val="00D46935"/>
    <w:rsid w:val="00D4694F"/>
    <w:rsid w:val="00D46C8A"/>
    <w:rsid w:val="00D46DD4"/>
    <w:rsid w:val="00D46E68"/>
    <w:rsid w:val="00D47018"/>
    <w:rsid w:val="00D4710F"/>
    <w:rsid w:val="00D47118"/>
    <w:rsid w:val="00D47213"/>
    <w:rsid w:val="00D472E6"/>
    <w:rsid w:val="00D473F8"/>
    <w:rsid w:val="00D474ED"/>
    <w:rsid w:val="00D4754B"/>
    <w:rsid w:val="00D47A90"/>
    <w:rsid w:val="00D47AFD"/>
    <w:rsid w:val="00D47BE9"/>
    <w:rsid w:val="00D5001A"/>
    <w:rsid w:val="00D5019D"/>
    <w:rsid w:val="00D50421"/>
    <w:rsid w:val="00D50501"/>
    <w:rsid w:val="00D506E0"/>
    <w:rsid w:val="00D506F1"/>
    <w:rsid w:val="00D50784"/>
    <w:rsid w:val="00D507EE"/>
    <w:rsid w:val="00D5095F"/>
    <w:rsid w:val="00D50AF7"/>
    <w:rsid w:val="00D50B56"/>
    <w:rsid w:val="00D50C5C"/>
    <w:rsid w:val="00D50E0F"/>
    <w:rsid w:val="00D50EB1"/>
    <w:rsid w:val="00D50FE8"/>
    <w:rsid w:val="00D51113"/>
    <w:rsid w:val="00D5126F"/>
    <w:rsid w:val="00D51308"/>
    <w:rsid w:val="00D51523"/>
    <w:rsid w:val="00D51607"/>
    <w:rsid w:val="00D516D7"/>
    <w:rsid w:val="00D517DB"/>
    <w:rsid w:val="00D51982"/>
    <w:rsid w:val="00D519F1"/>
    <w:rsid w:val="00D51F27"/>
    <w:rsid w:val="00D52057"/>
    <w:rsid w:val="00D520D5"/>
    <w:rsid w:val="00D521AF"/>
    <w:rsid w:val="00D52476"/>
    <w:rsid w:val="00D524BE"/>
    <w:rsid w:val="00D5268A"/>
    <w:rsid w:val="00D526DA"/>
    <w:rsid w:val="00D52706"/>
    <w:rsid w:val="00D52AB4"/>
    <w:rsid w:val="00D52ABA"/>
    <w:rsid w:val="00D5340C"/>
    <w:rsid w:val="00D53583"/>
    <w:rsid w:val="00D53676"/>
    <w:rsid w:val="00D5368D"/>
    <w:rsid w:val="00D5374D"/>
    <w:rsid w:val="00D5377A"/>
    <w:rsid w:val="00D5391F"/>
    <w:rsid w:val="00D53A1F"/>
    <w:rsid w:val="00D53AE6"/>
    <w:rsid w:val="00D53B94"/>
    <w:rsid w:val="00D53C0D"/>
    <w:rsid w:val="00D53CE1"/>
    <w:rsid w:val="00D54309"/>
    <w:rsid w:val="00D54541"/>
    <w:rsid w:val="00D54602"/>
    <w:rsid w:val="00D547D7"/>
    <w:rsid w:val="00D5489D"/>
    <w:rsid w:val="00D54954"/>
    <w:rsid w:val="00D549D1"/>
    <w:rsid w:val="00D54BED"/>
    <w:rsid w:val="00D54C34"/>
    <w:rsid w:val="00D54CF8"/>
    <w:rsid w:val="00D54F08"/>
    <w:rsid w:val="00D54FEE"/>
    <w:rsid w:val="00D553D6"/>
    <w:rsid w:val="00D5550E"/>
    <w:rsid w:val="00D55667"/>
    <w:rsid w:val="00D55738"/>
    <w:rsid w:val="00D557B2"/>
    <w:rsid w:val="00D557E5"/>
    <w:rsid w:val="00D55826"/>
    <w:rsid w:val="00D55A01"/>
    <w:rsid w:val="00D55B52"/>
    <w:rsid w:val="00D55BAF"/>
    <w:rsid w:val="00D55BD0"/>
    <w:rsid w:val="00D55C40"/>
    <w:rsid w:val="00D55E96"/>
    <w:rsid w:val="00D5605A"/>
    <w:rsid w:val="00D562A2"/>
    <w:rsid w:val="00D56353"/>
    <w:rsid w:val="00D5642C"/>
    <w:rsid w:val="00D56479"/>
    <w:rsid w:val="00D564DE"/>
    <w:rsid w:val="00D565B9"/>
    <w:rsid w:val="00D56733"/>
    <w:rsid w:val="00D568E9"/>
    <w:rsid w:val="00D569A2"/>
    <w:rsid w:val="00D56AFD"/>
    <w:rsid w:val="00D56B0E"/>
    <w:rsid w:val="00D56B58"/>
    <w:rsid w:val="00D56C38"/>
    <w:rsid w:val="00D56FC3"/>
    <w:rsid w:val="00D57018"/>
    <w:rsid w:val="00D57090"/>
    <w:rsid w:val="00D571D8"/>
    <w:rsid w:val="00D572AD"/>
    <w:rsid w:val="00D57304"/>
    <w:rsid w:val="00D5755C"/>
    <w:rsid w:val="00D57713"/>
    <w:rsid w:val="00D577EA"/>
    <w:rsid w:val="00D57873"/>
    <w:rsid w:val="00D57C63"/>
    <w:rsid w:val="00D601B7"/>
    <w:rsid w:val="00D60250"/>
    <w:rsid w:val="00D60298"/>
    <w:rsid w:val="00D6029B"/>
    <w:rsid w:val="00D602EE"/>
    <w:rsid w:val="00D60432"/>
    <w:rsid w:val="00D605C4"/>
    <w:rsid w:val="00D607F1"/>
    <w:rsid w:val="00D6092D"/>
    <w:rsid w:val="00D60988"/>
    <w:rsid w:val="00D609AE"/>
    <w:rsid w:val="00D60A8E"/>
    <w:rsid w:val="00D60CB2"/>
    <w:rsid w:val="00D60E02"/>
    <w:rsid w:val="00D610C6"/>
    <w:rsid w:val="00D610CF"/>
    <w:rsid w:val="00D6115A"/>
    <w:rsid w:val="00D611E8"/>
    <w:rsid w:val="00D613A8"/>
    <w:rsid w:val="00D613CF"/>
    <w:rsid w:val="00D61452"/>
    <w:rsid w:val="00D61636"/>
    <w:rsid w:val="00D618AC"/>
    <w:rsid w:val="00D619A7"/>
    <w:rsid w:val="00D61A19"/>
    <w:rsid w:val="00D61A82"/>
    <w:rsid w:val="00D61AEE"/>
    <w:rsid w:val="00D61B1C"/>
    <w:rsid w:val="00D61C1D"/>
    <w:rsid w:val="00D61EE4"/>
    <w:rsid w:val="00D61F2B"/>
    <w:rsid w:val="00D62027"/>
    <w:rsid w:val="00D62109"/>
    <w:rsid w:val="00D6211C"/>
    <w:rsid w:val="00D62372"/>
    <w:rsid w:val="00D6249A"/>
    <w:rsid w:val="00D62511"/>
    <w:rsid w:val="00D626CE"/>
    <w:rsid w:val="00D626D3"/>
    <w:rsid w:val="00D627F7"/>
    <w:rsid w:val="00D6295A"/>
    <w:rsid w:val="00D629E3"/>
    <w:rsid w:val="00D629F6"/>
    <w:rsid w:val="00D62A03"/>
    <w:rsid w:val="00D62B88"/>
    <w:rsid w:val="00D62BB5"/>
    <w:rsid w:val="00D62C76"/>
    <w:rsid w:val="00D62D57"/>
    <w:rsid w:val="00D62DEE"/>
    <w:rsid w:val="00D62DF1"/>
    <w:rsid w:val="00D62F43"/>
    <w:rsid w:val="00D62F99"/>
    <w:rsid w:val="00D62FA4"/>
    <w:rsid w:val="00D6305E"/>
    <w:rsid w:val="00D6312C"/>
    <w:rsid w:val="00D6312F"/>
    <w:rsid w:val="00D631EE"/>
    <w:rsid w:val="00D6334B"/>
    <w:rsid w:val="00D633E6"/>
    <w:rsid w:val="00D634C1"/>
    <w:rsid w:val="00D63614"/>
    <w:rsid w:val="00D6361D"/>
    <w:rsid w:val="00D636B9"/>
    <w:rsid w:val="00D63701"/>
    <w:rsid w:val="00D6393A"/>
    <w:rsid w:val="00D63C39"/>
    <w:rsid w:val="00D63C85"/>
    <w:rsid w:val="00D63C9C"/>
    <w:rsid w:val="00D63FB5"/>
    <w:rsid w:val="00D641FB"/>
    <w:rsid w:val="00D64226"/>
    <w:rsid w:val="00D6430E"/>
    <w:rsid w:val="00D6438A"/>
    <w:rsid w:val="00D644AB"/>
    <w:rsid w:val="00D646CE"/>
    <w:rsid w:val="00D646FA"/>
    <w:rsid w:val="00D64749"/>
    <w:rsid w:val="00D648A0"/>
    <w:rsid w:val="00D648E6"/>
    <w:rsid w:val="00D64930"/>
    <w:rsid w:val="00D649B9"/>
    <w:rsid w:val="00D64A11"/>
    <w:rsid w:val="00D64BEA"/>
    <w:rsid w:val="00D64DC4"/>
    <w:rsid w:val="00D64DC8"/>
    <w:rsid w:val="00D64FF7"/>
    <w:rsid w:val="00D65052"/>
    <w:rsid w:val="00D652C7"/>
    <w:rsid w:val="00D652CC"/>
    <w:rsid w:val="00D65301"/>
    <w:rsid w:val="00D65854"/>
    <w:rsid w:val="00D65BB6"/>
    <w:rsid w:val="00D65D6F"/>
    <w:rsid w:val="00D65D80"/>
    <w:rsid w:val="00D65EA4"/>
    <w:rsid w:val="00D65EC7"/>
    <w:rsid w:val="00D6605C"/>
    <w:rsid w:val="00D660C0"/>
    <w:rsid w:val="00D66194"/>
    <w:rsid w:val="00D661E8"/>
    <w:rsid w:val="00D66311"/>
    <w:rsid w:val="00D66366"/>
    <w:rsid w:val="00D66387"/>
    <w:rsid w:val="00D665FA"/>
    <w:rsid w:val="00D6670A"/>
    <w:rsid w:val="00D6685E"/>
    <w:rsid w:val="00D668BA"/>
    <w:rsid w:val="00D668C9"/>
    <w:rsid w:val="00D66A05"/>
    <w:rsid w:val="00D66A9B"/>
    <w:rsid w:val="00D66C09"/>
    <w:rsid w:val="00D67168"/>
    <w:rsid w:val="00D672AB"/>
    <w:rsid w:val="00D6735D"/>
    <w:rsid w:val="00D67404"/>
    <w:rsid w:val="00D67522"/>
    <w:rsid w:val="00D6765A"/>
    <w:rsid w:val="00D6778D"/>
    <w:rsid w:val="00D67B12"/>
    <w:rsid w:val="00D67BA9"/>
    <w:rsid w:val="00D67E9B"/>
    <w:rsid w:val="00D67F2F"/>
    <w:rsid w:val="00D67F55"/>
    <w:rsid w:val="00D701AE"/>
    <w:rsid w:val="00D70209"/>
    <w:rsid w:val="00D70348"/>
    <w:rsid w:val="00D70396"/>
    <w:rsid w:val="00D7064C"/>
    <w:rsid w:val="00D70751"/>
    <w:rsid w:val="00D70791"/>
    <w:rsid w:val="00D70834"/>
    <w:rsid w:val="00D70A0B"/>
    <w:rsid w:val="00D70B1C"/>
    <w:rsid w:val="00D70B37"/>
    <w:rsid w:val="00D70C21"/>
    <w:rsid w:val="00D70FB3"/>
    <w:rsid w:val="00D712E6"/>
    <w:rsid w:val="00D71347"/>
    <w:rsid w:val="00D71350"/>
    <w:rsid w:val="00D713E9"/>
    <w:rsid w:val="00D714BF"/>
    <w:rsid w:val="00D71C4C"/>
    <w:rsid w:val="00D71C66"/>
    <w:rsid w:val="00D71E94"/>
    <w:rsid w:val="00D71F0F"/>
    <w:rsid w:val="00D721E8"/>
    <w:rsid w:val="00D72475"/>
    <w:rsid w:val="00D726DB"/>
    <w:rsid w:val="00D727F2"/>
    <w:rsid w:val="00D72BE8"/>
    <w:rsid w:val="00D72DAA"/>
    <w:rsid w:val="00D73053"/>
    <w:rsid w:val="00D731CC"/>
    <w:rsid w:val="00D7326B"/>
    <w:rsid w:val="00D732BA"/>
    <w:rsid w:val="00D733CB"/>
    <w:rsid w:val="00D73512"/>
    <w:rsid w:val="00D7357B"/>
    <w:rsid w:val="00D736DC"/>
    <w:rsid w:val="00D73A2C"/>
    <w:rsid w:val="00D73B11"/>
    <w:rsid w:val="00D73B16"/>
    <w:rsid w:val="00D73B53"/>
    <w:rsid w:val="00D73B9F"/>
    <w:rsid w:val="00D73D4F"/>
    <w:rsid w:val="00D73D67"/>
    <w:rsid w:val="00D74043"/>
    <w:rsid w:val="00D7405C"/>
    <w:rsid w:val="00D7421A"/>
    <w:rsid w:val="00D742CE"/>
    <w:rsid w:val="00D744A9"/>
    <w:rsid w:val="00D744E4"/>
    <w:rsid w:val="00D7459C"/>
    <w:rsid w:val="00D7461A"/>
    <w:rsid w:val="00D74B43"/>
    <w:rsid w:val="00D74B71"/>
    <w:rsid w:val="00D74BEB"/>
    <w:rsid w:val="00D74C6D"/>
    <w:rsid w:val="00D74C71"/>
    <w:rsid w:val="00D74D1E"/>
    <w:rsid w:val="00D74D4F"/>
    <w:rsid w:val="00D74FEC"/>
    <w:rsid w:val="00D75151"/>
    <w:rsid w:val="00D752EF"/>
    <w:rsid w:val="00D752FF"/>
    <w:rsid w:val="00D7547C"/>
    <w:rsid w:val="00D7559E"/>
    <w:rsid w:val="00D757B7"/>
    <w:rsid w:val="00D75944"/>
    <w:rsid w:val="00D75A3D"/>
    <w:rsid w:val="00D75CF2"/>
    <w:rsid w:val="00D75DBC"/>
    <w:rsid w:val="00D75E7A"/>
    <w:rsid w:val="00D76207"/>
    <w:rsid w:val="00D7638B"/>
    <w:rsid w:val="00D7644B"/>
    <w:rsid w:val="00D7644D"/>
    <w:rsid w:val="00D766CC"/>
    <w:rsid w:val="00D768B4"/>
    <w:rsid w:val="00D76A57"/>
    <w:rsid w:val="00D76C25"/>
    <w:rsid w:val="00D76E11"/>
    <w:rsid w:val="00D76E7A"/>
    <w:rsid w:val="00D77523"/>
    <w:rsid w:val="00D77671"/>
    <w:rsid w:val="00D77675"/>
    <w:rsid w:val="00D77709"/>
    <w:rsid w:val="00D777CD"/>
    <w:rsid w:val="00D77A77"/>
    <w:rsid w:val="00D77BBF"/>
    <w:rsid w:val="00D77D98"/>
    <w:rsid w:val="00D77DCD"/>
    <w:rsid w:val="00D77E92"/>
    <w:rsid w:val="00D77FFA"/>
    <w:rsid w:val="00D8000C"/>
    <w:rsid w:val="00D80513"/>
    <w:rsid w:val="00D80540"/>
    <w:rsid w:val="00D8061B"/>
    <w:rsid w:val="00D8079D"/>
    <w:rsid w:val="00D8082F"/>
    <w:rsid w:val="00D80CF9"/>
    <w:rsid w:val="00D80EE3"/>
    <w:rsid w:val="00D8103E"/>
    <w:rsid w:val="00D8107B"/>
    <w:rsid w:val="00D810A2"/>
    <w:rsid w:val="00D81138"/>
    <w:rsid w:val="00D811C4"/>
    <w:rsid w:val="00D8139A"/>
    <w:rsid w:val="00D81628"/>
    <w:rsid w:val="00D81669"/>
    <w:rsid w:val="00D8166B"/>
    <w:rsid w:val="00D81988"/>
    <w:rsid w:val="00D81ED9"/>
    <w:rsid w:val="00D81EF6"/>
    <w:rsid w:val="00D821A1"/>
    <w:rsid w:val="00D821E7"/>
    <w:rsid w:val="00D822F8"/>
    <w:rsid w:val="00D8274F"/>
    <w:rsid w:val="00D82AA5"/>
    <w:rsid w:val="00D82B04"/>
    <w:rsid w:val="00D82C3E"/>
    <w:rsid w:val="00D83262"/>
    <w:rsid w:val="00D8332D"/>
    <w:rsid w:val="00D833DA"/>
    <w:rsid w:val="00D835B1"/>
    <w:rsid w:val="00D8366A"/>
    <w:rsid w:val="00D83736"/>
    <w:rsid w:val="00D838D1"/>
    <w:rsid w:val="00D83A3C"/>
    <w:rsid w:val="00D83BCF"/>
    <w:rsid w:val="00D83D5A"/>
    <w:rsid w:val="00D83E08"/>
    <w:rsid w:val="00D83E93"/>
    <w:rsid w:val="00D84046"/>
    <w:rsid w:val="00D84345"/>
    <w:rsid w:val="00D844C0"/>
    <w:rsid w:val="00D84572"/>
    <w:rsid w:val="00D84855"/>
    <w:rsid w:val="00D84896"/>
    <w:rsid w:val="00D84A25"/>
    <w:rsid w:val="00D84B71"/>
    <w:rsid w:val="00D84C10"/>
    <w:rsid w:val="00D84C83"/>
    <w:rsid w:val="00D84D30"/>
    <w:rsid w:val="00D84EE9"/>
    <w:rsid w:val="00D85004"/>
    <w:rsid w:val="00D850DD"/>
    <w:rsid w:val="00D85218"/>
    <w:rsid w:val="00D852C4"/>
    <w:rsid w:val="00D853A8"/>
    <w:rsid w:val="00D854C6"/>
    <w:rsid w:val="00D85799"/>
    <w:rsid w:val="00D858F3"/>
    <w:rsid w:val="00D85A0A"/>
    <w:rsid w:val="00D85C33"/>
    <w:rsid w:val="00D85FAB"/>
    <w:rsid w:val="00D861A8"/>
    <w:rsid w:val="00D8624F"/>
    <w:rsid w:val="00D863B1"/>
    <w:rsid w:val="00D863C8"/>
    <w:rsid w:val="00D865D6"/>
    <w:rsid w:val="00D86634"/>
    <w:rsid w:val="00D868AE"/>
    <w:rsid w:val="00D868D8"/>
    <w:rsid w:val="00D86982"/>
    <w:rsid w:val="00D86B00"/>
    <w:rsid w:val="00D86B0D"/>
    <w:rsid w:val="00D86D1F"/>
    <w:rsid w:val="00D86D96"/>
    <w:rsid w:val="00D86E33"/>
    <w:rsid w:val="00D86E40"/>
    <w:rsid w:val="00D8715C"/>
    <w:rsid w:val="00D8738D"/>
    <w:rsid w:val="00D87391"/>
    <w:rsid w:val="00D874F8"/>
    <w:rsid w:val="00D8765A"/>
    <w:rsid w:val="00D876A9"/>
    <w:rsid w:val="00D876B1"/>
    <w:rsid w:val="00D87720"/>
    <w:rsid w:val="00D87834"/>
    <w:rsid w:val="00D87939"/>
    <w:rsid w:val="00D87A75"/>
    <w:rsid w:val="00D87CA7"/>
    <w:rsid w:val="00D87E6A"/>
    <w:rsid w:val="00D87FB1"/>
    <w:rsid w:val="00D90069"/>
    <w:rsid w:val="00D90126"/>
    <w:rsid w:val="00D90158"/>
    <w:rsid w:val="00D901B5"/>
    <w:rsid w:val="00D90276"/>
    <w:rsid w:val="00D90444"/>
    <w:rsid w:val="00D9050E"/>
    <w:rsid w:val="00D9074C"/>
    <w:rsid w:val="00D9075F"/>
    <w:rsid w:val="00D90A9D"/>
    <w:rsid w:val="00D90AEA"/>
    <w:rsid w:val="00D90B67"/>
    <w:rsid w:val="00D90BDA"/>
    <w:rsid w:val="00D90C2E"/>
    <w:rsid w:val="00D90DBE"/>
    <w:rsid w:val="00D90EB3"/>
    <w:rsid w:val="00D90F42"/>
    <w:rsid w:val="00D91262"/>
    <w:rsid w:val="00D91282"/>
    <w:rsid w:val="00D91539"/>
    <w:rsid w:val="00D91716"/>
    <w:rsid w:val="00D91996"/>
    <w:rsid w:val="00D91A65"/>
    <w:rsid w:val="00D91B77"/>
    <w:rsid w:val="00D91BA6"/>
    <w:rsid w:val="00D91C52"/>
    <w:rsid w:val="00D9205A"/>
    <w:rsid w:val="00D9231A"/>
    <w:rsid w:val="00D92334"/>
    <w:rsid w:val="00D9243A"/>
    <w:rsid w:val="00D9246A"/>
    <w:rsid w:val="00D924CF"/>
    <w:rsid w:val="00D926BD"/>
    <w:rsid w:val="00D92B1B"/>
    <w:rsid w:val="00D92B95"/>
    <w:rsid w:val="00D92D07"/>
    <w:rsid w:val="00D92E05"/>
    <w:rsid w:val="00D92E6C"/>
    <w:rsid w:val="00D92E8F"/>
    <w:rsid w:val="00D92EB0"/>
    <w:rsid w:val="00D930C0"/>
    <w:rsid w:val="00D930EE"/>
    <w:rsid w:val="00D9312D"/>
    <w:rsid w:val="00D931AF"/>
    <w:rsid w:val="00D93299"/>
    <w:rsid w:val="00D932D9"/>
    <w:rsid w:val="00D93539"/>
    <w:rsid w:val="00D93663"/>
    <w:rsid w:val="00D93677"/>
    <w:rsid w:val="00D936CD"/>
    <w:rsid w:val="00D936FA"/>
    <w:rsid w:val="00D93859"/>
    <w:rsid w:val="00D938B8"/>
    <w:rsid w:val="00D93A37"/>
    <w:rsid w:val="00D93C11"/>
    <w:rsid w:val="00D93C1D"/>
    <w:rsid w:val="00D93C82"/>
    <w:rsid w:val="00D93D4A"/>
    <w:rsid w:val="00D93F4F"/>
    <w:rsid w:val="00D93F80"/>
    <w:rsid w:val="00D94006"/>
    <w:rsid w:val="00D94013"/>
    <w:rsid w:val="00D943C4"/>
    <w:rsid w:val="00D94550"/>
    <w:rsid w:val="00D94559"/>
    <w:rsid w:val="00D94665"/>
    <w:rsid w:val="00D94671"/>
    <w:rsid w:val="00D947E3"/>
    <w:rsid w:val="00D9485E"/>
    <w:rsid w:val="00D948B7"/>
    <w:rsid w:val="00D94914"/>
    <w:rsid w:val="00D94B97"/>
    <w:rsid w:val="00D94C30"/>
    <w:rsid w:val="00D95099"/>
    <w:rsid w:val="00D956BB"/>
    <w:rsid w:val="00D9593B"/>
    <w:rsid w:val="00D959D3"/>
    <w:rsid w:val="00D95A44"/>
    <w:rsid w:val="00D95AB2"/>
    <w:rsid w:val="00D95B1B"/>
    <w:rsid w:val="00D95BB1"/>
    <w:rsid w:val="00D95BE0"/>
    <w:rsid w:val="00D96218"/>
    <w:rsid w:val="00D964FF"/>
    <w:rsid w:val="00D96842"/>
    <w:rsid w:val="00D968AC"/>
    <w:rsid w:val="00D96AD9"/>
    <w:rsid w:val="00D96AF4"/>
    <w:rsid w:val="00D96C6C"/>
    <w:rsid w:val="00D96D17"/>
    <w:rsid w:val="00D96F45"/>
    <w:rsid w:val="00D970FD"/>
    <w:rsid w:val="00D97158"/>
    <w:rsid w:val="00D97263"/>
    <w:rsid w:val="00D97342"/>
    <w:rsid w:val="00D974A1"/>
    <w:rsid w:val="00D97694"/>
    <w:rsid w:val="00D977B7"/>
    <w:rsid w:val="00D978D3"/>
    <w:rsid w:val="00D978D7"/>
    <w:rsid w:val="00D97A29"/>
    <w:rsid w:val="00D97A5B"/>
    <w:rsid w:val="00D97AF6"/>
    <w:rsid w:val="00D97C40"/>
    <w:rsid w:val="00D97C70"/>
    <w:rsid w:val="00D97D04"/>
    <w:rsid w:val="00D97D7B"/>
    <w:rsid w:val="00D97EDD"/>
    <w:rsid w:val="00D97F64"/>
    <w:rsid w:val="00DA0077"/>
    <w:rsid w:val="00DA009F"/>
    <w:rsid w:val="00DA0225"/>
    <w:rsid w:val="00DA025B"/>
    <w:rsid w:val="00DA058D"/>
    <w:rsid w:val="00DA05F5"/>
    <w:rsid w:val="00DA077E"/>
    <w:rsid w:val="00DA0B3E"/>
    <w:rsid w:val="00DA0C83"/>
    <w:rsid w:val="00DA0DA1"/>
    <w:rsid w:val="00DA0DCE"/>
    <w:rsid w:val="00DA12C4"/>
    <w:rsid w:val="00DA13DE"/>
    <w:rsid w:val="00DA144A"/>
    <w:rsid w:val="00DA149A"/>
    <w:rsid w:val="00DA14A4"/>
    <w:rsid w:val="00DA1757"/>
    <w:rsid w:val="00DA19E5"/>
    <w:rsid w:val="00DA1C13"/>
    <w:rsid w:val="00DA1C24"/>
    <w:rsid w:val="00DA1D13"/>
    <w:rsid w:val="00DA1D95"/>
    <w:rsid w:val="00DA1ED6"/>
    <w:rsid w:val="00DA1F52"/>
    <w:rsid w:val="00DA1F82"/>
    <w:rsid w:val="00DA22FD"/>
    <w:rsid w:val="00DA252C"/>
    <w:rsid w:val="00DA253C"/>
    <w:rsid w:val="00DA27C8"/>
    <w:rsid w:val="00DA27D6"/>
    <w:rsid w:val="00DA2964"/>
    <w:rsid w:val="00DA2AA0"/>
    <w:rsid w:val="00DA2E50"/>
    <w:rsid w:val="00DA2FA5"/>
    <w:rsid w:val="00DA32E6"/>
    <w:rsid w:val="00DA32EC"/>
    <w:rsid w:val="00DA3523"/>
    <w:rsid w:val="00DA375B"/>
    <w:rsid w:val="00DA3789"/>
    <w:rsid w:val="00DA383F"/>
    <w:rsid w:val="00DA38C6"/>
    <w:rsid w:val="00DA3B64"/>
    <w:rsid w:val="00DA3E19"/>
    <w:rsid w:val="00DA3E25"/>
    <w:rsid w:val="00DA3EA8"/>
    <w:rsid w:val="00DA404F"/>
    <w:rsid w:val="00DA4092"/>
    <w:rsid w:val="00DA40EA"/>
    <w:rsid w:val="00DA4137"/>
    <w:rsid w:val="00DA442A"/>
    <w:rsid w:val="00DA453A"/>
    <w:rsid w:val="00DA4656"/>
    <w:rsid w:val="00DA493D"/>
    <w:rsid w:val="00DA4997"/>
    <w:rsid w:val="00DA4C57"/>
    <w:rsid w:val="00DA4EDE"/>
    <w:rsid w:val="00DA542C"/>
    <w:rsid w:val="00DA545F"/>
    <w:rsid w:val="00DA58A4"/>
    <w:rsid w:val="00DA5A8B"/>
    <w:rsid w:val="00DA5DA8"/>
    <w:rsid w:val="00DA5FD4"/>
    <w:rsid w:val="00DA60D2"/>
    <w:rsid w:val="00DA6179"/>
    <w:rsid w:val="00DA6315"/>
    <w:rsid w:val="00DA63F6"/>
    <w:rsid w:val="00DA6415"/>
    <w:rsid w:val="00DA650E"/>
    <w:rsid w:val="00DA6586"/>
    <w:rsid w:val="00DA686A"/>
    <w:rsid w:val="00DA68AD"/>
    <w:rsid w:val="00DA692E"/>
    <w:rsid w:val="00DA696A"/>
    <w:rsid w:val="00DA6A6D"/>
    <w:rsid w:val="00DA6A80"/>
    <w:rsid w:val="00DA6C15"/>
    <w:rsid w:val="00DA6C20"/>
    <w:rsid w:val="00DA6C91"/>
    <w:rsid w:val="00DA6CC9"/>
    <w:rsid w:val="00DA6D02"/>
    <w:rsid w:val="00DA7122"/>
    <w:rsid w:val="00DA718C"/>
    <w:rsid w:val="00DA725D"/>
    <w:rsid w:val="00DA748D"/>
    <w:rsid w:val="00DA763F"/>
    <w:rsid w:val="00DA7795"/>
    <w:rsid w:val="00DA79F8"/>
    <w:rsid w:val="00DA7AF9"/>
    <w:rsid w:val="00DA7B2F"/>
    <w:rsid w:val="00DA7B62"/>
    <w:rsid w:val="00DA7B66"/>
    <w:rsid w:val="00DA7B9D"/>
    <w:rsid w:val="00DA7C5E"/>
    <w:rsid w:val="00DA7CA9"/>
    <w:rsid w:val="00DA7E9B"/>
    <w:rsid w:val="00DA7FB4"/>
    <w:rsid w:val="00DB006D"/>
    <w:rsid w:val="00DB0099"/>
    <w:rsid w:val="00DB0160"/>
    <w:rsid w:val="00DB0165"/>
    <w:rsid w:val="00DB0426"/>
    <w:rsid w:val="00DB04B9"/>
    <w:rsid w:val="00DB079B"/>
    <w:rsid w:val="00DB0C64"/>
    <w:rsid w:val="00DB0E94"/>
    <w:rsid w:val="00DB1646"/>
    <w:rsid w:val="00DB1999"/>
    <w:rsid w:val="00DB1C8D"/>
    <w:rsid w:val="00DB213A"/>
    <w:rsid w:val="00DB2240"/>
    <w:rsid w:val="00DB22E4"/>
    <w:rsid w:val="00DB22FC"/>
    <w:rsid w:val="00DB248C"/>
    <w:rsid w:val="00DB2674"/>
    <w:rsid w:val="00DB2850"/>
    <w:rsid w:val="00DB28EF"/>
    <w:rsid w:val="00DB2AC1"/>
    <w:rsid w:val="00DB2C04"/>
    <w:rsid w:val="00DB2C66"/>
    <w:rsid w:val="00DB2DA3"/>
    <w:rsid w:val="00DB31AF"/>
    <w:rsid w:val="00DB3269"/>
    <w:rsid w:val="00DB32A7"/>
    <w:rsid w:val="00DB32EB"/>
    <w:rsid w:val="00DB34C6"/>
    <w:rsid w:val="00DB35D3"/>
    <w:rsid w:val="00DB376B"/>
    <w:rsid w:val="00DB386D"/>
    <w:rsid w:val="00DB3A6B"/>
    <w:rsid w:val="00DB3BBE"/>
    <w:rsid w:val="00DB3E6D"/>
    <w:rsid w:val="00DB3F2D"/>
    <w:rsid w:val="00DB4128"/>
    <w:rsid w:val="00DB413A"/>
    <w:rsid w:val="00DB429A"/>
    <w:rsid w:val="00DB4454"/>
    <w:rsid w:val="00DB44B8"/>
    <w:rsid w:val="00DB472C"/>
    <w:rsid w:val="00DB476C"/>
    <w:rsid w:val="00DB489E"/>
    <w:rsid w:val="00DB48EA"/>
    <w:rsid w:val="00DB49F7"/>
    <w:rsid w:val="00DB4A34"/>
    <w:rsid w:val="00DB4BB6"/>
    <w:rsid w:val="00DB4C01"/>
    <w:rsid w:val="00DB4CD2"/>
    <w:rsid w:val="00DB4DF5"/>
    <w:rsid w:val="00DB4F71"/>
    <w:rsid w:val="00DB507A"/>
    <w:rsid w:val="00DB5098"/>
    <w:rsid w:val="00DB5318"/>
    <w:rsid w:val="00DB531D"/>
    <w:rsid w:val="00DB53B5"/>
    <w:rsid w:val="00DB5435"/>
    <w:rsid w:val="00DB5701"/>
    <w:rsid w:val="00DB5883"/>
    <w:rsid w:val="00DB5B13"/>
    <w:rsid w:val="00DB5B76"/>
    <w:rsid w:val="00DB5C1E"/>
    <w:rsid w:val="00DB5C87"/>
    <w:rsid w:val="00DB5CA6"/>
    <w:rsid w:val="00DB5D19"/>
    <w:rsid w:val="00DB5F58"/>
    <w:rsid w:val="00DB5F5A"/>
    <w:rsid w:val="00DB60C5"/>
    <w:rsid w:val="00DB60F1"/>
    <w:rsid w:val="00DB618C"/>
    <w:rsid w:val="00DB61DB"/>
    <w:rsid w:val="00DB6222"/>
    <w:rsid w:val="00DB6262"/>
    <w:rsid w:val="00DB638B"/>
    <w:rsid w:val="00DB6594"/>
    <w:rsid w:val="00DB689F"/>
    <w:rsid w:val="00DB692F"/>
    <w:rsid w:val="00DB696A"/>
    <w:rsid w:val="00DB6973"/>
    <w:rsid w:val="00DB6A41"/>
    <w:rsid w:val="00DB6A9C"/>
    <w:rsid w:val="00DB6ABF"/>
    <w:rsid w:val="00DB6AC4"/>
    <w:rsid w:val="00DB6ED8"/>
    <w:rsid w:val="00DB705B"/>
    <w:rsid w:val="00DB71A8"/>
    <w:rsid w:val="00DB76DB"/>
    <w:rsid w:val="00DB772E"/>
    <w:rsid w:val="00DB7879"/>
    <w:rsid w:val="00DB79BD"/>
    <w:rsid w:val="00DB7A51"/>
    <w:rsid w:val="00DB7AB0"/>
    <w:rsid w:val="00DB7B1C"/>
    <w:rsid w:val="00DB7C12"/>
    <w:rsid w:val="00DB7CB2"/>
    <w:rsid w:val="00DB7DDF"/>
    <w:rsid w:val="00DB7FC3"/>
    <w:rsid w:val="00DC0161"/>
    <w:rsid w:val="00DC02E6"/>
    <w:rsid w:val="00DC030A"/>
    <w:rsid w:val="00DC033A"/>
    <w:rsid w:val="00DC04E4"/>
    <w:rsid w:val="00DC0559"/>
    <w:rsid w:val="00DC059D"/>
    <w:rsid w:val="00DC05CB"/>
    <w:rsid w:val="00DC0661"/>
    <w:rsid w:val="00DC0831"/>
    <w:rsid w:val="00DC0939"/>
    <w:rsid w:val="00DC0A52"/>
    <w:rsid w:val="00DC0B12"/>
    <w:rsid w:val="00DC0C7C"/>
    <w:rsid w:val="00DC0D2A"/>
    <w:rsid w:val="00DC0DAD"/>
    <w:rsid w:val="00DC1163"/>
    <w:rsid w:val="00DC1277"/>
    <w:rsid w:val="00DC1371"/>
    <w:rsid w:val="00DC140B"/>
    <w:rsid w:val="00DC14AC"/>
    <w:rsid w:val="00DC152E"/>
    <w:rsid w:val="00DC163E"/>
    <w:rsid w:val="00DC178F"/>
    <w:rsid w:val="00DC17D8"/>
    <w:rsid w:val="00DC180D"/>
    <w:rsid w:val="00DC1845"/>
    <w:rsid w:val="00DC1B79"/>
    <w:rsid w:val="00DC1DDD"/>
    <w:rsid w:val="00DC1EF5"/>
    <w:rsid w:val="00DC2344"/>
    <w:rsid w:val="00DC25AC"/>
    <w:rsid w:val="00DC25F4"/>
    <w:rsid w:val="00DC27B1"/>
    <w:rsid w:val="00DC2BD4"/>
    <w:rsid w:val="00DC2C74"/>
    <w:rsid w:val="00DC2EEF"/>
    <w:rsid w:val="00DC3015"/>
    <w:rsid w:val="00DC322A"/>
    <w:rsid w:val="00DC362B"/>
    <w:rsid w:val="00DC37B7"/>
    <w:rsid w:val="00DC3A13"/>
    <w:rsid w:val="00DC3A91"/>
    <w:rsid w:val="00DC3C36"/>
    <w:rsid w:val="00DC3CA1"/>
    <w:rsid w:val="00DC3ECA"/>
    <w:rsid w:val="00DC3F70"/>
    <w:rsid w:val="00DC4084"/>
    <w:rsid w:val="00DC414B"/>
    <w:rsid w:val="00DC427C"/>
    <w:rsid w:val="00DC448A"/>
    <w:rsid w:val="00DC4558"/>
    <w:rsid w:val="00DC45AB"/>
    <w:rsid w:val="00DC4729"/>
    <w:rsid w:val="00DC4952"/>
    <w:rsid w:val="00DC4C15"/>
    <w:rsid w:val="00DC511E"/>
    <w:rsid w:val="00DC5417"/>
    <w:rsid w:val="00DC546B"/>
    <w:rsid w:val="00DC54C9"/>
    <w:rsid w:val="00DC55D0"/>
    <w:rsid w:val="00DC586B"/>
    <w:rsid w:val="00DC58D5"/>
    <w:rsid w:val="00DC5946"/>
    <w:rsid w:val="00DC5A5C"/>
    <w:rsid w:val="00DC5AE2"/>
    <w:rsid w:val="00DC5BA7"/>
    <w:rsid w:val="00DC5EA3"/>
    <w:rsid w:val="00DC5ED1"/>
    <w:rsid w:val="00DC5EF2"/>
    <w:rsid w:val="00DC5FE9"/>
    <w:rsid w:val="00DC65E0"/>
    <w:rsid w:val="00DC69D5"/>
    <w:rsid w:val="00DC6AAB"/>
    <w:rsid w:val="00DC6B39"/>
    <w:rsid w:val="00DC6BAE"/>
    <w:rsid w:val="00DC6CE6"/>
    <w:rsid w:val="00DC6DC4"/>
    <w:rsid w:val="00DC6DFC"/>
    <w:rsid w:val="00DC6E1A"/>
    <w:rsid w:val="00DC6EA2"/>
    <w:rsid w:val="00DC6FCB"/>
    <w:rsid w:val="00DC7251"/>
    <w:rsid w:val="00DC72ED"/>
    <w:rsid w:val="00DC73C4"/>
    <w:rsid w:val="00DC746C"/>
    <w:rsid w:val="00DC74E5"/>
    <w:rsid w:val="00DC7546"/>
    <w:rsid w:val="00DC7812"/>
    <w:rsid w:val="00DC7881"/>
    <w:rsid w:val="00DC7943"/>
    <w:rsid w:val="00DC7A5C"/>
    <w:rsid w:val="00DC7AD5"/>
    <w:rsid w:val="00DC7C44"/>
    <w:rsid w:val="00DC7C82"/>
    <w:rsid w:val="00DD045B"/>
    <w:rsid w:val="00DD04BD"/>
    <w:rsid w:val="00DD0531"/>
    <w:rsid w:val="00DD058A"/>
    <w:rsid w:val="00DD05C4"/>
    <w:rsid w:val="00DD0604"/>
    <w:rsid w:val="00DD06C2"/>
    <w:rsid w:val="00DD07BE"/>
    <w:rsid w:val="00DD082A"/>
    <w:rsid w:val="00DD098C"/>
    <w:rsid w:val="00DD0DA7"/>
    <w:rsid w:val="00DD0DA9"/>
    <w:rsid w:val="00DD0F0A"/>
    <w:rsid w:val="00DD0FAD"/>
    <w:rsid w:val="00DD12BD"/>
    <w:rsid w:val="00DD1441"/>
    <w:rsid w:val="00DD15DF"/>
    <w:rsid w:val="00DD162B"/>
    <w:rsid w:val="00DD16C7"/>
    <w:rsid w:val="00DD19F4"/>
    <w:rsid w:val="00DD1C72"/>
    <w:rsid w:val="00DD1D5E"/>
    <w:rsid w:val="00DD1E02"/>
    <w:rsid w:val="00DD2326"/>
    <w:rsid w:val="00DD23A5"/>
    <w:rsid w:val="00DD2461"/>
    <w:rsid w:val="00DD2ACB"/>
    <w:rsid w:val="00DD2B6B"/>
    <w:rsid w:val="00DD2DA7"/>
    <w:rsid w:val="00DD2E52"/>
    <w:rsid w:val="00DD2E9C"/>
    <w:rsid w:val="00DD2EE1"/>
    <w:rsid w:val="00DD2F78"/>
    <w:rsid w:val="00DD2FD2"/>
    <w:rsid w:val="00DD304F"/>
    <w:rsid w:val="00DD30E9"/>
    <w:rsid w:val="00DD3148"/>
    <w:rsid w:val="00DD325E"/>
    <w:rsid w:val="00DD326A"/>
    <w:rsid w:val="00DD3276"/>
    <w:rsid w:val="00DD32DC"/>
    <w:rsid w:val="00DD32DD"/>
    <w:rsid w:val="00DD3719"/>
    <w:rsid w:val="00DD371B"/>
    <w:rsid w:val="00DD3778"/>
    <w:rsid w:val="00DD37A7"/>
    <w:rsid w:val="00DD37B2"/>
    <w:rsid w:val="00DD386C"/>
    <w:rsid w:val="00DD38A9"/>
    <w:rsid w:val="00DD3937"/>
    <w:rsid w:val="00DD3E0E"/>
    <w:rsid w:val="00DD3FB4"/>
    <w:rsid w:val="00DD42EC"/>
    <w:rsid w:val="00DD4677"/>
    <w:rsid w:val="00DD4753"/>
    <w:rsid w:val="00DD4AFD"/>
    <w:rsid w:val="00DD4F75"/>
    <w:rsid w:val="00DD4FEC"/>
    <w:rsid w:val="00DD511F"/>
    <w:rsid w:val="00DD52F0"/>
    <w:rsid w:val="00DD56BE"/>
    <w:rsid w:val="00DD571A"/>
    <w:rsid w:val="00DD5B32"/>
    <w:rsid w:val="00DD5D7C"/>
    <w:rsid w:val="00DD6081"/>
    <w:rsid w:val="00DD6327"/>
    <w:rsid w:val="00DD63FA"/>
    <w:rsid w:val="00DD64CC"/>
    <w:rsid w:val="00DD6622"/>
    <w:rsid w:val="00DD6688"/>
    <w:rsid w:val="00DD66F6"/>
    <w:rsid w:val="00DD6B3E"/>
    <w:rsid w:val="00DD6C0B"/>
    <w:rsid w:val="00DD6D60"/>
    <w:rsid w:val="00DD6E2F"/>
    <w:rsid w:val="00DD70FA"/>
    <w:rsid w:val="00DD712A"/>
    <w:rsid w:val="00DD72A8"/>
    <w:rsid w:val="00DD74F1"/>
    <w:rsid w:val="00DD75F3"/>
    <w:rsid w:val="00DD76B0"/>
    <w:rsid w:val="00DD7762"/>
    <w:rsid w:val="00DD77AE"/>
    <w:rsid w:val="00DD77F7"/>
    <w:rsid w:val="00DD7849"/>
    <w:rsid w:val="00DD7886"/>
    <w:rsid w:val="00DD7A58"/>
    <w:rsid w:val="00DD7A9B"/>
    <w:rsid w:val="00DD7AD3"/>
    <w:rsid w:val="00DD7B2E"/>
    <w:rsid w:val="00DD7EA5"/>
    <w:rsid w:val="00DE0249"/>
    <w:rsid w:val="00DE03E4"/>
    <w:rsid w:val="00DE05E6"/>
    <w:rsid w:val="00DE0669"/>
    <w:rsid w:val="00DE07F6"/>
    <w:rsid w:val="00DE0932"/>
    <w:rsid w:val="00DE0A09"/>
    <w:rsid w:val="00DE0C33"/>
    <w:rsid w:val="00DE0CAF"/>
    <w:rsid w:val="00DE0D88"/>
    <w:rsid w:val="00DE107C"/>
    <w:rsid w:val="00DE116F"/>
    <w:rsid w:val="00DE1A9C"/>
    <w:rsid w:val="00DE1AFE"/>
    <w:rsid w:val="00DE1BEA"/>
    <w:rsid w:val="00DE1FFB"/>
    <w:rsid w:val="00DE211C"/>
    <w:rsid w:val="00DE21BA"/>
    <w:rsid w:val="00DE2202"/>
    <w:rsid w:val="00DE2468"/>
    <w:rsid w:val="00DE269B"/>
    <w:rsid w:val="00DE26D3"/>
    <w:rsid w:val="00DE26E4"/>
    <w:rsid w:val="00DE2731"/>
    <w:rsid w:val="00DE2753"/>
    <w:rsid w:val="00DE27CA"/>
    <w:rsid w:val="00DE2AA9"/>
    <w:rsid w:val="00DE2C7A"/>
    <w:rsid w:val="00DE2CED"/>
    <w:rsid w:val="00DE2D4B"/>
    <w:rsid w:val="00DE2DA8"/>
    <w:rsid w:val="00DE2DDA"/>
    <w:rsid w:val="00DE2FC2"/>
    <w:rsid w:val="00DE317B"/>
    <w:rsid w:val="00DE32C3"/>
    <w:rsid w:val="00DE32E8"/>
    <w:rsid w:val="00DE33AF"/>
    <w:rsid w:val="00DE3517"/>
    <w:rsid w:val="00DE3531"/>
    <w:rsid w:val="00DE35EA"/>
    <w:rsid w:val="00DE38D8"/>
    <w:rsid w:val="00DE3A3A"/>
    <w:rsid w:val="00DE3CE3"/>
    <w:rsid w:val="00DE3D75"/>
    <w:rsid w:val="00DE4039"/>
    <w:rsid w:val="00DE4072"/>
    <w:rsid w:val="00DE41C8"/>
    <w:rsid w:val="00DE43AD"/>
    <w:rsid w:val="00DE4597"/>
    <w:rsid w:val="00DE47A3"/>
    <w:rsid w:val="00DE47C3"/>
    <w:rsid w:val="00DE47D2"/>
    <w:rsid w:val="00DE47FD"/>
    <w:rsid w:val="00DE49EC"/>
    <w:rsid w:val="00DE4A12"/>
    <w:rsid w:val="00DE4A46"/>
    <w:rsid w:val="00DE4C46"/>
    <w:rsid w:val="00DE4D70"/>
    <w:rsid w:val="00DE4F61"/>
    <w:rsid w:val="00DE5352"/>
    <w:rsid w:val="00DE559A"/>
    <w:rsid w:val="00DE5878"/>
    <w:rsid w:val="00DE59F3"/>
    <w:rsid w:val="00DE59FF"/>
    <w:rsid w:val="00DE5A3F"/>
    <w:rsid w:val="00DE5CFD"/>
    <w:rsid w:val="00DE5F17"/>
    <w:rsid w:val="00DE5F8E"/>
    <w:rsid w:val="00DE629F"/>
    <w:rsid w:val="00DE62B1"/>
    <w:rsid w:val="00DE6413"/>
    <w:rsid w:val="00DE652A"/>
    <w:rsid w:val="00DE675C"/>
    <w:rsid w:val="00DE68FA"/>
    <w:rsid w:val="00DE6A86"/>
    <w:rsid w:val="00DE6AE5"/>
    <w:rsid w:val="00DE6B67"/>
    <w:rsid w:val="00DE6D4B"/>
    <w:rsid w:val="00DE6E74"/>
    <w:rsid w:val="00DE6F5D"/>
    <w:rsid w:val="00DE7173"/>
    <w:rsid w:val="00DE7350"/>
    <w:rsid w:val="00DE7388"/>
    <w:rsid w:val="00DE739E"/>
    <w:rsid w:val="00DE7525"/>
    <w:rsid w:val="00DE7B07"/>
    <w:rsid w:val="00DE7E9C"/>
    <w:rsid w:val="00DE7F56"/>
    <w:rsid w:val="00DF026E"/>
    <w:rsid w:val="00DF02E6"/>
    <w:rsid w:val="00DF04D5"/>
    <w:rsid w:val="00DF05CF"/>
    <w:rsid w:val="00DF0801"/>
    <w:rsid w:val="00DF0A6A"/>
    <w:rsid w:val="00DF0A73"/>
    <w:rsid w:val="00DF0FE9"/>
    <w:rsid w:val="00DF108F"/>
    <w:rsid w:val="00DF10E4"/>
    <w:rsid w:val="00DF11B2"/>
    <w:rsid w:val="00DF1586"/>
    <w:rsid w:val="00DF16F3"/>
    <w:rsid w:val="00DF175A"/>
    <w:rsid w:val="00DF183E"/>
    <w:rsid w:val="00DF18BE"/>
    <w:rsid w:val="00DF1932"/>
    <w:rsid w:val="00DF1971"/>
    <w:rsid w:val="00DF1AC3"/>
    <w:rsid w:val="00DF1B26"/>
    <w:rsid w:val="00DF1D05"/>
    <w:rsid w:val="00DF1E31"/>
    <w:rsid w:val="00DF2004"/>
    <w:rsid w:val="00DF20DC"/>
    <w:rsid w:val="00DF222A"/>
    <w:rsid w:val="00DF236F"/>
    <w:rsid w:val="00DF249E"/>
    <w:rsid w:val="00DF2520"/>
    <w:rsid w:val="00DF25E2"/>
    <w:rsid w:val="00DF263F"/>
    <w:rsid w:val="00DF2725"/>
    <w:rsid w:val="00DF2952"/>
    <w:rsid w:val="00DF2A12"/>
    <w:rsid w:val="00DF2C59"/>
    <w:rsid w:val="00DF2DBB"/>
    <w:rsid w:val="00DF2EAC"/>
    <w:rsid w:val="00DF301A"/>
    <w:rsid w:val="00DF319B"/>
    <w:rsid w:val="00DF3219"/>
    <w:rsid w:val="00DF365C"/>
    <w:rsid w:val="00DF3745"/>
    <w:rsid w:val="00DF39A4"/>
    <w:rsid w:val="00DF410C"/>
    <w:rsid w:val="00DF42F5"/>
    <w:rsid w:val="00DF451A"/>
    <w:rsid w:val="00DF45A2"/>
    <w:rsid w:val="00DF45B4"/>
    <w:rsid w:val="00DF45BF"/>
    <w:rsid w:val="00DF4660"/>
    <w:rsid w:val="00DF4999"/>
    <w:rsid w:val="00DF4A51"/>
    <w:rsid w:val="00DF4A5C"/>
    <w:rsid w:val="00DF4C46"/>
    <w:rsid w:val="00DF4E30"/>
    <w:rsid w:val="00DF4F59"/>
    <w:rsid w:val="00DF5193"/>
    <w:rsid w:val="00DF5267"/>
    <w:rsid w:val="00DF548E"/>
    <w:rsid w:val="00DF54AC"/>
    <w:rsid w:val="00DF5651"/>
    <w:rsid w:val="00DF57DD"/>
    <w:rsid w:val="00DF57F8"/>
    <w:rsid w:val="00DF58CC"/>
    <w:rsid w:val="00DF592D"/>
    <w:rsid w:val="00DF594B"/>
    <w:rsid w:val="00DF59F0"/>
    <w:rsid w:val="00DF5C78"/>
    <w:rsid w:val="00DF5D8D"/>
    <w:rsid w:val="00DF5EF7"/>
    <w:rsid w:val="00DF6277"/>
    <w:rsid w:val="00DF62DC"/>
    <w:rsid w:val="00DF63D1"/>
    <w:rsid w:val="00DF64E4"/>
    <w:rsid w:val="00DF6611"/>
    <w:rsid w:val="00DF6734"/>
    <w:rsid w:val="00DF68FD"/>
    <w:rsid w:val="00DF6D1E"/>
    <w:rsid w:val="00DF6F66"/>
    <w:rsid w:val="00DF7318"/>
    <w:rsid w:val="00DF73F7"/>
    <w:rsid w:val="00DF7460"/>
    <w:rsid w:val="00DF78A4"/>
    <w:rsid w:val="00DF7912"/>
    <w:rsid w:val="00DF7A4A"/>
    <w:rsid w:val="00DF7A64"/>
    <w:rsid w:val="00DF7AAC"/>
    <w:rsid w:val="00DF7AF2"/>
    <w:rsid w:val="00DF7D00"/>
    <w:rsid w:val="00DF7DE3"/>
    <w:rsid w:val="00DF7E52"/>
    <w:rsid w:val="00DF7E74"/>
    <w:rsid w:val="00DF7EFB"/>
    <w:rsid w:val="00E000AA"/>
    <w:rsid w:val="00E00299"/>
    <w:rsid w:val="00E004F5"/>
    <w:rsid w:val="00E005B5"/>
    <w:rsid w:val="00E00A5E"/>
    <w:rsid w:val="00E00A77"/>
    <w:rsid w:val="00E00D3D"/>
    <w:rsid w:val="00E00DD9"/>
    <w:rsid w:val="00E00EC3"/>
    <w:rsid w:val="00E010E0"/>
    <w:rsid w:val="00E0115C"/>
    <w:rsid w:val="00E01261"/>
    <w:rsid w:val="00E012A3"/>
    <w:rsid w:val="00E0131B"/>
    <w:rsid w:val="00E013BE"/>
    <w:rsid w:val="00E01764"/>
    <w:rsid w:val="00E0192E"/>
    <w:rsid w:val="00E01AF1"/>
    <w:rsid w:val="00E01B2F"/>
    <w:rsid w:val="00E01B87"/>
    <w:rsid w:val="00E01BF2"/>
    <w:rsid w:val="00E01E7C"/>
    <w:rsid w:val="00E01F79"/>
    <w:rsid w:val="00E01FBD"/>
    <w:rsid w:val="00E02241"/>
    <w:rsid w:val="00E0227E"/>
    <w:rsid w:val="00E0232D"/>
    <w:rsid w:val="00E02440"/>
    <w:rsid w:val="00E0248D"/>
    <w:rsid w:val="00E0258C"/>
    <w:rsid w:val="00E026D0"/>
    <w:rsid w:val="00E02B66"/>
    <w:rsid w:val="00E02CB5"/>
    <w:rsid w:val="00E02D7C"/>
    <w:rsid w:val="00E02D9A"/>
    <w:rsid w:val="00E02DE0"/>
    <w:rsid w:val="00E02FC9"/>
    <w:rsid w:val="00E02FDA"/>
    <w:rsid w:val="00E030FA"/>
    <w:rsid w:val="00E0315C"/>
    <w:rsid w:val="00E0325E"/>
    <w:rsid w:val="00E03274"/>
    <w:rsid w:val="00E03490"/>
    <w:rsid w:val="00E034B4"/>
    <w:rsid w:val="00E0372C"/>
    <w:rsid w:val="00E0374C"/>
    <w:rsid w:val="00E0389F"/>
    <w:rsid w:val="00E03CC6"/>
    <w:rsid w:val="00E03D32"/>
    <w:rsid w:val="00E03D61"/>
    <w:rsid w:val="00E03EF2"/>
    <w:rsid w:val="00E040A6"/>
    <w:rsid w:val="00E04190"/>
    <w:rsid w:val="00E042BD"/>
    <w:rsid w:val="00E0444F"/>
    <w:rsid w:val="00E045BA"/>
    <w:rsid w:val="00E047C3"/>
    <w:rsid w:val="00E0498C"/>
    <w:rsid w:val="00E04ED0"/>
    <w:rsid w:val="00E04FB7"/>
    <w:rsid w:val="00E050A1"/>
    <w:rsid w:val="00E05115"/>
    <w:rsid w:val="00E051DF"/>
    <w:rsid w:val="00E053D6"/>
    <w:rsid w:val="00E055D8"/>
    <w:rsid w:val="00E057DB"/>
    <w:rsid w:val="00E058A9"/>
    <w:rsid w:val="00E05A27"/>
    <w:rsid w:val="00E05A8B"/>
    <w:rsid w:val="00E05DDB"/>
    <w:rsid w:val="00E05E46"/>
    <w:rsid w:val="00E062C8"/>
    <w:rsid w:val="00E06494"/>
    <w:rsid w:val="00E06528"/>
    <w:rsid w:val="00E06566"/>
    <w:rsid w:val="00E066A2"/>
    <w:rsid w:val="00E0674E"/>
    <w:rsid w:val="00E06CD4"/>
    <w:rsid w:val="00E06D4F"/>
    <w:rsid w:val="00E06E10"/>
    <w:rsid w:val="00E06E6B"/>
    <w:rsid w:val="00E06F19"/>
    <w:rsid w:val="00E06F69"/>
    <w:rsid w:val="00E071CF"/>
    <w:rsid w:val="00E072D9"/>
    <w:rsid w:val="00E07379"/>
    <w:rsid w:val="00E0751C"/>
    <w:rsid w:val="00E076CA"/>
    <w:rsid w:val="00E077AD"/>
    <w:rsid w:val="00E07839"/>
    <w:rsid w:val="00E079B1"/>
    <w:rsid w:val="00E07AEC"/>
    <w:rsid w:val="00E07BD0"/>
    <w:rsid w:val="00E07E32"/>
    <w:rsid w:val="00E10268"/>
    <w:rsid w:val="00E10280"/>
    <w:rsid w:val="00E10455"/>
    <w:rsid w:val="00E104EB"/>
    <w:rsid w:val="00E105E5"/>
    <w:rsid w:val="00E106F6"/>
    <w:rsid w:val="00E1095B"/>
    <w:rsid w:val="00E10A09"/>
    <w:rsid w:val="00E10C10"/>
    <w:rsid w:val="00E10CE8"/>
    <w:rsid w:val="00E10DB5"/>
    <w:rsid w:val="00E110C2"/>
    <w:rsid w:val="00E110E9"/>
    <w:rsid w:val="00E11128"/>
    <w:rsid w:val="00E1117D"/>
    <w:rsid w:val="00E111F0"/>
    <w:rsid w:val="00E11242"/>
    <w:rsid w:val="00E11567"/>
    <w:rsid w:val="00E1165D"/>
    <w:rsid w:val="00E116BC"/>
    <w:rsid w:val="00E11738"/>
    <w:rsid w:val="00E1180C"/>
    <w:rsid w:val="00E1198A"/>
    <w:rsid w:val="00E11AE4"/>
    <w:rsid w:val="00E11AED"/>
    <w:rsid w:val="00E11F30"/>
    <w:rsid w:val="00E1210C"/>
    <w:rsid w:val="00E122D9"/>
    <w:rsid w:val="00E12311"/>
    <w:rsid w:val="00E128F5"/>
    <w:rsid w:val="00E12A27"/>
    <w:rsid w:val="00E12C6E"/>
    <w:rsid w:val="00E12D1A"/>
    <w:rsid w:val="00E12DB8"/>
    <w:rsid w:val="00E12DC8"/>
    <w:rsid w:val="00E12DE4"/>
    <w:rsid w:val="00E12F9A"/>
    <w:rsid w:val="00E13026"/>
    <w:rsid w:val="00E134ED"/>
    <w:rsid w:val="00E134F5"/>
    <w:rsid w:val="00E13521"/>
    <w:rsid w:val="00E1354C"/>
    <w:rsid w:val="00E1354F"/>
    <w:rsid w:val="00E135E9"/>
    <w:rsid w:val="00E13693"/>
    <w:rsid w:val="00E137F9"/>
    <w:rsid w:val="00E13982"/>
    <w:rsid w:val="00E13B4F"/>
    <w:rsid w:val="00E13E1D"/>
    <w:rsid w:val="00E13FD9"/>
    <w:rsid w:val="00E140FB"/>
    <w:rsid w:val="00E141FC"/>
    <w:rsid w:val="00E142A3"/>
    <w:rsid w:val="00E142E1"/>
    <w:rsid w:val="00E14441"/>
    <w:rsid w:val="00E14485"/>
    <w:rsid w:val="00E1473F"/>
    <w:rsid w:val="00E14841"/>
    <w:rsid w:val="00E14844"/>
    <w:rsid w:val="00E148A5"/>
    <w:rsid w:val="00E148C2"/>
    <w:rsid w:val="00E148EE"/>
    <w:rsid w:val="00E14933"/>
    <w:rsid w:val="00E149F9"/>
    <w:rsid w:val="00E14B5C"/>
    <w:rsid w:val="00E14C1B"/>
    <w:rsid w:val="00E14C67"/>
    <w:rsid w:val="00E14DB1"/>
    <w:rsid w:val="00E1504B"/>
    <w:rsid w:val="00E15078"/>
    <w:rsid w:val="00E1529A"/>
    <w:rsid w:val="00E153AA"/>
    <w:rsid w:val="00E15467"/>
    <w:rsid w:val="00E154FA"/>
    <w:rsid w:val="00E157C7"/>
    <w:rsid w:val="00E158E4"/>
    <w:rsid w:val="00E1599A"/>
    <w:rsid w:val="00E159B9"/>
    <w:rsid w:val="00E15A25"/>
    <w:rsid w:val="00E15A96"/>
    <w:rsid w:val="00E15C96"/>
    <w:rsid w:val="00E15D38"/>
    <w:rsid w:val="00E16046"/>
    <w:rsid w:val="00E16186"/>
    <w:rsid w:val="00E161A1"/>
    <w:rsid w:val="00E16314"/>
    <w:rsid w:val="00E163E9"/>
    <w:rsid w:val="00E164E9"/>
    <w:rsid w:val="00E16599"/>
    <w:rsid w:val="00E16621"/>
    <w:rsid w:val="00E166BA"/>
    <w:rsid w:val="00E166F8"/>
    <w:rsid w:val="00E16715"/>
    <w:rsid w:val="00E16721"/>
    <w:rsid w:val="00E16938"/>
    <w:rsid w:val="00E16CA6"/>
    <w:rsid w:val="00E16CAC"/>
    <w:rsid w:val="00E16D57"/>
    <w:rsid w:val="00E1702E"/>
    <w:rsid w:val="00E171FE"/>
    <w:rsid w:val="00E1738F"/>
    <w:rsid w:val="00E174D9"/>
    <w:rsid w:val="00E17693"/>
    <w:rsid w:val="00E17699"/>
    <w:rsid w:val="00E17724"/>
    <w:rsid w:val="00E1774C"/>
    <w:rsid w:val="00E17A5A"/>
    <w:rsid w:val="00E17B2B"/>
    <w:rsid w:val="00E17B2E"/>
    <w:rsid w:val="00E17C5F"/>
    <w:rsid w:val="00E17CE8"/>
    <w:rsid w:val="00E17DB1"/>
    <w:rsid w:val="00E17FD1"/>
    <w:rsid w:val="00E202F1"/>
    <w:rsid w:val="00E20473"/>
    <w:rsid w:val="00E204AC"/>
    <w:rsid w:val="00E20ABB"/>
    <w:rsid w:val="00E20C42"/>
    <w:rsid w:val="00E20C85"/>
    <w:rsid w:val="00E20C96"/>
    <w:rsid w:val="00E21085"/>
    <w:rsid w:val="00E21171"/>
    <w:rsid w:val="00E21604"/>
    <w:rsid w:val="00E2165A"/>
    <w:rsid w:val="00E2171E"/>
    <w:rsid w:val="00E218DB"/>
    <w:rsid w:val="00E2195F"/>
    <w:rsid w:val="00E21989"/>
    <w:rsid w:val="00E219E2"/>
    <w:rsid w:val="00E21A18"/>
    <w:rsid w:val="00E21AB2"/>
    <w:rsid w:val="00E21ADB"/>
    <w:rsid w:val="00E21AEC"/>
    <w:rsid w:val="00E21DD6"/>
    <w:rsid w:val="00E21EF2"/>
    <w:rsid w:val="00E220A3"/>
    <w:rsid w:val="00E2219D"/>
    <w:rsid w:val="00E22253"/>
    <w:rsid w:val="00E22388"/>
    <w:rsid w:val="00E223B6"/>
    <w:rsid w:val="00E225BC"/>
    <w:rsid w:val="00E22656"/>
    <w:rsid w:val="00E22667"/>
    <w:rsid w:val="00E2273F"/>
    <w:rsid w:val="00E22766"/>
    <w:rsid w:val="00E2283A"/>
    <w:rsid w:val="00E22A32"/>
    <w:rsid w:val="00E22A98"/>
    <w:rsid w:val="00E22B27"/>
    <w:rsid w:val="00E22B89"/>
    <w:rsid w:val="00E22BE4"/>
    <w:rsid w:val="00E22D59"/>
    <w:rsid w:val="00E22DE3"/>
    <w:rsid w:val="00E22E30"/>
    <w:rsid w:val="00E22E33"/>
    <w:rsid w:val="00E22E38"/>
    <w:rsid w:val="00E22EC5"/>
    <w:rsid w:val="00E22ECF"/>
    <w:rsid w:val="00E23138"/>
    <w:rsid w:val="00E2339B"/>
    <w:rsid w:val="00E234DC"/>
    <w:rsid w:val="00E235BC"/>
    <w:rsid w:val="00E2369F"/>
    <w:rsid w:val="00E237FE"/>
    <w:rsid w:val="00E23850"/>
    <w:rsid w:val="00E2389D"/>
    <w:rsid w:val="00E23B33"/>
    <w:rsid w:val="00E23CB5"/>
    <w:rsid w:val="00E23D32"/>
    <w:rsid w:val="00E23D41"/>
    <w:rsid w:val="00E23DAA"/>
    <w:rsid w:val="00E23F1E"/>
    <w:rsid w:val="00E241BD"/>
    <w:rsid w:val="00E243F7"/>
    <w:rsid w:val="00E243F8"/>
    <w:rsid w:val="00E245FC"/>
    <w:rsid w:val="00E246EB"/>
    <w:rsid w:val="00E248A2"/>
    <w:rsid w:val="00E249F6"/>
    <w:rsid w:val="00E24A1C"/>
    <w:rsid w:val="00E24A6A"/>
    <w:rsid w:val="00E24C2A"/>
    <w:rsid w:val="00E24D58"/>
    <w:rsid w:val="00E25030"/>
    <w:rsid w:val="00E2503A"/>
    <w:rsid w:val="00E25235"/>
    <w:rsid w:val="00E253E4"/>
    <w:rsid w:val="00E253FA"/>
    <w:rsid w:val="00E2542A"/>
    <w:rsid w:val="00E2547A"/>
    <w:rsid w:val="00E25589"/>
    <w:rsid w:val="00E25694"/>
    <w:rsid w:val="00E256E6"/>
    <w:rsid w:val="00E2591C"/>
    <w:rsid w:val="00E259A8"/>
    <w:rsid w:val="00E25A00"/>
    <w:rsid w:val="00E25B42"/>
    <w:rsid w:val="00E25B48"/>
    <w:rsid w:val="00E25BBC"/>
    <w:rsid w:val="00E25E1A"/>
    <w:rsid w:val="00E25E27"/>
    <w:rsid w:val="00E25F53"/>
    <w:rsid w:val="00E26065"/>
    <w:rsid w:val="00E260D0"/>
    <w:rsid w:val="00E261D3"/>
    <w:rsid w:val="00E26236"/>
    <w:rsid w:val="00E26432"/>
    <w:rsid w:val="00E2645E"/>
    <w:rsid w:val="00E26515"/>
    <w:rsid w:val="00E265A7"/>
    <w:rsid w:val="00E26AC2"/>
    <w:rsid w:val="00E26B38"/>
    <w:rsid w:val="00E26C63"/>
    <w:rsid w:val="00E26D4D"/>
    <w:rsid w:val="00E26EB9"/>
    <w:rsid w:val="00E270AE"/>
    <w:rsid w:val="00E2713D"/>
    <w:rsid w:val="00E27287"/>
    <w:rsid w:val="00E27657"/>
    <w:rsid w:val="00E27705"/>
    <w:rsid w:val="00E277CF"/>
    <w:rsid w:val="00E2798C"/>
    <w:rsid w:val="00E27AAA"/>
    <w:rsid w:val="00E27C18"/>
    <w:rsid w:val="00E300BC"/>
    <w:rsid w:val="00E302FB"/>
    <w:rsid w:val="00E306D5"/>
    <w:rsid w:val="00E3083B"/>
    <w:rsid w:val="00E3087C"/>
    <w:rsid w:val="00E3098C"/>
    <w:rsid w:val="00E30A45"/>
    <w:rsid w:val="00E30C31"/>
    <w:rsid w:val="00E30D25"/>
    <w:rsid w:val="00E30E69"/>
    <w:rsid w:val="00E30FCF"/>
    <w:rsid w:val="00E31017"/>
    <w:rsid w:val="00E31083"/>
    <w:rsid w:val="00E311F4"/>
    <w:rsid w:val="00E31205"/>
    <w:rsid w:val="00E31512"/>
    <w:rsid w:val="00E31591"/>
    <w:rsid w:val="00E31995"/>
    <w:rsid w:val="00E31A55"/>
    <w:rsid w:val="00E31D05"/>
    <w:rsid w:val="00E31E27"/>
    <w:rsid w:val="00E31EA5"/>
    <w:rsid w:val="00E31FFE"/>
    <w:rsid w:val="00E32011"/>
    <w:rsid w:val="00E32077"/>
    <w:rsid w:val="00E3233D"/>
    <w:rsid w:val="00E3235F"/>
    <w:rsid w:val="00E32393"/>
    <w:rsid w:val="00E3239E"/>
    <w:rsid w:val="00E325FD"/>
    <w:rsid w:val="00E3264B"/>
    <w:rsid w:val="00E32809"/>
    <w:rsid w:val="00E328C9"/>
    <w:rsid w:val="00E32BE5"/>
    <w:rsid w:val="00E32D1D"/>
    <w:rsid w:val="00E32D78"/>
    <w:rsid w:val="00E32FFD"/>
    <w:rsid w:val="00E331E9"/>
    <w:rsid w:val="00E33379"/>
    <w:rsid w:val="00E33444"/>
    <w:rsid w:val="00E337A4"/>
    <w:rsid w:val="00E338D3"/>
    <w:rsid w:val="00E33CE5"/>
    <w:rsid w:val="00E33D21"/>
    <w:rsid w:val="00E33F45"/>
    <w:rsid w:val="00E33F9C"/>
    <w:rsid w:val="00E34480"/>
    <w:rsid w:val="00E3460C"/>
    <w:rsid w:val="00E34818"/>
    <w:rsid w:val="00E34913"/>
    <w:rsid w:val="00E3497D"/>
    <w:rsid w:val="00E34F68"/>
    <w:rsid w:val="00E351AF"/>
    <w:rsid w:val="00E3533D"/>
    <w:rsid w:val="00E35443"/>
    <w:rsid w:val="00E3544F"/>
    <w:rsid w:val="00E3549D"/>
    <w:rsid w:val="00E35629"/>
    <w:rsid w:val="00E35639"/>
    <w:rsid w:val="00E3564D"/>
    <w:rsid w:val="00E3577F"/>
    <w:rsid w:val="00E35955"/>
    <w:rsid w:val="00E3598D"/>
    <w:rsid w:val="00E35CB2"/>
    <w:rsid w:val="00E35D62"/>
    <w:rsid w:val="00E36186"/>
    <w:rsid w:val="00E36523"/>
    <w:rsid w:val="00E36644"/>
    <w:rsid w:val="00E366A1"/>
    <w:rsid w:val="00E36706"/>
    <w:rsid w:val="00E3672B"/>
    <w:rsid w:val="00E36A15"/>
    <w:rsid w:val="00E36A33"/>
    <w:rsid w:val="00E36A58"/>
    <w:rsid w:val="00E36E22"/>
    <w:rsid w:val="00E36F71"/>
    <w:rsid w:val="00E37142"/>
    <w:rsid w:val="00E3730D"/>
    <w:rsid w:val="00E37423"/>
    <w:rsid w:val="00E37450"/>
    <w:rsid w:val="00E37560"/>
    <w:rsid w:val="00E3788D"/>
    <w:rsid w:val="00E378A0"/>
    <w:rsid w:val="00E379AB"/>
    <w:rsid w:val="00E37A5D"/>
    <w:rsid w:val="00E37A5F"/>
    <w:rsid w:val="00E37AF9"/>
    <w:rsid w:val="00E37C1F"/>
    <w:rsid w:val="00E37C59"/>
    <w:rsid w:val="00E37F25"/>
    <w:rsid w:val="00E40541"/>
    <w:rsid w:val="00E4066A"/>
    <w:rsid w:val="00E40670"/>
    <w:rsid w:val="00E40684"/>
    <w:rsid w:val="00E4068E"/>
    <w:rsid w:val="00E40737"/>
    <w:rsid w:val="00E407E8"/>
    <w:rsid w:val="00E4081C"/>
    <w:rsid w:val="00E40A33"/>
    <w:rsid w:val="00E40A6F"/>
    <w:rsid w:val="00E40AB6"/>
    <w:rsid w:val="00E40AFB"/>
    <w:rsid w:val="00E40B6A"/>
    <w:rsid w:val="00E40C29"/>
    <w:rsid w:val="00E40C8B"/>
    <w:rsid w:val="00E40DBF"/>
    <w:rsid w:val="00E40EA7"/>
    <w:rsid w:val="00E40F19"/>
    <w:rsid w:val="00E410E7"/>
    <w:rsid w:val="00E410F2"/>
    <w:rsid w:val="00E41836"/>
    <w:rsid w:val="00E41ACC"/>
    <w:rsid w:val="00E41DB2"/>
    <w:rsid w:val="00E41DC4"/>
    <w:rsid w:val="00E41F3B"/>
    <w:rsid w:val="00E41FFF"/>
    <w:rsid w:val="00E42235"/>
    <w:rsid w:val="00E422C4"/>
    <w:rsid w:val="00E42303"/>
    <w:rsid w:val="00E42311"/>
    <w:rsid w:val="00E42326"/>
    <w:rsid w:val="00E42571"/>
    <w:rsid w:val="00E4257C"/>
    <w:rsid w:val="00E4259E"/>
    <w:rsid w:val="00E42606"/>
    <w:rsid w:val="00E42697"/>
    <w:rsid w:val="00E42A91"/>
    <w:rsid w:val="00E42B91"/>
    <w:rsid w:val="00E42CB8"/>
    <w:rsid w:val="00E42EF3"/>
    <w:rsid w:val="00E42F93"/>
    <w:rsid w:val="00E434F6"/>
    <w:rsid w:val="00E43627"/>
    <w:rsid w:val="00E43655"/>
    <w:rsid w:val="00E4375A"/>
    <w:rsid w:val="00E43834"/>
    <w:rsid w:val="00E4388F"/>
    <w:rsid w:val="00E43B6C"/>
    <w:rsid w:val="00E43C2F"/>
    <w:rsid w:val="00E43C5A"/>
    <w:rsid w:val="00E43CFF"/>
    <w:rsid w:val="00E43D01"/>
    <w:rsid w:val="00E43DCA"/>
    <w:rsid w:val="00E43E3F"/>
    <w:rsid w:val="00E43ED8"/>
    <w:rsid w:val="00E43FB2"/>
    <w:rsid w:val="00E44016"/>
    <w:rsid w:val="00E4404C"/>
    <w:rsid w:val="00E44245"/>
    <w:rsid w:val="00E44262"/>
    <w:rsid w:val="00E44782"/>
    <w:rsid w:val="00E44BB4"/>
    <w:rsid w:val="00E44C99"/>
    <w:rsid w:val="00E44CC4"/>
    <w:rsid w:val="00E44D11"/>
    <w:rsid w:val="00E45006"/>
    <w:rsid w:val="00E4506A"/>
    <w:rsid w:val="00E45165"/>
    <w:rsid w:val="00E452CE"/>
    <w:rsid w:val="00E455AB"/>
    <w:rsid w:val="00E455CF"/>
    <w:rsid w:val="00E45902"/>
    <w:rsid w:val="00E45A44"/>
    <w:rsid w:val="00E45A59"/>
    <w:rsid w:val="00E45A85"/>
    <w:rsid w:val="00E45B27"/>
    <w:rsid w:val="00E45BF0"/>
    <w:rsid w:val="00E45CC8"/>
    <w:rsid w:val="00E45EC8"/>
    <w:rsid w:val="00E45FA7"/>
    <w:rsid w:val="00E460E8"/>
    <w:rsid w:val="00E461A5"/>
    <w:rsid w:val="00E461C0"/>
    <w:rsid w:val="00E4668A"/>
    <w:rsid w:val="00E46804"/>
    <w:rsid w:val="00E4697F"/>
    <w:rsid w:val="00E46AB3"/>
    <w:rsid w:val="00E46AF4"/>
    <w:rsid w:val="00E46B9E"/>
    <w:rsid w:val="00E46D62"/>
    <w:rsid w:val="00E46E9C"/>
    <w:rsid w:val="00E46F63"/>
    <w:rsid w:val="00E472EB"/>
    <w:rsid w:val="00E473E4"/>
    <w:rsid w:val="00E47592"/>
    <w:rsid w:val="00E479B3"/>
    <w:rsid w:val="00E47D43"/>
    <w:rsid w:val="00E47DB0"/>
    <w:rsid w:val="00E47EA1"/>
    <w:rsid w:val="00E47F41"/>
    <w:rsid w:val="00E47FAF"/>
    <w:rsid w:val="00E5010D"/>
    <w:rsid w:val="00E50131"/>
    <w:rsid w:val="00E501B4"/>
    <w:rsid w:val="00E50432"/>
    <w:rsid w:val="00E50601"/>
    <w:rsid w:val="00E509D0"/>
    <w:rsid w:val="00E50A23"/>
    <w:rsid w:val="00E50C39"/>
    <w:rsid w:val="00E50D90"/>
    <w:rsid w:val="00E5113D"/>
    <w:rsid w:val="00E5128E"/>
    <w:rsid w:val="00E51340"/>
    <w:rsid w:val="00E51441"/>
    <w:rsid w:val="00E5144C"/>
    <w:rsid w:val="00E51560"/>
    <w:rsid w:val="00E51775"/>
    <w:rsid w:val="00E51C0C"/>
    <w:rsid w:val="00E51C8F"/>
    <w:rsid w:val="00E51D76"/>
    <w:rsid w:val="00E51DBB"/>
    <w:rsid w:val="00E51F4D"/>
    <w:rsid w:val="00E51FE2"/>
    <w:rsid w:val="00E521B8"/>
    <w:rsid w:val="00E522CB"/>
    <w:rsid w:val="00E52561"/>
    <w:rsid w:val="00E5285F"/>
    <w:rsid w:val="00E52A74"/>
    <w:rsid w:val="00E52CA6"/>
    <w:rsid w:val="00E52F8B"/>
    <w:rsid w:val="00E53016"/>
    <w:rsid w:val="00E53045"/>
    <w:rsid w:val="00E53077"/>
    <w:rsid w:val="00E53155"/>
    <w:rsid w:val="00E533C5"/>
    <w:rsid w:val="00E533EE"/>
    <w:rsid w:val="00E53576"/>
    <w:rsid w:val="00E535FF"/>
    <w:rsid w:val="00E53748"/>
    <w:rsid w:val="00E539E6"/>
    <w:rsid w:val="00E53A51"/>
    <w:rsid w:val="00E53ACE"/>
    <w:rsid w:val="00E53BAD"/>
    <w:rsid w:val="00E53CCF"/>
    <w:rsid w:val="00E53CDF"/>
    <w:rsid w:val="00E53D0A"/>
    <w:rsid w:val="00E53F12"/>
    <w:rsid w:val="00E54068"/>
    <w:rsid w:val="00E5415D"/>
    <w:rsid w:val="00E54228"/>
    <w:rsid w:val="00E54271"/>
    <w:rsid w:val="00E5473A"/>
    <w:rsid w:val="00E54A30"/>
    <w:rsid w:val="00E54AAC"/>
    <w:rsid w:val="00E54CC7"/>
    <w:rsid w:val="00E54CDF"/>
    <w:rsid w:val="00E54D95"/>
    <w:rsid w:val="00E55255"/>
    <w:rsid w:val="00E553F2"/>
    <w:rsid w:val="00E5542D"/>
    <w:rsid w:val="00E55434"/>
    <w:rsid w:val="00E5547F"/>
    <w:rsid w:val="00E55744"/>
    <w:rsid w:val="00E5578D"/>
    <w:rsid w:val="00E558C2"/>
    <w:rsid w:val="00E558F3"/>
    <w:rsid w:val="00E559B4"/>
    <w:rsid w:val="00E55C49"/>
    <w:rsid w:val="00E55F3B"/>
    <w:rsid w:val="00E5603D"/>
    <w:rsid w:val="00E56276"/>
    <w:rsid w:val="00E5657E"/>
    <w:rsid w:val="00E5666E"/>
    <w:rsid w:val="00E56933"/>
    <w:rsid w:val="00E56934"/>
    <w:rsid w:val="00E56BDD"/>
    <w:rsid w:val="00E56BF8"/>
    <w:rsid w:val="00E56CF3"/>
    <w:rsid w:val="00E56CF8"/>
    <w:rsid w:val="00E56D3C"/>
    <w:rsid w:val="00E56D75"/>
    <w:rsid w:val="00E56DFD"/>
    <w:rsid w:val="00E57136"/>
    <w:rsid w:val="00E57460"/>
    <w:rsid w:val="00E57466"/>
    <w:rsid w:val="00E5747B"/>
    <w:rsid w:val="00E575A7"/>
    <w:rsid w:val="00E5765B"/>
    <w:rsid w:val="00E576A8"/>
    <w:rsid w:val="00E57AD1"/>
    <w:rsid w:val="00E57B42"/>
    <w:rsid w:val="00E57BC4"/>
    <w:rsid w:val="00E57C03"/>
    <w:rsid w:val="00E57CE9"/>
    <w:rsid w:val="00E57DFF"/>
    <w:rsid w:val="00E60343"/>
    <w:rsid w:val="00E606D0"/>
    <w:rsid w:val="00E6074D"/>
    <w:rsid w:val="00E6076B"/>
    <w:rsid w:val="00E607DB"/>
    <w:rsid w:val="00E6089F"/>
    <w:rsid w:val="00E6097B"/>
    <w:rsid w:val="00E60A7E"/>
    <w:rsid w:val="00E60DD7"/>
    <w:rsid w:val="00E60E05"/>
    <w:rsid w:val="00E60F07"/>
    <w:rsid w:val="00E610B0"/>
    <w:rsid w:val="00E611E9"/>
    <w:rsid w:val="00E61206"/>
    <w:rsid w:val="00E6126A"/>
    <w:rsid w:val="00E612D2"/>
    <w:rsid w:val="00E6144E"/>
    <w:rsid w:val="00E614F4"/>
    <w:rsid w:val="00E61783"/>
    <w:rsid w:val="00E618D1"/>
    <w:rsid w:val="00E61942"/>
    <w:rsid w:val="00E619F9"/>
    <w:rsid w:val="00E61C0F"/>
    <w:rsid w:val="00E61D44"/>
    <w:rsid w:val="00E61D9C"/>
    <w:rsid w:val="00E61FDF"/>
    <w:rsid w:val="00E620BA"/>
    <w:rsid w:val="00E620D1"/>
    <w:rsid w:val="00E6212A"/>
    <w:rsid w:val="00E62187"/>
    <w:rsid w:val="00E621C6"/>
    <w:rsid w:val="00E621D6"/>
    <w:rsid w:val="00E622A5"/>
    <w:rsid w:val="00E622CB"/>
    <w:rsid w:val="00E6237D"/>
    <w:rsid w:val="00E623D3"/>
    <w:rsid w:val="00E6273B"/>
    <w:rsid w:val="00E628E5"/>
    <w:rsid w:val="00E629E6"/>
    <w:rsid w:val="00E62A3A"/>
    <w:rsid w:val="00E62AA9"/>
    <w:rsid w:val="00E62B62"/>
    <w:rsid w:val="00E62C2F"/>
    <w:rsid w:val="00E62C92"/>
    <w:rsid w:val="00E62ED7"/>
    <w:rsid w:val="00E63303"/>
    <w:rsid w:val="00E6331F"/>
    <w:rsid w:val="00E6365B"/>
    <w:rsid w:val="00E637E2"/>
    <w:rsid w:val="00E639D6"/>
    <w:rsid w:val="00E63AF7"/>
    <w:rsid w:val="00E63BA9"/>
    <w:rsid w:val="00E63E12"/>
    <w:rsid w:val="00E63FBC"/>
    <w:rsid w:val="00E64016"/>
    <w:rsid w:val="00E64045"/>
    <w:rsid w:val="00E6409B"/>
    <w:rsid w:val="00E640A7"/>
    <w:rsid w:val="00E641CD"/>
    <w:rsid w:val="00E642C9"/>
    <w:rsid w:val="00E64350"/>
    <w:rsid w:val="00E64462"/>
    <w:rsid w:val="00E645BC"/>
    <w:rsid w:val="00E646B4"/>
    <w:rsid w:val="00E64972"/>
    <w:rsid w:val="00E64A7D"/>
    <w:rsid w:val="00E64B68"/>
    <w:rsid w:val="00E64B7A"/>
    <w:rsid w:val="00E64C89"/>
    <w:rsid w:val="00E64D54"/>
    <w:rsid w:val="00E64E97"/>
    <w:rsid w:val="00E64EBE"/>
    <w:rsid w:val="00E64F1E"/>
    <w:rsid w:val="00E64FC4"/>
    <w:rsid w:val="00E64FF0"/>
    <w:rsid w:val="00E6504E"/>
    <w:rsid w:val="00E65091"/>
    <w:rsid w:val="00E650C4"/>
    <w:rsid w:val="00E650EF"/>
    <w:rsid w:val="00E65144"/>
    <w:rsid w:val="00E65225"/>
    <w:rsid w:val="00E65394"/>
    <w:rsid w:val="00E655A4"/>
    <w:rsid w:val="00E65793"/>
    <w:rsid w:val="00E657DE"/>
    <w:rsid w:val="00E65C2E"/>
    <w:rsid w:val="00E65DBF"/>
    <w:rsid w:val="00E65F0E"/>
    <w:rsid w:val="00E662F6"/>
    <w:rsid w:val="00E6637D"/>
    <w:rsid w:val="00E6644D"/>
    <w:rsid w:val="00E66483"/>
    <w:rsid w:val="00E66488"/>
    <w:rsid w:val="00E664F7"/>
    <w:rsid w:val="00E66764"/>
    <w:rsid w:val="00E66783"/>
    <w:rsid w:val="00E6687B"/>
    <w:rsid w:val="00E66A49"/>
    <w:rsid w:val="00E66C12"/>
    <w:rsid w:val="00E66CB2"/>
    <w:rsid w:val="00E66E38"/>
    <w:rsid w:val="00E66F85"/>
    <w:rsid w:val="00E67187"/>
    <w:rsid w:val="00E67213"/>
    <w:rsid w:val="00E672B1"/>
    <w:rsid w:val="00E67544"/>
    <w:rsid w:val="00E67930"/>
    <w:rsid w:val="00E67A6F"/>
    <w:rsid w:val="00E67ACD"/>
    <w:rsid w:val="00E67DD5"/>
    <w:rsid w:val="00E67F1C"/>
    <w:rsid w:val="00E67FC3"/>
    <w:rsid w:val="00E70269"/>
    <w:rsid w:val="00E70280"/>
    <w:rsid w:val="00E70492"/>
    <w:rsid w:val="00E70507"/>
    <w:rsid w:val="00E70566"/>
    <w:rsid w:val="00E70676"/>
    <w:rsid w:val="00E70896"/>
    <w:rsid w:val="00E70AF1"/>
    <w:rsid w:val="00E70B48"/>
    <w:rsid w:val="00E7109B"/>
    <w:rsid w:val="00E71240"/>
    <w:rsid w:val="00E71275"/>
    <w:rsid w:val="00E7130B"/>
    <w:rsid w:val="00E713B0"/>
    <w:rsid w:val="00E71575"/>
    <w:rsid w:val="00E715D5"/>
    <w:rsid w:val="00E71720"/>
    <w:rsid w:val="00E717C3"/>
    <w:rsid w:val="00E717CD"/>
    <w:rsid w:val="00E7185F"/>
    <w:rsid w:val="00E718EE"/>
    <w:rsid w:val="00E71980"/>
    <w:rsid w:val="00E71A06"/>
    <w:rsid w:val="00E71BFF"/>
    <w:rsid w:val="00E71D15"/>
    <w:rsid w:val="00E71EE2"/>
    <w:rsid w:val="00E71F4B"/>
    <w:rsid w:val="00E721C4"/>
    <w:rsid w:val="00E721E7"/>
    <w:rsid w:val="00E726DF"/>
    <w:rsid w:val="00E7273F"/>
    <w:rsid w:val="00E72CB4"/>
    <w:rsid w:val="00E72F9C"/>
    <w:rsid w:val="00E72FEF"/>
    <w:rsid w:val="00E73169"/>
    <w:rsid w:val="00E73366"/>
    <w:rsid w:val="00E733FF"/>
    <w:rsid w:val="00E73588"/>
    <w:rsid w:val="00E735D6"/>
    <w:rsid w:val="00E73634"/>
    <w:rsid w:val="00E73680"/>
    <w:rsid w:val="00E736BE"/>
    <w:rsid w:val="00E73856"/>
    <w:rsid w:val="00E738F0"/>
    <w:rsid w:val="00E73971"/>
    <w:rsid w:val="00E73B9D"/>
    <w:rsid w:val="00E73CF7"/>
    <w:rsid w:val="00E73EE8"/>
    <w:rsid w:val="00E73EEE"/>
    <w:rsid w:val="00E73F45"/>
    <w:rsid w:val="00E74039"/>
    <w:rsid w:val="00E74361"/>
    <w:rsid w:val="00E7436F"/>
    <w:rsid w:val="00E7460C"/>
    <w:rsid w:val="00E746F7"/>
    <w:rsid w:val="00E7475F"/>
    <w:rsid w:val="00E7498A"/>
    <w:rsid w:val="00E74B1A"/>
    <w:rsid w:val="00E74B22"/>
    <w:rsid w:val="00E74BCF"/>
    <w:rsid w:val="00E74C8A"/>
    <w:rsid w:val="00E74CF6"/>
    <w:rsid w:val="00E74F31"/>
    <w:rsid w:val="00E7512D"/>
    <w:rsid w:val="00E75261"/>
    <w:rsid w:val="00E75399"/>
    <w:rsid w:val="00E75446"/>
    <w:rsid w:val="00E7549C"/>
    <w:rsid w:val="00E75625"/>
    <w:rsid w:val="00E756F1"/>
    <w:rsid w:val="00E75848"/>
    <w:rsid w:val="00E75AF0"/>
    <w:rsid w:val="00E75B8A"/>
    <w:rsid w:val="00E75BB0"/>
    <w:rsid w:val="00E75D80"/>
    <w:rsid w:val="00E75DB3"/>
    <w:rsid w:val="00E75F41"/>
    <w:rsid w:val="00E75F7A"/>
    <w:rsid w:val="00E7603D"/>
    <w:rsid w:val="00E76311"/>
    <w:rsid w:val="00E764C2"/>
    <w:rsid w:val="00E765E5"/>
    <w:rsid w:val="00E765E9"/>
    <w:rsid w:val="00E76658"/>
    <w:rsid w:val="00E7675D"/>
    <w:rsid w:val="00E76978"/>
    <w:rsid w:val="00E769C1"/>
    <w:rsid w:val="00E76B7E"/>
    <w:rsid w:val="00E76BFE"/>
    <w:rsid w:val="00E76DB4"/>
    <w:rsid w:val="00E76DC5"/>
    <w:rsid w:val="00E76E45"/>
    <w:rsid w:val="00E76EBF"/>
    <w:rsid w:val="00E76F6A"/>
    <w:rsid w:val="00E770F6"/>
    <w:rsid w:val="00E773E6"/>
    <w:rsid w:val="00E7767D"/>
    <w:rsid w:val="00E7774F"/>
    <w:rsid w:val="00E77793"/>
    <w:rsid w:val="00E777AC"/>
    <w:rsid w:val="00E777E8"/>
    <w:rsid w:val="00E77AC1"/>
    <w:rsid w:val="00E77BA4"/>
    <w:rsid w:val="00E77BE5"/>
    <w:rsid w:val="00E77C16"/>
    <w:rsid w:val="00E77FA8"/>
    <w:rsid w:val="00E80276"/>
    <w:rsid w:val="00E802A6"/>
    <w:rsid w:val="00E802C3"/>
    <w:rsid w:val="00E8061D"/>
    <w:rsid w:val="00E80670"/>
    <w:rsid w:val="00E80810"/>
    <w:rsid w:val="00E80954"/>
    <w:rsid w:val="00E80AFC"/>
    <w:rsid w:val="00E80CE8"/>
    <w:rsid w:val="00E80E7A"/>
    <w:rsid w:val="00E80F2D"/>
    <w:rsid w:val="00E8101E"/>
    <w:rsid w:val="00E814E9"/>
    <w:rsid w:val="00E8155D"/>
    <w:rsid w:val="00E8166B"/>
    <w:rsid w:val="00E8168D"/>
    <w:rsid w:val="00E816DF"/>
    <w:rsid w:val="00E81983"/>
    <w:rsid w:val="00E81AA8"/>
    <w:rsid w:val="00E81C1B"/>
    <w:rsid w:val="00E81CB6"/>
    <w:rsid w:val="00E81CD5"/>
    <w:rsid w:val="00E81E7A"/>
    <w:rsid w:val="00E81EDD"/>
    <w:rsid w:val="00E81F36"/>
    <w:rsid w:val="00E81F4D"/>
    <w:rsid w:val="00E8201A"/>
    <w:rsid w:val="00E82047"/>
    <w:rsid w:val="00E82223"/>
    <w:rsid w:val="00E82251"/>
    <w:rsid w:val="00E822C4"/>
    <w:rsid w:val="00E82332"/>
    <w:rsid w:val="00E8237A"/>
    <w:rsid w:val="00E823B7"/>
    <w:rsid w:val="00E8263E"/>
    <w:rsid w:val="00E826A3"/>
    <w:rsid w:val="00E82A56"/>
    <w:rsid w:val="00E82C53"/>
    <w:rsid w:val="00E8321E"/>
    <w:rsid w:val="00E83373"/>
    <w:rsid w:val="00E833FE"/>
    <w:rsid w:val="00E8353D"/>
    <w:rsid w:val="00E835FB"/>
    <w:rsid w:val="00E83625"/>
    <w:rsid w:val="00E8363E"/>
    <w:rsid w:val="00E8384F"/>
    <w:rsid w:val="00E839BC"/>
    <w:rsid w:val="00E839ED"/>
    <w:rsid w:val="00E83AA8"/>
    <w:rsid w:val="00E83BBC"/>
    <w:rsid w:val="00E83C31"/>
    <w:rsid w:val="00E83D09"/>
    <w:rsid w:val="00E83E8E"/>
    <w:rsid w:val="00E83EA1"/>
    <w:rsid w:val="00E8402E"/>
    <w:rsid w:val="00E842DF"/>
    <w:rsid w:val="00E8458A"/>
    <w:rsid w:val="00E84781"/>
    <w:rsid w:val="00E847EB"/>
    <w:rsid w:val="00E847F6"/>
    <w:rsid w:val="00E849DB"/>
    <w:rsid w:val="00E84A00"/>
    <w:rsid w:val="00E84A6D"/>
    <w:rsid w:val="00E84C5B"/>
    <w:rsid w:val="00E84EBD"/>
    <w:rsid w:val="00E84F6C"/>
    <w:rsid w:val="00E8502E"/>
    <w:rsid w:val="00E8525B"/>
    <w:rsid w:val="00E853E1"/>
    <w:rsid w:val="00E854EC"/>
    <w:rsid w:val="00E85556"/>
    <w:rsid w:val="00E8558B"/>
    <w:rsid w:val="00E855A5"/>
    <w:rsid w:val="00E85688"/>
    <w:rsid w:val="00E85C0B"/>
    <w:rsid w:val="00E85DEE"/>
    <w:rsid w:val="00E85E05"/>
    <w:rsid w:val="00E85E6B"/>
    <w:rsid w:val="00E85F2B"/>
    <w:rsid w:val="00E85F4B"/>
    <w:rsid w:val="00E85F6D"/>
    <w:rsid w:val="00E85FA6"/>
    <w:rsid w:val="00E86092"/>
    <w:rsid w:val="00E8609F"/>
    <w:rsid w:val="00E86105"/>
    <w:rsid w:val="00E861BD"/>
    <w:rsid w:val="00E86593"/>
    <w:rsid w:val="00E86942"/>
    <w:rsid w:val="00E86A70"/>
    <w:rsid w:val="00E86B5C"/>
    <w:rsid w:val="00E86CD8"/>
    <w:rsid w:val="00E86CF4"/>
    <w:rsid w:val="00E86DD6"/>
    <w:rsid w:val="00E86FFA"/>
    <w:rsid w:val="00E871B8"/>
    <w:rsid w:val="00E87356"/>
    <w:rsid w:val="00E87366"/>
    <w:rsid w:val="00E87415"/>
    <w:rsid w:val="00E87421"/>
    <w:rsid w:val="00E87471"/>
    <w:rsid w:val="00E874AD"/>
    <w:rsid w:val="00E874E5"/>
    <w:rsid w:val="00E87736"/>
    <w:rsid w:val="00E87814"/>
    <w:rsid w:val="00E879BF"/>
    <w:rsid w:val="00E87B4A"/>
    <w:rsid w:val="00E87C4F"/>
    <w:rsid w:val="00E87EC7"/>
    <w:rsid w:val="00E90077"/>
    <w:rsid w:val="00E9008E"/>
    <w:rsid w:val="00E901C3"/>
    <w:rsid w:val="00E90422"/>
    <w:rsid w:val="00E90523"/>
    <w:rsid w:val="00E9062F"/>
    <w:rsid w:val="00E90651"/>
    <w:rsid w:val="00E90802"/>
    <w:rsid w:val="00E90A87"/>
    <w:rsid w:val="00E90AD2"/>
    <w:rsid w:val="00E90B3D"/>
    <w:rsid w:val="00E90C42"/>
    <w:rsid w:val="00E90C57"/>
    <w:rsid w:val="00E90E4C"/>
    <w:rsid w:val="00E90F11"/>
    <w:rsid w:val="00E91067"/>
    <w:rsid w:val="00E910C5"/>
    <w:rsid w:val="00E911F6"/>
    <w:rsid w:val="00E91370"/>
    <w:rsid w:val="00E91AC0"/>
    <w:rsid w:val="00E91C93"/>
    <w:rsid w:val="00E91D56"/>
    <w:rsid w:val="00E91D87"/>
    <w:rsid w:val="00E91F44"/>
    <w:rsid w:val="00E924E3"/>
    <w:rsid w:val="00E92574"/>
    <w:rsid w:val="00E925B3"/>
    <w:rsid w:val="00E92863"/>
    <w:rsid w:val="00E92A85"/>
    <w:rsid w:val="00E92A9C"/>
    <w:rsid w:val="00E92C5C"/>
    <w:rsid w:val="00E92C8E"/>
    <w:rsid w:val="00E92E27"/>
    <w:rsid w:val="00E92F24"/>
    <w:rsid w:val="00E92FB2"/>
    <w:rsid w:val="00E93136"/>
    <w:rsid w:val="00E93325"/>
    <w:rsid w:val="00E93349"/>
    <w:rsid w:val="00E93522"/>
    <w:rsid w:val="00E93ABE"/>
    <w:rsid w:val="00E93D92"/>
    <w:rsid w:val="00E93E71"/>
    <w:rsid w:val="00E93F3C"/>
    <w:rsid w:val="00E93FE1"/>
    <w:rsid w:val="00E940AB"/>
    <w:rsid w:val="00E941EB"/>
    <w:rsid w:val="00E94428"/>
    <w:rsid w:val="00E94523"/>
    <w:rsid w:val="00E9457D"/>
    <w:rsid w:val="00E945FD"/>
    <w:rsid w:val="00E94646"/>
    <w:rsid w:val="00E946E4"/>
    <w:rsid w:val="00E9474C"/>
    <w:rsid w:val="00E94975"/>
    <w:rsid w:val="00E94981"/>
    <w:rsid w:val="00E949F6"/>
    <w:rsid w:val="00E95111"/>
    <w:rsid w:val="00E9550B"/>
    <w:rsid w:val="00E9569C"/>
    <w:rsid w:val="00E956F1"/>
    <w:rsid w:val="00E95D7B"/>
    <w:rsid w:val="00E95D7D"/>
    <w:rsid w:val="00E95EBC"/>
    <w:rsid w:val="00E95FDE"/>
    <w:rsid w:val="00E964BC"/>
    <w:rsid w:val="00E9650C"/>
    <w:rsid w:val="00E965DD"/>
    <w:rsid w:val="00E965E4"/>
    <w:rsid w:val="00E966B7"/>
    <w:rsid w:val="00E969CF"/>
    <w:rsid w:val="00E96D24"/>
    <w:rsid w:val="00E96EB5"/>
    <w:rsid w:val="00E97024"/>
    <w:rsid w:val="00E97192"/>
    <w:rsid w:val="00E971F0"/>
    <w:rsid w:val="00E97223"/>
    <w:rsid w:val="00E9750B"/>
    <w:rsid w:val="00E97516"/>
    <w:rsid w:val="00E975D1"/>
    <w:rsid w:val="00E9770D"/>
    <w:rsid w:val="00E97781"/>
    <w:rsid w:val="00E9799B"/>
    <w:rsid w:val="00E97AF3"/>
    <w:rsid w:val="00E97C54"/>
    <w:rsid w:val="00E97E6A"/>
    <w:rsid w:val="00EA040B"/>
    <w:rsid w:val="00EA0669"/>
    <w:rsid w:val="00EA084E"/>
    <w:rsid w:val="00EA0D6A"/>
    <w:rsid w:val="00EA0DEC"/>
    <w:rsid w:val="00EA0DFD"/>
    <w:rsid w:val="00EA0E0F"/>
    <w:rsid w:val="00EA0FF7"/>
    <w:rsid w:val="00EA105D"/>
    <w:rsid w:val="00EA1080"/>
    <w:rsid w:val="00EA114F"/>
    <w:rsid w:val="00EA12ED"/>
    <w:rsid w:val="00EA13D7"/>
    <w:rsid w:val="00EA1442"/>
    <w:rsid w:val="00EA1474"/>
    <w:rsid w:val="00EA14BA"/>
    <w:rsid w:val="00EA153E"/>
    <w:rsid w:val="00EA16E9"/>
    <w:rsid w:val="00EA1786"/>
    <w:rsid w:val="00EA17CB"/>
    <w:rsid w:val="00EA1B6A"/>
    <w:rsid w:val="00EA1BE6"/>
    <w:rsid w:val="00EA1D0A"/>
    <w:rsid w:val="00EA1EE5"/>
    <w:rsid w:val="00EA20D1"/>
    <w:rsid w:val="00EA214B"/>
    <w:rsid w:val="00EA2188"/>
    <w:rsid w:val="00EA22DC"/>
    <w:rsid w:val="00EA24CD"/>
    <w:rsid w:val="00EA25A1"/>
    <w:rsid w:val="00EA26B5"/>
    <w:rsid w:val="00EA2723"/>
    <w:rsid w:val="00EA27E4"/>
    <w:rsid w:val="00EA2B44"/>
    <w:rsid w:val="00EA2B7D"/>
    <w:rsid w:val="00EA2BA7"/>
    <w:rsid w:val="00EA2C68"/>
    <w:rsid w:val="00EA2CD1"/>
    <w:rsid w:val="00EA2D85"/>
    <w:rsid w:val="00EA2DA7"/>
    <w:rsid w:val="00EA2F21"/>
    <w:rsid w:val="00EA3009"/>
    <w:rsid w:val="00EA36DE"/>
    <w:rsid w:val="00EA3CC1"/>
    <w:rsid w:val="00EA3F14"/>
    <w:rsid w:val="00EA42B5"/>
    <w:rsid w:val="00EA437A"/>
    <w:rsid w:val="00EA43BA"/>
    <w:rsid w:val="00EA43EC"/>
    <w:rsid w:val="00EA455B"/>
    <w:rsid w:val="00EA467C"/>
    <w:rsid w:val="00EA4CB2"/>
    <w:rsid w:val="00EA4D40"/>
    <w:rsid w:val="00EA5011"/>
    <w:rsid w:val="00EA50A0"/>
    <w:rsid w:val="00EA51DB"/>
    <w:rsid w:val="00EA54BB"/>
    <w:rsid w:val="00EA56DE"/>
    <w:rsid w:val="00EA5769"/>
    <w:rsid w:val="00EA58D2"/>
    <w:rsid w:val="00EA5A49"/>
    <w:rsid w:val="00EA5B7F"/>
    <w:rsid w:val="00EA5DB2"/>
    <w:rsid w:val="00EA5EA3"/>
    <w:rsid w:val="00EA6189"/>
    <w:rsid w:val="00EA66D2"/>
    <w:rsid w:val="00EA66D3"/>
    <w:rsid w:val="00EA67FF"/>
    <w:rsid w:val="00EA684D"/>
    <w:rsid w:val="00EA687A"/>
    <w:rsid w:val="00EA68F6"/>
    <w:rsid w:val="00EA6905"/>
    <w:rsid w:val="00EA6962"/>
    <w:rsid w:val="00EA69B6"/>
    <w:rsid w:val="00EA6ACE"/>
    <w:rsid w:val="00EA6AD7"/>
    <w:rsid w:val="00EA6AF1"/>
    <w:rsid w:val="00EA6B57"/>
    <w:rsid w:val="00EA6D0F"/>
    <w:rsid w:val="00EA6EC1"/>
    <w:rsid w:val="00EA6F4F"/>
    <w:rsid w:val="00EA7058"/>
    <w:rsid w:val="00EA7111"/>
    <w:rsid w:val="00EA7140"/>
    <w:rsid w:val="00EA71EE"/>
    <w:rsid w:val="00EA7449"/>
    <w:rsid w:val="00EA7549"/>
    <w:rsid w:val="00EA75FE"/>
    <w:rsid w:val="00EA76CE"/>
    <w:rsid w:val="00EA7A21"/>
    <w:rsid w:val="00EA7B9D"/>
    <w:rsid w:val="00EA7BC2"/>
    <w:rsid w:val="00EA7C69"/>
    <w:rsid w:val="00EA7DF8"/>
    <w:rsid w:val="00EA7E5D"/>
    <w:rsid w:val="00EB001E"/>
    <w:rsid w:val="00EB0044"/>
    <w:rsid w:val="00EB00F5"/>
    <w:rsid w:val="00EB0126"/>
    <w:rsid w:val="00EB01CC"/>
    <w:rsid w:val="00EB0322"/>
    <w:rsid w:val="00EB0699"/>
    <w:rsid w:val="00EB077D"/>
    <w:rsid w:val="00EB082E"/>
    <w:rsid w:val="00EB089F"/>
    <w:rsid w:val="00EB0A07"/>
    <w:rsid w:val="00EB0A66"/>
    <w:rsid w:val="00EB0A84"/>
    <w:rsid w:val="00EB0DCF"/>
    <w:rsid w:val="00EB0E9A"/>
    <w:rsid w:val="00EB13EE"/>
    <w:rsid w:val="00EB1472"/>
    <w:rsid w:val="00EB14DE"/>
    <w:rsid w:val="00EB164B"/>
    <w:rsid w:val="00EB165D"/>
    <w:rsid w:val="00EB172B"/>
    <w:rsid w:val="00EB172E"/>
    <w:rsid w:val="00EB1A61"/>
    <w:rsid w:val="00EB1BC1"/>
    <w:rsid w:val="00EB1E19"/>
    <w:rsid w:val="00EB1ECC"/>
    <w:rsid w:val="00EB20CF"/>
    <w:rsid w:val="00EB2429"/>
    <w:rsid w:val="00EB25F8"/>
    <w:rsid w:val="00EB2735"/>
    <w:rsid w:val="00EB2769"/>
    <w:rsid w:val="00EB2BCC"/>
    <w:rsid w:val="00EB2D57"/>
    <w:rsid w:val="00EB2E38"/>
    <w:rsid w:val="00EB31A8"/>
    <w:rsid w:val="00EB3277"/>
    <w:rsid w:val="00EB330E"/>
    <w:rsid w:val="00EB35F5"/>
    <w:rsid w:val="00EB37E0"/>
    <w:rsid w:val="00EB38EA"/>
    <w:rsid w:val="00EB39C4"/>
    <w:rsid w:val="00EB3A6C"/>
    <w:rsid w:val="00EB3B40"/>
    <w:rsid w:val="00EB3B57"/>
    <w:rsid w:val="00EB3C7F"/>
    <w:rsid w:val="00EB3D65"/>
    <w:rsid w:val="00EB3E00"/>
    <w:rsid w:val="00EB3E33"/>
    <w:rsid w:val="00EB405C"/>
    <w:rsid w:val="00EB4392"/>
    <w:rsid w:val="00EB4397"/>
    <w:rsid w:val="00EB43F5"/>
    <w:rsid w:val="00EB4506"/>
    <w:rsid w:val="00EB4807"/>
    <w:rsid w:val="00EB48FC"/>
    <w:rsid w:val="00EB4C2A"/>
    <w:rsid w:val="00EB4CA5"/>
    <w:rsid w:val="00EB4CB6"/>
    <w:rsid w:val="00EB4CE3"/>
    <w:rsid w:val="00EB4DD5"/>
    <w:rsid w:val="00EB4E7A"/>
    <w:rsid w:val="00EB4EFE"/>
    <w:rsid w:val="00EB4F55"/>
    <w:rsid w:val="00EB4F9F"/>
    <w:rsid w:val="00EB4FC2"/>
    <w:rsid w:val="00EB524A"/>
    <w:rsid w:val="00EB525B"/>
    <w:rsid w:val="00EB5336"/>
    <w:rsid w:val="00EB547E"/>
    <w:rsid w:val="00EB5623"/>
    <w:rsid w:val="00EB5792"/>
    <w:rsid w:val="00EB57EF"/>
    <w:rsid w:val="00EB586A"/>
    <w:rsid w:val="00EB5B65"/>
    <w:rsid w:val="00EB5C89"/>
    <w:rsid w:val="00EB5C96"/>
    <w:rsid w:val="00EB6140"/>
    <w:rsid w:val="00EB6159"/>
    <w:rsid w:val="00EB616A"/>
    <w:rsid w:val="00EB61AD"/>
    <w:rsid w:val="00EB63CF"/>
    <w:rsid w:val="00EB6474"/>
    <w:rsid w:val="00EB660A"/>
    <w:rsid w:val="00EB67F0"/>
    <w:rsid w:val="00EB68A7"/>
    <w:rsid w:val="00EB68E3"/>
    <w:rsid w:val="00EB6AB9"/>
    <w:rsid w:val="00EB6ABF"/>
    <w:rsid w:val="00EB6AD7"/>
    <w:rsid w:val="00EB6AF2"/>
    <w:rsid w:val="00EB6BD4"/>
    <w:rsid w:val="00EB6D43"/>
    <w:rsid w:val="00EB704A"/>
    <w:rsid w:val="00EB7052"/>
    <w:rsid w:val="00EB7133"/>
    <w:rsid w:val="00EB71FA"/>
    <w:rsid w:val="00EB74C2"/>
    <w:rsid w:val="00EB756B"/>
    <w:rsid w:val="00EB765E"/>
    <w:rsid w:val="00EB76F8"/>
    <w:rsid w:val="00EB79F7"/>
    <w:rsid w:val="00EB7AFE"/>
    <w:rsid w:val="00EB7B35"/>
    <w:rsid w:val="00EB7BBD"/>
    <w:rsid w:val="00EB7FB3"/>
    <w:rsid w:val="00EC001A"/>
    <w:rsid w:val="00EC006A"/>
    <w:rsid w:val="00EC027E"/>
    <w:rsid w:val="00EC03EE"/>
    <w:rsid w:val="00EC042D"/>
    <w:rsid w:val="00EC0656"/>
    <w:rsid w:val="00EC09D5"/>
    <w:rsid w:val="00EC09E1"/>
    <w:rsid w:val="00EC0C51"/>
    <w:rsid w:val="00EC0C9C"/>
    <w:rsid w:val="00EC0E4A"/>
    <w:rsid w:val="00EC1570"/>
    <w:rsid w:val="00EC15AD"/>
    <w:rsid w:val="00EC1604"/>
    <w:rsid w:val="00EC188C"/>
    <w:rsid w:val="00EC1893"/>
    <w:rsid w:val="00EC19AE"/>
    <w:rsid w:val="00EC19BD"/>
    <w:rsid w:val="00EC1BA7"/>
    <w:rsid w:val="00EC1C51"/>
    <w:rsid w:val="00EC1EA4"/>
    <w:rsid w:val="00EC1ED9"/>
    <w:rsid w:val="00EC1F16"/>
    <w:rsid w:val="00EC1F60"/>
    <w:rsid w:val="00EC2156"/>
    <w:rsid w:val="00EC21FE"/>
    <w:rsid w:val="00EC2328"/>
    <w:rsid w:val="00EC238F"/>
    <w:rsid w:val="00EC23FE"/>
    <w:rsid w:val="00EC2409"/>
    <w:rsid w:val="00EC2511"/>
    <w:rsid w:val="00EC265F"/>
    <w:rsid w:val="00EC26CC"/>
    <w:rsid w:val="00EC2C3A"/>
    <w:rsid w:val="00EC2C86"/>
    <w:rsid w:val="00EC2CD1"/>
    <w:rsid w:val="00EC2F9D"/>
    <w:rsid w:val="00EC30B9"/>
    <w:rsid w:val="00EC346C"/>
    <w:rsid w:val="00EC348A"/>
    <w:rsid w:val="00EC34FC"/>
    <w:rsid w:val="00EC35E3"/>
    <w:rsid w:val="00EC362F"/>
    <w:rsid w:val="00EC3630"/>
    <w:rsid w:val="00EC3AFD"/>
    <w:rsid w:val="00EC3C96"/>
    <w:rsid w:val="00EC3E01"/>
    <w:rsid w:val="00EC41A9"/>
    <w:rsid w:val="00EC4309"/>
    <w:rsid w:val="00EC4356"/>
    <w:rsid w:val="00EC43E5"/>
    <w:rsid w:val="00EC460A"/>
    <w:rsid w:val="00EC460C"/>
    <w:rsid w:val="00EC46AB"/>
    <w:rsid w:val="00EC49C2"/>
    <w:rsid w:val="00EC4ABE"/>
    <w:rsid w:val="00EC4DB0"/>
    <w:rsid w:val="00EC4E20"/>
    <w:rsid w:val="00EC5019"/>
    <w:rsid w:val="00EC520C"/>
    <w:rsid w:val="00EC520E"/>
    <w:rsid w:val="00EC5528"/>
    <w:rsid w:val="00EC556B"/>
    <w:rsid w:val="00EC5573"/>
    <w:rsid w:val="00EC571F"/>
    <w:rsid w:val="00EC58FF"/>
    <w:rsid w:val="00EC5921"/>
    <w:rsid w:val="00EC5ADC"/>
    <w:rsid w:val="00EC5B82"/>
    <w:rsid w:val="00EC5B93"/>
    <w:rsid w:val="00EC5D96"/>
    <w:rsid w:val="00EC5D9F"/>
    <w:rsid w:val="00EC6095"/>
    <w:rsid w:val="00EC62AB"/>
    <w:rsid w:val="00EC6414"/>
    <w:rsid w:val="00EC64CB"/>
    <w:rsid w:val="00EC64EF"/>
    <w:rsid w:val="00EC665D"/>
    <w:rsid w:val="00EC6822"/>
    <w:rsid w:val="00EC6AC0"/>
    <w:rsid w:val="00EC6B4C"/>
    <w:rsid w:val="00EC6CB0"/>
    <w:rsid w:val="00EC6D4D"/>
    <w:rsid w:val="00EC6D5A"/>
    <w:rsid w:val="00EC6DB0"/>
    <w:rsid w:val="00EC6DCA"/>
    <w:rsid w:val="00EC6E3D"/>
    <w:rsid w:val="00EC6FD1"/>
    <w:rsid w:val="00EC6FD3"/>
    <w:rsid w:val="00EC7151"/>
    <w:rsid w:val="00EC7397"/>
    <w:rsid w:val="00EC7598"/>
    <w:rsid w:val="00EC759C"/>
    <w:rsid w:val="00EC75FA"/>
    <w:rsid w:val="00EC7628"/>
    <w:rsid w:val="00EC76A1"/>
    <w:rsid w:val="00EC7762"/>
    <w:rsid w:val="00EC778F"/>
    <w:rsid w:val="00EC7884"/>
    <w:rsid w:val="00EC7AD7"/>
    <w:rsid w:val="00EC7AFB"/>
    <w:rsid w:val="00EC7D24"/>
    <w:rsid w:val="00EC7D67"/>
    <w:rsid w:val="00EC7EAB"/>
    <w:rsid w:val="00EC7FE9"/>
    <w:rsid w:val="00ED027F"/>
    <w:rsid w:val="00ED0647"/>
    <w:rsid w:val="00ED06FF"/>
    <w:rsid w:val="00ED0725"/>
    <w:rsid w:val="00ED08A6"/>
    <w:rsid w:val="00ED0A17"/>
    <w:rsid w:val="00ED0BCC"/>
    <w:rsid w:val="00ED0CE4"/>
    <w:rsid w:val="00ED0CE7"/>
    <w:rsid w:val="00ED0D04"/>
    <w:rsid w:val="00ED0DFB"/>
    <w:rsid w:val="00ED11B5"/>
    <w:rsid w:val="00ED11F9"/>
    <w:rsid w:val="00ED1514"/>
    <w:rsid w:val="00ED15F5"/>
    <w:rsid w:val="00ED1756"/>
    <w:rsid w:val="00ED17AA"/>
    <w:rsid w:val="00ED17CE"/>
    <w:rsid w:val="00ED1827"/>
    <w:rsid w:val="00ED18D5"/>
    <w:rsid w:val="00ED1B72"/>
    <w:rsid w:val="00ED1DAD"/>
    <w:rsid w:val="00ED211B"/>
    <w:rsid w:val="00ED2290"/>
    <w:rsid w:val="00ED22FA"/>
    <w:rsid w:val="00ED23FA"/>
    <w:rsid w:val="00ED26FE"/>
    <w:rsid w:val="00ED282D"/>
    <w:rsid w:val="00ED286D"/>
    <w:rsid w:val="00ED2E58"/>
    <w:rsid w:val="00ED322B"/>
    <w:rsid w:val="00ED32C3"/>
    <w:rsid w:val="00ED32C5"/>
    <w:rsid w:val="00ED333F"/>
    <w:rsid w:val="00ED33A2"/>
    <w:rsid w:val="00ED33C2"/>
    <w:rsid w:val="00ED35A1"/>
    <w:rsid w:val="00ED360F"/>
    <w:rsid w:val="00ED3711"/>
    <w:rsid w:val="00ED37FF"/>
    <w:rsid w:val="00ED3962"/>
    <w:rsid w:val="00ED3AC4"/>
    <w:rsid w:val="00ED3C9C"/>
    <w:rsid w:val="00ED3D85"/>
    <w:rsid w:val="00ED3EB8"/>
    <w:rsid w:val="00ED3FA0"/>
    <w:rsid w:val="00ED4002"/>
    <w:rsid w:val="00ED4012"/>
    <w:rsid w:val="00ED428E"/>
    <w:rsid w:val="00ED42CE"/>
    <w:rsid w:val="00ED44F9"/>
    <w:rsid w:val="00ED459B"/>
    <w:rsid w:val="00ED45D0"/>
    <w:rsid w:val="00ED45E2"/>
    <w:rsid w:val="00ED4709"/>
    <w:rsid w:val="00ED47C2"/>
    <w:rsid w:val="00ED4929"/>
    <w:rsid w:val="00ED4ABF"/>
    <w:rsid w:val="00ED4BBD"/>
    <w:rsid w:val="00ED4BD8"/>
    <w:rsid w:val="00ED4BDA"/>
    <w:rsid w:val="00ED4DBA"/>
    <w:rsid w:val="00ED4E93"/>
    <w:rsid w:val="00ED5005"/>
    <w:rsid w:val="00ED526D"/>
    <w:rsid w:val="00ED53B3"/>
    <w:rsid w:val="00ED5745"/>
    <w:rsid w:val="00ED5C7B"/>
    <w:rsid w:val="00ED5C7E"/>
    <w:rsid w:val="00ED5F9E"/>
    <w:rsid w:val="00ED5FCB"/>
    <w:rsid w:val="00ED60ED"/>
    <w:rsid w:val="00ED6103"/>
    <w:rsid w:val="00ED6340"/>
    <w:rsid w:val="00ED636F"/>
    <w:rsid w:val="00ED6817"/>
    <w:rsid w:val="00ED68D8"/>
    <w:rsid w:val="00ED6FD3"/>
    <w:rsid w:val="00ED70A7"/>
    <w:rsid w:val="00ED74F5"/>
    <w:rsid w:val="00ED7A19"/>
    <w:rsid w:val="00ED7A84"/>
    <w:rsid w:val="00ED7AB1"/>
    <w:rsid w:val="00ED7ADF"/>
    <w:rsid w:val="00ED7CDA"/>
    <w:rsid w:val="00ED7E11"/>
    <w:rsid w:val="00ED7E35"/>
    <w:rsid w:val="00ED7E88"/>
    <w:rsid w:val="00EE0165"/>
    <w:rsid w:val="00EE01AA"/>
    <w:rsid w:val="00EE036C"/>
    <w:rsid w:val="00EE0404"/>
    <w:rsid w:val="00EE053E"/>
    <w:rsid w:val="00EE0751"/>
    <w:rsid w:val="00EE093E"/>
    <w:rsid w:val="00EE0994"/>
    <w:rsid w:val="00EE09FE"/>
    <w:rsid w:val="00EE0A02"/>
    <w:rsid w:val="00EE0C02"/>
    <w:rsid w:val="00EE0D14"/>
    <w:rsid w:val="00EE0D26"/>
    <w:rsid w:val="00EE0DED"/>
    <w:rsid w:val="00EE0F75"/>
    <w:rsid w:val="00EE0FCA"/>
    <w:rsid w:val="00EE126D"/>
    <w:rsid w:val="00EE14A3"/>
    <w:rsid w:val="00EE14FA"/>
    <w:rsid w:val="00EE15CE"/>
    <w:rsid w:val="00EE18AA"/>
    <w:rsid w:val="00EE1B86"/>
    <w:rsid w:val="00EE1BBA"/>
    <w:rsid w:val="00EE1C96"/>
    <w:rsid w:val="00EE1FE9"/>
    <w:rsid w:val="00EE2046"/>
    <w:rsid w:val="00EE20E6"/>
    <w:rsid w:val="00EE21C0"/>
    <w:rsid w:val="00EE2225"/>
    <w:rsid w:val="00EE2327"/>
    <w:rsid w:val="00EE249B"/>
    <w:rsid w:val="00EE24B5"/>
    <w:rsid w:val="00EE2711"/>
    <w:rsid w:val="00EE2905"/>
    <w:rsid w:val="00EE2987"/>
    <w:rsid w:val="00EE2AB9"/>
    <w:rsid w:val="00EE2BD3"/>
    <w:rsid w:val="00EE2C93"/>
    <w:rsid w:val="00EE2CBB"/>
    <w:rsid w:val="00EE2D39"/>
    <w:rsid w:val="00EE2D92"/>
    <w:rsid w:val="00EE2EC4"/>
    <w:rsid w:val="00EE3315"/>
    <w:rsid w:val="00EE339B"/>
    <w:rsid w:val="00EE33B2"/>
    <w:rsid w:val="00EE363B"/>
    <w:rsid w:val="00EE36DE"/>
    <w:rsid w:val="00EE37D6"/>
    <w:rsid w:val="00EE3C29"/>
    <w:rsid w:val="00EE3D2C"/>
    <w:rsid w:val="00EE3F24"/>
    <w:rsid w:val="00EE4358"/>
    <w:rsid w:val="00EE436C"/>
    <w:rsid w:val="00EE448A"/>
    <w:rsid w:val="00EE44A1"/>
    <w:rsid w:val="00EE4552"/>
    <w:rsid w:val="00EE4644"/>
    <w:rsid w:val="00EE4A5E"/>
    <w:rsid w:val="00EE4A75"/>
    <w:rsid w:val="00EE4B19"/>
    <w:rsid w:val="00EE4BFD"/>
    <w:rsid w:val="00EE4C45"/>
    <w:rsid w:val="00EE4CD5"/>
    <w:rsid w:val="00EE4D52"/>
    <w:rsid w:val="00EE4DA6"/>
    <w:rsid w:val="00EE4FA0"/>
    <w:rsid w:val="00EE5402"/>
    <w:rsid w:val="00EE547C"/>
    <w:rsid w:val="00EE59F3"/>
    <w:rsid w:val="00EE5A95"/>
    <w:rsid w:val="00EE5B9C"/>
    <w:rsid w:val="00EE5E65"/>
    <w:rsid w:val="00EE5FAB"/>
    <w:rsid w:val="00EE61F5"/>
    <w:rsid w:val="00EE620E"/>
    <w:rsid w:val="00EE6229"/>
    <w:rsid w:val="00EE6293"/>
    <w:rsid w:val="00EE6372"/>
    <w:rsid w:val="00EE6395"/>
    <w:rsid w:val="00EE6437"/>
    <w:rsid w:val="00EE64E0"/>
    <w:rsid w:val="00EE6578"/>
    <w:rsid w:val="00EE67D8"/>
    <w:rsid w:val="00EE68C6"/>
    <w:rsid w:val="00EE69B0"/>
    <w:rsid w:val="00EE69D0"/>
    <w:rsid w:val="00EE6CC0"/>
    <w:rsid w:val="00EE6DB1"/>
    <w:rsid w:val="00EE724F"/>
    <w:rsid w:val="00EE7704"/>
    <w:rsid w:val="00EE78DA"/>
    <w:rsid w:val="00EE7BA0"/>
    <w:rsid w:val="00EE7BAC"/>
    <w:rsid w:val="00EE7F8A"/>
    <w:rsid w:val="00EE7FC7"/>
    <w:rsid w:val="00EF00E9"/>
    <w:rsid w:val="00EF00EA"/>
    <w:rsid w:val="00EF01BA"/>
    <w:rsid w:val="00EF0253"/>
    <w:rsid w:val="00EF02FA"/>
    <w:rsid w:val="00EF0476"/>
    <w:rsid w:val="00EF04B6"/>
    <w:rsid w:val="00EF051F"/>
    <w:rsid w:val="00EF056E"/>
    <w:rsid w:val="00EF05D6"/>
    <w:rsid w:val="00EF0C19"/>
    <w:rsid w:val="00EF0C61"/>
    <w:rsid w:val="00EF0C63"/>
    <w:rsid w:val="00EF0CAD"/>
    <w:rsid w:val="00EF0D7A"/>
    <w:rsid w:val="00EF0DA6"/>
    <w:rsid w:val="00EF0F70"/>
    <w:rsid w:val="00EF1250"/>
    <w:rsid w:val="00EF134C"/>
    <w:rsid w:val="00EF1544"/>
    <w:rsid w:val="00EF15B6"/>
    <w:rsid w:val="00EF16AC"/>
    <w:rsid w:val="00EF176F"/>
    <w:rsid w:val="00EF17BA"/>
    <w:rsid w:val="00EF1ACD"/>
    <w:rsid w:val="00EF1BAE"/>
    <w:rsid w:val="00EF1CAC"/>
    <w:rsid w:val="00EF1D78"/>
    <w:rsid w:val="00EF1E96"/>
    <w:rsid w:val="00EF1EA7"/>
    <w:rsid w:val="00EF1F98"/>
    <w:rsid w:val="00EF222D"/>
    <w:rsid w:val="00EF2294"/>
    <w:rsid w:val="00EF2308"/>
    <w:rsid w:val="00EF232B"/>
    <w:rsid w:val="00EF24FF"/>
    <w:rsid w:val="00EF25E1"/>
    <w:rsid w:val="00EF267D"/>
    <w:rsid w:val="00EF267F"/>
    <w:rsid w:val="00EF26DB"/>
    <w:rsid w:val="00EF28E0"/>
    <w:rsid w:val="00EF295C"/>
    <w:rsid w:val="00EF2967"/>
    <w:rsid w:val="00EF2AF4"/>
    <w:rsid w:val="00EF2B19"/>
    <w:rsid w:val="00EF2E45"/>
    <w:rsid w:val="00EF2F81"/>
    <w:rsid w:val="00EF2FB9"/>
    <w:rsid w:val="00EF3025"/>
    <w:rsid w:val="00EF3131"/>
    <w:rsid w:val="00EF3271"/>
    <w:rsid w:val="00EF32E0"/>
    <w:rsid w:val="00EF331F"/>
    <w:rsid w:val="00EF3568"/>
    <w:rsid w:val="00EF3660"/>
    <w:rsid w:val="00EF3860"/>
    <w:rsid w:val="00EF3CBB"/>
    <w:rsid w:val="00EF3E3A"/>
    <w:rsid w:val="00EF40A9"/>
    <w:rsid w:val="00EF40FE"/>
    <w:rsid w:val="00EF4149"/>
    <w:rsid w:val="00EF4261"/>
    <w:rsid w:val="00EF4289"/>
    <w:rsid w:val="00EF42DF"/>
    <w:rsid w:val="00EF473D"/>
    <w:rsid w:val="00EF4756"/>
    <w:rsid w:val="00EF4862"/>
    <w:rsid w:val="00EF4A60"/>
    <w:rsid w:val="00EF4B76"/>
    <w:rsid w:val="00EF4BC6"/>
    <w:rsid w:val="00EF4D7E"/>
    <w:rsid w:val="00EF5024"/>
    <w:rsid w:val="00EF508B"/>
    <w:rsid w:val="00EF51E2"/>
    <w:rsid w:val="00EF567D"/>
    <w:rsid w:val="00EF5753"/>
    <w:rsid w:val="00EF5ACC"/>
    <w:rsid w:val="00EF5BBF"/>
    <w:rsid w:val="00EF5C15"/>
    <w:rsid w:val="00EF5C28"/>
    <w:rsid w:val="00EF5E4D"/>
    <w:rsid w:val="00EF5FBB"/>
    <w:rsid w:val="00EF60EA"/>
    <w:rsid w:val="00EF60ED"/>
    <w:rsid w:val="00EF610B"/>
    <w:rsid w:val="00EF65BA"/>
    <w:rsid w:val="00EF6656"/>
    <w:rsid w:val="00EF69C0"/>
    <w:rsid w:val="00EF6A0F"/>
    <w:rsid w:val="00EF71C4"/>
    <w:rsid w:val="00EF7299"/>
    <w:rsid w:val="00EF7338"/>
    <w:rsid w:val="00EF7383"/>
    <w:rsid w:val="00EF7737"/>
    <w:rsid w:val="00EF778C"/>
    <w:rsid w:val="00EF78EA"/>
    <w:rsid w:val="00EF7918"/>
    <w:rsid w:val="00EF7AA8"/>
    <w:rsid w:val="00EF7D59"/>
    <w:rsid w:val="00F001C8"/>
    <w:rsid w:val="00F002D5"/>
    <w:rsid w:val="00F007FE"/>
    <w:rsid w:val="00F0082F"/>
    <w:rsid w:val="00F00C75"/>
    <w:rsid w:val="00F00CD9"/>
    <w:rsid w:val="00F00E0A"/>
    <w:rsid w:val="00F0110B"/>
    <w:rsid w:val="00F0119C"/>
    <w:rsid w:val="00F012EA"/>
    <w:rsid w:val="00F01484"/>
    <w:rsid w:val="00F01505"/>
    <w:rsid w:val="00F01527"/>
    <w:rsid w:val="00F015AA"/>
    <w:rsid w:val="00F016B0"/>
    <w:rsid w:val="00F016C2"/>
    <w:rsid w:val="00F017CE"/>
    <w:rsid w:val="00F0188E"/>
    <w:rsid w:val="00F018DD"/>
    <w:rsid w:val="00F01B7E"/>
    <w:rsid w:val="00F01C37"/>
    <w:rsid w:val="00F01E56"/>
    <w:rsid w:val="00F021DB"/>
    <w:rsid w:val="00F02459"/>
    <w:rsid w:val="00F02652"/>
    <w:rsid w:val="00F02723"/>
    <w:rsid w:val="00F0284A"/>
    <w:rsid w:val="00F02A72"/>
    <w:rsid w:val="00F02ACD"/>
    <w:rsid w:val="00F02B97"/>
    <w:rsid w:val="00F02C32"/>
    <w:rsid w:val="00F02CCE"/>
    <w:rsid w:val="00F02CD2"/>
    <w:rsid w:val="00F02D38"/>
    <w:rsid w:val="00F02D9F"/>
    <w:rsid w:val="00F02E4D"/>
    <w:rsid w:val="00F02E73"/>
    <w:rsid w:val="00F02F83"/>
    <w:rsid w:val="00F0307E"/>
    <w:rsid w:val="00F030BF"/>
    <w:rsid w:val="00F030FC"/>
    <w:rsid w:val="00F03164"/>
    <w:rsid w:val="00F03580"/>
    <w:rsid w:val="00F0361A"/>
    <w:rsid w:val="00F0366A"/>
    <w:rsid w:val="00F03724"/>
    <w:rsid w:val="00F0382E"/>
    <w:rsid w:val="00F0384B"/>
    <w:rsid w:val="00F03885"/>
    <w:rsid w:val="00F03CF9"/>
    <w:rsid w:val="00F03F12"/>
    <w:rsid w:val="00F040DD"/>
    <w:rsid w:val="00F04223"/>
    <w:rsid w:val="00F044BC"/>
    <w:rsid w:val="00F044FF"/>
    <w:rsid w:val="00F04528"/>
    <w:rsid w:val="00F046DC"/>
    <w:rsid w:val="00F04853"/>
    <w:rsid w:val="00F048C8"/>
    <w:rsid w:val="00F04C94"/>
    <w:rsid w:val="00F04CB3"/>
    <w:rsid w:val="00F04D5B"/>
    <w:rsid w:val="00F04D78"/>
    <w:rsid w:val="00F04EF4"/>
    <w:rsid w:val="00F05189"/>
    <w:rsid w:val="00F053AF"/>
    <w:rsid w:val="00F057B0"/>
    <w:rsid w:val="00F0598D"/>
    <w:rsid w:val="00F06315"/>
    <w:rsid w:val="00F0635C"/>
    <w:rsid w:val="00F066B7"/>
    <w:rsid w:val="00F06732"/>
    <w:rsid w:val="00F068D0"/>
    <w:rsid w:val="00F068F6"/>
    <w:rsid w:val="00F06992"/>
    <w:rsid w:val="00F06A67"/>
    <w:rsid w:val="00F06AD2"/>
    <w:rsid w:val="00F06BA1"/>
    <w:rsid w:val="00F06DB6"/>
    <w:rsid w:val="00F070D8"/>
    <w:rsid w:val="00F071BB"/>
    <w:rsid w:val="00F0721D"/>
    <w:rsid w:val="00F073F8"/>
    <w:rsid w:val="00F074E9"/>
    <w:rsid w:val="00F07510"/>
    <w:rsid w:val="00F07654"/>
    <w:rsid w:val="00F0788E"/>
    <w:rsid w:val="00F079DE"/>
    <w:rsid w:val="00F07A6F"/>
    <w:rsid w:val="00F07AA2"/>
    <w:rsid w:val="00F07AA4"/>
    <w:rsid w:val="00F07BA4"/>
    <w:rsid w:val="00F07DCE"/>
    <w:rsid w:val="00F07E4B"/>
    <w:rsid w:val="00F07FE8"/>
    <w:rsid w:val="00F100C1"/>
    <w:rsid w:val="00F1028B"/>
    <w:rsid w:val="00F10436"/>
    <w:rsid w:val="00F104A5"/>
    <w:rsid w:val="00F104E9"/>
    <w:rsid w:val="00F106B7"/>
    <w:rsid w:val="00F1093A"/>
    <w:rsid w:val="00F1098E"/>
    <w:rsid w:val="00F109A4"/>
    <w:rsid w:val="00F109E9"/>
    <w:rsid w:val="00F10AAA"/>
    <w:rsid w:val="00F10E84"/>
    <w:rsid w:val="00F1105B"/>
    <w:rsid w:val="00F11173"/>
    <w:rsid w:val="00F1124D"/>
    <w:rsid w:val="00F114F7"/>
    <w:rsid w:val="00F114FD"/>
    <w:rsid w:val="00F11524"/>
    <w:rsid w:val="00F117D5"/>
    <w:rsid w:val="00F117FA"/>
    <w:rsid w:val="00F11A82"/>
    <w:rsid w:val="00F11AD1"/>
    <w:rsid w:val="00F11B38"/>
    <w:rsid w:val="00F11CF8"/>
    <w:rsid w:val="00F11D59"/>
    <w:rsid w:val="00F12095"/>
    <w:rsid w:val="00F120AC"/>
    <w:rsid w:val="00F120DE"/>
    <w:rsid w:val="00F121D3"/>
    <w:rsid w:val="00F1230B"/>
    <w:rsid w:val="00F1235C"/>
    <w:rsid w:val="00F125CD"/>
    <w:rsid w:val="00F12798"/>
    <w:rsid w:val="00F1282D"/>
    <w:rsid w:val="00F1283F"/>
    <w:rsid w:val="00F12AD5"/>
    <w:rsid w:val="00F12AFA"/>
    <w:rsid w:val="00F12B02"/>
    <w:rsid w:val="00F12B63"/>
    <w:rsid w:val="00F12CAA"/>
    <w:rsid w:val="00F12D79"/>
    <w:rsid w:val="00F1317E"/>
    <w:rsid w:val="00F132C0"/>
    <w:rsid w:val="00F13551"/>
    <w:rsid w:val="00F1373A"/>
    <w:rsid w:val="00F1383C"/>
    <w:rsid w:val="00F138D7"/>
    <w:rsid w:val="00F138FF"/>
    <w:rsid w:val="00F1399B"/>
    <w:rsid w:val="00F13A16"/>
    <w:rsid w:val="00F13BB7"/>
    <w:rsid w:val="00F13C49"/>
    <w:rsid w:val="00F13C75"/>
    <w:rsid w:val="00F13C98"/>
    <w:rsid w:val="00F13F2A"/>
    <w:rsid w:val="00F13F8A"/>
    <w:rsid w:val="00F14369"/>
    <w:rsid w:val="00F14385"/>
    <w:rsid w:val="00F145B9"/>
    <w:rsid w:val="00F146C2"/>
    <w:rsid w:val="00F14743"/>
    <w:rsid w:val="00F148EA"/>
    <w:rsid w:val="00F1499D"/>
    <w:rsid w:val="00F149C7"/>
    <w:rsid w:val="00F14D26"/>
    <w:rsid w:val="00F14E4B"/>
    <w:rsid w:val="00F14ECD"/>
    <w:rsid w:val="00F14FB8"/>
    <w:rsid w:val="00F14FCB"/>
    <w:rsid w:val="00F1509D"/>
    <w:rsid w:val="00F15100"/>
    <w:rsid w:val="00F151EB"/>
    <w:rsid w:val="00F151F4"/>
    <w:rsid w:val="00F1523C"/>
    <w:rsid w:val="00F152AF"/>
    <w:rsid w:val="00F1534C"/>
    <w:rsid w:val="00F15417"/>
    <w:rsid w:val="00F15447"/>
    <w:rsid w:val="00F15472"/>
    <w:rsid w:val="00F1548C"/>
    <w:rsid w:val="00F155BF"/>
    <w:rsid w:val="00F156F8"/>
    <w:rsid w:val="00F1575B"/>
    <w:rsid w:val="00F15948"/>
    <w:rsid w:val="00F15A03"/>
    <w:rsid w:val="00F15E60"/>
    <w:rsid w:val="00F15EED"/>
    <w:rsid w:val="00F15F20"/>
    <w:rsid w:val="00F15FD2"/>
    <w:rsid w:val="00F160C0"/>
    <w:rsid w:val="00F165AD"/>
    <w:rsid w:val="00F16786"/>
    <w:rsid w:val="00F1699F"/>
    <w:rsid w:val="00F169BA"/>
    <w:rsid w:val="00F16B11"/>
    <w:rsid w:val="00F16D1F"/>
    <w:rsid w:val="00F16E1E"/>
    <w:rsid w:val="00F16E46"/>
    <w:rsid w:val="00F16F89"/>
    <w:rsid w:val="00F1738A"/>
    <w:rsid w:val="00F173EA"/>
    <w:rsid w:val="00F1741B"/>
    <w:rsid w:val="00F1755E"/>
    <w:rsid w:val="00F176A9"/>
    <w:rsid w:val="00F17775"/>
    <w:rsid w:val="00F177C8"/>
    <w:rsid w:val="00F17958"/>
    <w:rsid w:val="00F17ED0"/>
    <w:rsid w:val="00F17EF8"/>
    <w:rsid w:val="00F203F0"/>
    <w:rsid w:val="00F2056A"/>
    <w:rsid w:val="00F205DA"/>
    <w:rsid w:val="00F20690"/>
    <w:rsid w:val="00F209A7"/>
    <w:rsid w:val="00F20A2B"/>
    <w:rsid w:val="00F20A42"/>
    <w:rsid w:val="00F20C46"/>
    <w:rsid w:val="00F20C90"/>
    <w:rsid w:val="00F21068"/>
    <w:rsid w:val="00F21163"/>
    <w:rsid w:val="00F211AE"/>
    <w:rsid w:val="00F213A3"/>
    <w:rsid w:val="00F214A5"/>
    <w:rsid w:val="00F21656"/>
    <w:rsid w:val="00F216EB"/>
    <w:rsid w:val="00F21B13"/>
    <w:rsid w:val="00F21B96"/>
    <w:rsid w:val="00F21C0F"/>
    <w:rsid w:val="00F21E73"/>
    <w:rsid w:val="00F220F3"/>
    <w:rsid w:val="00F22306"/>
    <w:rsid w:val="00F224BF"/>
    <w:rsid w:val="00F22914"/>
    <w:rsid w:val="00F22A45"/>
    <w:rsid w:val="00F22A56"/>
    <w:rsid w:val="00F22C67"/>
    <w:rsid w:val="00F22C6E"/>
    <w:rsid w:val="00F22CC6"/>
    <w:rsid w:val="00F22D32"/>
    <w:rsid w:val="00F22D47"/>
    <w:rsid w:val="00F22D63"/>
    <w:rsid w:val="00F22E3A"/>
    <w:rsid w:val="00F230A0"/>
    <w:rsid w:val="00F2322C"/>
    <w:rsid w:val="00F236CD"/>
    <w:rsid w:val="00F236D6"/>
    <w:rsid w:val="00F23899"/>
    <w:rsid w:val="00F23C51"/>
    <w:rsid w:val="00F23C8F"/>
    <w:rsid w:val="00F23CA7"/>
    <w:rsid w:val="00F23CCB"/>
    <w:rsid w:val="00F241A4"/>
    <w:rsid w:val="00F241ED"/>
    <w:rsid w:val="00F24430"/>
    <w:rsid w:val="00F249F7"/>
    <w:rsid w:val="00F24A1A"/>
    <w:rsid w:val="00F24AC1"/>
    <w:rsid w:val="00F24B2B"/>
    <w:rsid w:val="00F24B69"/>
    <w:rsid w:val="00F24C05"/>
    <w:rsid w:val="00F24C09"/>
    <w:rsid w:val="00F24D21"/>
    <w:rsid w:val="00F24DEB"/>
    <w:rsid w:val="00F24EED"/>
    <w:rsid w:val="00F25257"/>
    <w:rsid w:val="00F253CB"/>
    <w:rsid w:val="00F25438"/>
    <w:rsid w:val="00F2575A"/>
    <w:rsid w:val="00F258A5"/>
    <w:rsid w:val="00F25CD3"/>
    <w:rsid w:val="00F25CED"/>
    <w:rsid w:val="00F25D6D"/>
    <w:rsid w:val="00F25E18"/>
    <w:rsid w:val="00F263A9"/>
    <w:rsid w:val="00F263B3"/>
    <w:rsid w:val="00F26441"/>
    <w:rsid w:val="00F26499"/>
    <w:rsid w:val="00F265B1"/>
    <w:rsid w:val="00F266C2"/>
    <w:rsid w:val="00F26812"/>
    <w:rsid w:val="00F2686B"/>
    <w:rsid w:val="00F269F0"/>
    <w:rsid w:val="00F26A89"/>
    <w:rsid w:val="00F26ACF"/>
    <w:rsid w:val="00F26BD7"/>
    <w:rsid w:val="00F26BED"/>
    <w:rsid w:val="00F26DA8"/>
    <w:rsid w:val="00F26DBE"/>
    <w:rsid w:val="00F26DF6"/>
    <w:rsid w:val="00F27021"/>
    <w:rsid w:val="00F270E9"/>
    <w:rsid w:val="00F2712D"/>
    <w:rsid w:val="00F27252"/>
    <w:rsid w:val="00F272E7"/>
    <w:rsid w:val="00F27430"/>
    <w:rsid w:val="00F27461"/>
    <w:rsid w:val="00F27788"/>
    <w:rsid w:val="00F27820"/>
    <w:rsid w:val="00F278B7"/>
    <w:rsid w:val="00F279FC"/>
    <w:rsid w:val="00F27B6C"/>
    <w:rsid w:val="00F27C1A"/>
    <w:rsid w:val="00F27CD8"/>
    <w:rsid w:val="00F27E31"/>
    <w:rsid w:val="00F27E62"/>
    <w:rsid w:val="00F27EEC"/>
    <w:rsid w:val="00F27F08"/>
    <w:rsid w:val="00F30509"/>
    <w:rsid w:val="00F30554"/>
    <w:rsid w:val="00F306FF"/>
    <w:rsid w:val="00F30789"/>
    <w:rsid w:val="00F30F1E"/>
    <w:rsid w:val="00F31020"/>
    <w:rsid w:val="00F3109C"/>
    <w:rsid w:val="00F310DF"/>
    <w:rsid w:val="00F312A7"/>
    <w:rsid w:val="00F314A0"/>
    <w:rsid w:val="00F315B1"/>
    <w:rsid w:val="00F317F4"/>
    <w:rsid w:val="00F318F6"/>
    <w:rsid w:val="00F31B32"/>
    <w:rsid w:val="00F31D97"/>
    <w:rsid w:val="00F31E84"/>
    <w:rsid w:val="00F31F30"/>
    <w:rsid w:val="00F31F3D"/>
    <w:rsid w:val="00F31FD0"/>
    <w:rsid w:val="00F322C9"/>
    <w:rsid w:val="00F32363"/>
    <w:rsid w:val="00F3240F"/>
    <w:rsid w:val="00F32453"/>
    <w:rsid w:val="00F32485"/>
    <w:rsid w:val="00F324CE"/>
    <w:rsid w:val="00F32519"/>
    <w:rsid w:val="00F32683"/>
    <w:rsid w:val="00F326A8"/>
    <w:rsid w:val="00F3274D"/>
    <w:rsid w:val="00F327D6"/>
    <w:rsid w:val="00F32849"/>
    <w:rsid w:val="00F328BD"/>
    <w:rsid w:val="00F3294A"/>
    <w:rsid w:val="00F32A24"/>
    <w:rsid w:val="00F32AD2"/>
    <w:rsid w:val="00F32C6D"/>
    <w:rsid w:val="00F32C81"/>
    <w:rsid w:val="00F32CE5"/>
    <w:rsid w:val="00F32D59"/>
    <w:rsid w:val="00F32D5B"/>
    <w:rsid w:val="00F32DDE"/>
    <w:rsid w:val="00F32F16"/>
    <w:rsid w:val="00F32F98"/>
    <w:rsid w:val="00F33147"/>
    <w:rsid w:val="00F331D4"/>
    <w:rsid w:val="00F331DA"/>
    <w:rsid w:val="00F333FC"/>
    <w:rsid w:val="00F33569"/>
    <w:rsid w:val="00F335AF"/>
    <w:rsid w:val="00F33629"/>
    <w:rsid w:val="00F33679"/>
    <w:rsid w:val="00F336CF"/>
    <w:rsid w:val="00F33834"/>
    <w:rsid w:val="00F33879"/>
    <w:rsid w:val="00F33A10"/>
    <w:rsid w:val="00F33B4B"/>
    <w:rsid w:val="00F33B62"/>
    <w:rsid w:val="00F33EF5"/>
    <w:rsid w:val="00F3404F"/>
    <w:rsid w:val="00F345A4"/>
    <w:rsid w:val="00F345BB"/>
    <w:rsid w:val="00F347FF"/>
    <w:rsid w:val="00F349DF"/>
    <w:rsid w:val="00F34B82"/>
    <w:rsid w:val="00F34C22"/>
    <w:rsid w:val="00F34C9C"/>
    <w:rsid w:val="00F34DEB"/>
    <w:rsid w:val="00F3511B"/>
    <w:rsid w:val="00F35450"/>
    <w:rsid w:val="00F35521"/>
    <w:rsid w:val="00F355BA"/>
    <w:rsid w:val="00F3576B"/>
    <w:rsid w:val="00F357CD"/>
    <w:rsid w:val="00F35868"/>
    <w:rsid w:val="00F35914"/>
    <w:rsid w:val="00F3595D"/>
    <w:rsid w:val="00F35986"/>
    <w:rsid w:val="00F359E1"/>
    <w:rsid w:val="00F35AB4"/>
    <w:rsid w:val="00F35B0F"/>
    <w:rsid w:val="00F35C42"/>
    <w:rsid w:val="00F35DC6"/>
    <w:rsid w:val="00F3604C"/>
    <w:rsid w:val="00F36462"/>
    <w:rsid w:val="00F36602"/>
    <w:rsid w:val="00F36607"/>
    <w:rsid w:val="00F36624"/>
    <w:rsid w:val="00F3666B"/>
    <w:rsid w:val="00F369F5"/>
    <w:rsid w:val="00F36D56"/>
    <w:rsid w:val="00F37032"/>
    <w:rsid w:val="00F370E6"/>
    <w:rsid w:val="00F37240"/>
    <w:rsid w:val="00F373F2"/>
    <w:rsid w:val="00F37664"/>
    <w:rsid w:val="00F379F0"/>
    <w:rsid w:val="00F37CF5"/>
    <w:rsid w:val="00F37DEE"/>
    <w:rsid w:val="00F37DF9"/>
    <w:rsid w:val="00F4009A"/>
    <w:rsid w:val="00F40118"/>
    <w:rsid w:val="00F401E9"/>
    <w:rsid w:val="00F40453"/>
    <w:rsid w:val="00F406C6"/>
    <w:rsid w:val="00F40741"/>
    <w:rsid w:val="00F40749"/>
    <w:rsid w:val="00F40895"/>
    <w:rsid w:val="00F409C7"/>
    <w:rsid w:val="00F40B08"/>
    <w:rsid w:val="00F40EE6"/>
    <w:rsid w:val="00F40F97"/>
    <w:rsid w:val="00F41117"/>
    <w:rsid w:val="00F4120E"/>
    <w:rsid w:val="00F412A9"/>
    <w:rsid w:val="00F4141A"/>
    <w:rsid w:val="00F41487"/>
    <w:rsid w:val="00F4164A"/>
    <w:rsid w:val="00F41A94"/>
    <w:rsid w:val="00F41BA7"/>
    <w:rsid w:val="00F41D61"/>
    <w:rsid w:val="00F41DB7"/>
    <w:rsid w:val="00F41E0D"/>
    <w:rsid w:val="00F41E4B"/>
    <w:rsid w:val="00F41FA6"/>
    <w:rsid w:val="00F42035"/>
    <w:rsid w:val="00F42057"/>
    <w:rsid w:val="00F42366"/>
    <w:rsid w:val="00F4298C"/>
    <w:rsid w:val="00F42A8F"/>
    <w:rsid w:val="00F42B0F"/>
    <w:rsid w:val="00F42B13"/>
    <w:rsid w:val="00F42B59"/>
    <w:rsid w:val="00F42CFB"/>
    <w:rsid w:val="00F42F3D"/>
    <w:rsid w:val="00F42FE4"/>
    <w:rsid w:val="00F43194"/>
    <w:rsid w:val="00F431DD"/>
    <w:rsid w:val="00F43355"/>
    <w:rsid w:val="00F43373"/>
    <w:rsid w:val="00F43393"/>
    <w:rsid w:val="00F4343D"/>
    <w:rsid w:val="00F43547"/>
    <w:rsid w:val="00F435D3"/>
    <w:rsid w:val="00F43899"/>
    <w:rsid w:val="00F438BC"/>
    <w:rsid w:val="00F438C6"/>
    <w:rsid w:val="00F4395D"/>
    <w:rsid w:val="00F43C06"/>
    <w:rsid w:val="00F43C31"/>
    <w:rsid w:val="00F43E21"/>
    <w:rsid w:val="00F44422"/>
    <w:rsid w:val="00F4452B"/>
    <w:rsid w:val="00F445F5"/>
    <w:rsid w:val="00F44666"/>
    <w:rsid w:val="00F44702"/>
    <w:rsid w:val="00F44831"/>
    <w:rsid w:val="00F4485F"/>
    <w:rsid w:val="00F44980"/>
    <w:rsid w:val="00F44D52"/>
    <w:rsid w:val="00F44DC6"/>
    <w:rsid w:val="00F44F66"/>
    <w:rsid w:val="00F44FA7"/>
    <w:rsid w:val="00F44FE8"/>
    <w:rsid w:val="00F45198"/>
    <w:rsid w:val="00F4523A"/>
    <w:rsid w:val="00F4536E"/>
    <w:rsid w:val="00F45475"/>
    <w:rsid w:val="00F4579B"/>
    <w:rsid w:val="00F45964"/>
    <w:rsid w:val="00F45B43"/>
    <w:rsid w:val="00F45BDC"/>
    <w:rsid w:val="00F460D7"/>
    <w:rsid w:val="00F46236"/>
    <w:rsid w:val="00F462CB"/>
    <w:rsid w:val="00F46329"/>
    <w:rsid w:val="00F4633A"/>
    <w:rsid w:val="00F46592"/>
    <w:rsid w:val="00F46614"/>
    <w:rsid w:val="00F46969"/>
    <w:rsid w:val="00F469A8"/>
    <w:rsid w:val="00F469AB"/>
    <w:rsid w:val="00F46D54"/>
    <w:rsid w:val="00F470B3"/>
    <w:rsid w:val="00F470C4"/>
    <w:rsid w:val="00F4719E"/>
    <w:rsid w:val="00F475E2"/>
    <w:rsid w:val="00F4767A"/>
    <w:rsid w:val="00F4781F"/>
    <w:rsid w:val="00F479DD"/>
    <w:rsid w:val="00F47CCE"/>
    <w:rsid w:val="00F47D88"/>
    <w:rsid w:val="00F47EB0"/>
    <w:rsid w:val="00F47FC4"/>
    <w:rsid w:val="00F47FFD"/>
    <w:rsid w:val="00F50082"/>
    <w:rsid w:val="00F5026F"/>
    <w:rsid w:val="00F503A0"/>
    <w:rsid w:val="00F503F7"/>
    <w:rsid w:val="00F5049F"/>
    <w:rsid w:val="00F506B6"/>
    <w:rsid w:val="00F508AF"/>
    <w:rsid w:val="00F50A2E"/>
    <w:rsid w:val="00F50E4A"/>
    <w:rsid w:val="00F50FB4"/>
    <w:rsid w:val="00F511C5"/>
    <w:rsid w:val="00F512D3"/>
    <w:rsid w:val="00F512E4"/>
    <w:rsid w:val="00F513E2"/>
    <w:rsid w:val="00F5199D"/>
    <w:rsid w:val="00F51B8B"/>
    <w:rsid w:val="00F5203C"/>
    <w:rsid w:val="00F52117"/>
    <w:rsid w:val="00F521C7"/>
    <w:rsid w:val="00F52213"/>
    <w:rsid w:val="00F52345"/>
    <w:rsid w:val="00F525F6"/>
    <w:rsid w:val="00F52739"/>
    <w:rsid w:val="00F52B62"/>
    <w:rsid w:val="00F52BC0"/>
    <w:rsid w:val="00F52D16"/>
    <w:rsid w:val="00F52E92"/>
    <w:rsid w:val="00F52E95"/>
    <w:rsid w:val="00F52F10"/>
    <w:rsid w:val="00F52F14"/>
    <w:rsid w:val="00F53301"/>
    <w:rsid w:val="00F533F5"/>
    <w:rsid w:val="00F5383F"/>
    <w:rsid w:val="00F538F2"/>
    <w:rsid w:val="00F5391F"/>
    <w:rsid w:val="00F539A2"/>
    <w:rsid w:val="00F539FE"/>
    <w:rsid w:val="00F53BB7"/>
    <w:rsid w:val="00F53D3D"/>
    <w:rsid w:val="00F53D6E"/>
    <w:rsid w:val="00F53DC7"/>
    <w:rsid w:val="00F53FAE"/>
    <w:rsid w:val="00F53FB8"/>
    <w:rsid w:val="00F54204"/>
    <w:rsid w:val="00F5441F"/>
    <w:rsid w:val="00F544F7"/>
    <w:rsid w:val="00F54554"/>
    <w:rsid w:val="00F5485D"/>
    <w:rsid w:val="00F54875"/>
    <w:rsid w:val="00F54AA4"/>
    <w:rsid w:val="00F5513C"/>
    <w:rsid w:val="00F551C1"/>
    <w:rsid w:val="00F55413"/>
    <w:rsid w:val="00F55459"/>
    <w:rsid w:val="00F55529"/>
    <w:rsid w:val="00F5569B"/>
    <w:rsid w:val="00F5575C"/>
    <w:rsid w:val="00F55898"/>
    <w:rsid w:val="00F558FA"/>
    <w:rsid w:val="00F55915"/>
    <w:rsid w:val="00F55B6D"/>
    <w:rsid w:val="00F55C6B"/>
    <w:rsid w:val="00F55DF5"/>
    <w:rsid w:val="00F55F55"/>
    <w:rsid w:val="00F55FDA"/>
    <w:rsid w:val="00F560AB"/>
    <w:rsid w:val="00F56175"/>
    <w:rsid w:val="00F56185"/>
    <w:rsid w:val="00F5619F"/>
    <w:rsid w:val="00F56253"/>
    <w:rsid w:val="00F56569"/>
    <w:rsid w:val="00F5665F"/>
    <w:rsid w:val="00F566CF"/>
    <w:rsid w:val="00F5679F"/>
    <w:rsid w:val="00F56874"/>
    <w:rsid w:val="00F569FC"/>
    <w:rsid w:val="00F56A20"/>
    <w:rsid w:val="00F56AB1"/>
    <w:rsid w:val="00F56B64"/>
    <w:rsid w:val="00F56D8C"/>
    <w:rsid w:val="00F56F1B"/>
    <w:rsid w:val="00F56F62"/>
    <w:rsid w:val="00F57067"/>
    <w:rsid w:val="00F570DB"/>
    <w:rsid w:val="00F571D4"/>
    <w:rsid w:val="00F5735F"/>
    <w:rsid w:val="00F5756A"/>
    <w:rsid w:val="00F577BC"/>
    <w:rsid w:val="00F57969"/>
    <w:rsid w:val="00F57A9D"/>
    <w:rsid w:val="00F57C45"/>
    <w:rsid w:val="00F57C72"/>
    <w:rsid w:val="00F57C85"/>
    <w:rsid w:val="00F57C9D"/>
    <w:rsid w:val="00F57CAE"/>
    <w:rsid w:val="00F57CFE"/>
    <w:rsid w:val="00F57EEB"/>
    <w:rsid w:val="00F60073"/>
    <w:rsid w:val="00F600F7"/>
    <w:rsid w:val="00F60140"/>
    <w:rsid w:val="00F603A8"/>
    <w:rsid w:val="00F604C4"/>
    <w:rsid w:val="00F60594"/>
    <w:rsid w:val="00F60603"/>
    <w:rsid w:val="00F6069B"/>
    <w:rsid w:val="00F6074B"/>
    <w:rsid w:val="00F60924"/>
    <w:rsid w:val="00F60A58"/>
    <w:rsid w:val="00F60D64"/>
    <w:rsid w:val="00F61116"/>
    <w:rsid w:val="00F6111B"/>
    <w:rsid w:val="00F61167"/>
    <w:rsid w:val="00F612E1"/>
    <w:rsid w:val="00F6141A"/>
    <w:rsid w:val="00F614AA"/>
    <w:rsid w:val="00F61569"/>
    <w:rsid w:val="00F61570"/>
    <w:rsid w:val="00F616DF"/>
    <w:rsid w:val="00F616F4"/>
    <w:rsid w:val="00F617FF"/>
    <w:rsid w:val="00F618A7"/>
    <w:rsid w:val="00F61A90"/>
    <w:rsid w:val="00F61C29"/>
    <w:rsid w:val="00F61ED0"/>
    <w:rsid w:val="00F61FBB"/>
    <w:rsid w:val="00F620B0"/>
    <w:rsid w:val="00F6225B"/>
    <w:rsid w:val="00F6230F"/>
    <w:rsid w:val="00F62477"/>
    <w:rsid w:val="00F62584"/>
    <w:rsid w:val="00F625CA"/>
    <w:rsid w:val="00F626D7"/>
    <w:rsid w:val="00F62739"/>
    <w:rsid w:val="00F6276F"/>
    <w:rsid w:val="00F6288E"/>
    <w:rsid w:val="00F629D7"/>
    <w:rsid w:val="00F62BBF"/>
    <w:rsid w:val="00F62DE3"/>
    <w:rsid w:val="00F62F5C"/>
    <w:rsid w:val="00F63158"/>
    <w:rsid w:val="00F6320A"/>
    <w:rsid w:val="00F6353F"/>
    <w:rsid w:val="00F6366E"/>
    <w:rsid w:val="00F63A9C"/>
    <w:rsid w:val="00F63ABE"/>
    <w:rsid w:val="00F63B2F"/>
    <w:rsid w:val="00F63CA6"/>
    <w:rsid w:val="00F63E05"/>
    <w:rsid w:val="00F63E21"/>
    <w:rsid w:val="00F63F3E"/>
    <w:rsid w:val="00F63F6B"/>
    <w:rsid w:val="00F64034"/>
    <w:rsid w:val="00F640C7"/>
    <w:rsid w:val="00F64360"/>
    <w:rsid w:val="00F643D0"/>
    <w:rsid w:val="00F645C8"/>
    <w:rsid w:val="00F646DF"/>
    <w:rsid w:val="00F647EE"/>
    <w:rsid w:val="00F647FB"/>
    <w:rsid w:val="00F648E7"/>
    <w:rsid w:val="00F6494B"/>
    <w:rsid w:val="00F64B43"/>
    <w:rsid w:val="00F64EE2"/>
    <w:rsid w:val="00F65130"/>
    <w:rsid w:val="00F65203"/>
    <w:rsid w:val="00F653E6"/>
    <w:rsid w:val="00F6552A"/>
    <w:rsid w:val="00F655E7"/>
    <w:rsid w:val="00F657EA"/>
    <w:rsid w:val="00F6593A"/>
    <w:rsid w:val="00F65AE4"/>
    <w:rsid w:val="00F65B66"/>
    <w:rsid w:val="00F65D28"/>
    <w:rsid w:val="00F65EAD"/>
    <w:rsid w:val="00F661E7"/>
    <w:rsid w:val="00F66285"/>
    <w:rsid w:val="00F663F4"/>
    <w:rsid w:val="00F665DB"/>
    <w:rsid w:val="00F66797"/>
    <w:rsid w:val="00F667F7"/>
    <w:rsid w:val="00F668B3"/>
    <w:rsid w:val="00F668F3"/>
    <w:rsid w:val="00F66A07"/>
    <w:rsid w:val="00F66B0A"/>
    <w:rsid w:val="00F66C3A"/>
    <w:rsid w:val="00F66FD3"/>
    <w:rsid w:val="00F670EA"/>
    <w:rsid w:val="00F671B3"/>
    <w:rsid w:val="00F6727A"/>
    <w:rsid w:val="00F673C6"/>
    <w:rsid w:val="00F67448"/>
    <w:rsid w:val="00F675EB"/>
    <w:rsid w:val="00F6785C"/>
    <w:rsid w:val="00F67999"/>
    <w:rsid w:val="00F67C17"/>
    <w:rsid w:val="00F67CAA"/>
    <w:rsid w:val="00F67DAC"/>
    <w:rsid w:val="00F70051"/>
    <w:rsid w:val="00F7063D"/>
    <w:rsid w:val="00F70797"/>
    <w:rsid w:val="00F70836"/>
    <w:rsid w:val="00F70949"/>
    <w:rsid w:val="00F70A59"/>
    <w:rsid w:val="00F70BDA"/>
    <w:rsid w:val="00F70C88"/>
    <w:rsid w:val="00F70F3C"/>
    <w:rsid w:val="00F71089"/>
    <w:rsid w:val="00F7122D"/>
    <w:rsid w:val="00F71243"/>
    <w:rsid w:val="00F71249"/>
    <w:rsid w:val="00F71304"/>
    <w:rsid w:val="00F713A3"/>
    <w:rsid w:val="00F71485"/>
    <w:rsid w:val="00F714C0"/>
    <w:rsid w:val="00F71525"/>
    <w:rsid w:val="00F7156D"/>
    <w:rsid w:val="00F71634"/>
    <w:rsid w:val="00F716AD"/>
    <w:rsid w:val="00F717A8"/>
    <w:rsid w:val="00F71879"/>
    <w:rsid w:val="00F718E1"/>
    <w:rsid w:val="00F71A18"/>
    <w:rsid w:val="00F71AD5"/>
    <w:rsid w:val="00F71AD7"/>
    <w:rsid w:val="00F71BE7"/>
    <w:rsid w:val="00F71D13"/>
    <w:rsid w:val="00F71D66"/>
    <w:rsid w:val="00F71E73"/>
    <w:rsid w:val="00F71E9A"/>
    <w:rsid w:val="00F720A0"/>
    <w:rsid w:val="00F722A9"/>
    <w:rsid w:val="00F72399"/>
    <w:rsid w:val="00F723A0"/>
    <w:rsid w:val="00F723AB"/>
    <w:rsid w:val="00F7254B"/>
    <w:rsid w:val="00F72654"/>
    <w:rsid w:val="00F72905"/>
    <w:rsid w:val="00F729C2"/>
    <w:rsid w:val="00F72B78"/>
    <w:rsid w:val="00F72C9D"/>
    <w:rsid w:val="00F72DDA"/>
    <w:rsid w:val="00F72FFA"/>
    <w:rsid w:val="00F73047"/>
    <w:rsid w:val="00F732F2"/>
    <w:rsid w:val="00F73301"/>
    <w:rsid w:val="00F733CE"/>
    <w:rsid w:val="00F733DE"/>
    <w:rsid w:val="00F73409"/>
    <w:rsid w:val="00F73439"/>
    <w:rsid w:val="00F734F1"/>
    <w:rsid w:val="00F73647"/>
    <w:rsid w:val="00F737FC"/>
    <w:rsid w:val="00F738ED"/>
    <w:rsid w:val="00F73A6D"/>
    <w:rsid w:val="00F73A72"/>
    <w:rsid w:val="00F73FE1"/>
    <w:rsid w:val="00F740E3"/>
    <w:rsid w:val="00F74215"/>
    <w:rsid w:val="00F743F6"/>
    <w:rsid w:val="00F744B9"/>
    <w:rsid w:val="00F74781"/>
    <w:rsid w:val="00F74863"/>
    <w:rsid w:val="00F748B0"/>
    <w:rsid w:val="00F7490D"/>
    <w:rsid w:val="00F74919"/>
    <w:rsid w:val="00F74ABC"/>
    <w:rsid w:val="00F74BC4"/>
    <w:rsid w:val="00F74C3C"/>
    <w:rsid w:val="00F74CCA"/>
    <w:rsid w:val="00F74F5C"/>
    <w:rsid w:val="00F74FD0"/>
    <w:rsid w:val="00F752EE"/>
    <w:rsid w:val="00F753D1"/>
    <w:rsid w:val="00F7545E"/>
    <w:rsid w:val="00F75616"/>
    <w:rsid w:val="00F75827"/>
    <w:rsid w:val="00F7582E"/>
    <w:rsid w:val="00F75939"/>
    <w:rsid w:val="00F75B6C"/>
    <w:rsid w:val="00F75CAD"/>
    <w:rsid w:val="00F75DBA"/>
    <w:rsid w:val="00F75FBE"/>
    <w:rsid w:val="00F76159"/>
    <w:rsid w:val="00F7626C"/>
    <w:rsid w:val="00F7634F"/>
    <w:rsid w:val="00F7652E"/>
    <w:rsid w:val="00F76544"/>
    <w:rsid w:val="00F76548"/>
    <w:rsid w:val="00F768F4"/>
    <w:rsid w:val="00F76934"/>
    <w:rsid w:val="00F76A45"/>
    <w:rsid w:val="00F76A9E"/>
    <w:rsid w:val="00F76AD0"/>
    <w:rsid w:val="00F76AE5"/>
    <w:rsid w:val="00F76BB2"/>
    <w:rsid w:val="00F76C3D"/>
    <w:rsid w:val="00F76C7E"/>
    <w:rsid w:val="00F76D32"/>
    <w:rsid w:val="00F76D4C"/>
    <w:rsid w:val="00F76D75"/>
    <w:rsid w:val="00F7718B"/>
    <w:rsid w:val="00F7719C"/>
    <w:rsid w:val="00F771C3"/>
    <w:rsid w:val="00F771FB"/>
    <w:rsid w:val="00F773CA"/>
    <w:rsid w:val="00F77466"/>
    <w:rsid w:val="00F77479"/>
    <w:rsid w:val="00F774EB"/>
    <w:rsid w:val="00F7751D"/>
    <w:rsid w:val="00F776A4"/>
    <w:rsid w:val="00F77BA8"/>
    <w:rsid w:val="00F77EEE"/>
    <w:rsid w:val="00F77EF7"/>
    <w:rsid w:val="00F77F00"/>
    <w:rsid w:val="00F77F65"/>
    <w:rsid w:val="00F8032F"/>
    <w:rsid w:val="00F8035F"/>
    <w:rsid w:val="00F80417"/>
    <w:rsid w:val="00F8049C"/>
    <w:rsid w:val="00F80596"/>
    <w:rsid w:val="00F80616"/>
    <w:rsid w:val="00F80696"/>
    <w:rsid w:val="00F8076E"/>
    <w:rsid w:val="00F8094C"/>
    <w:rsid w:val="00F80A11"/>
    <w:rsid w:val="00F80ADE"/>
    <w:rsid w:val="00F80B1D"/>
    <w:rsid w:val="00F80C15"/>
    <w:rsid w:val="00F80DD7"/>
    <w:rsid w:val="00F80EC6"/>
    <w:rsid w:val="00F80FB1"/>
    <w:rsid w:val="00F810ED"/>
    <w:rsid w:val="00F816F1"/>
    <w:rsid w:val="00F816FA"/>
    <w:rsid w:val="00F81986"/>
    <w:rsid w:val="00F81AC9"/>
    <w:rsid w:val="00F81B4E"/>
    <w:rsid w:val="00F81C46"/>
    <w:rsid w:val="00F81C94"/>
    <w:rsid w:val="00F81D9A"/>
    <w:rsid w:val="00F81FB6"/>
    <w:rsid w:val="00F8216E"/>
    <w:rsid w:val="00F8220D"/>
    <w:rsid w:val="00F823D5"/>
    <w:rsid w:val="00F825AB"/>
    <w:rsid w:val="00F82659"/>
    <w:rsid w:val="00F827FA"/>
    <w:rsid w:val="00F82899"/>
    <w:rsid w:val="00F82A20"/>
    <w:rsid w:val="00F82D69"/>
    <w:rsid w:val="00F8303B"/>
    <w:rsid w:val="00F8307B"/>
    <w:rsid w:val="00F832C5"/>
    <w:rsid w:val="00F834BE"/>
    <w:rsid w:val="00F83653"/>
    <w:rsid w:val="00F83828"/>
    <w:rsid w:val="00F83DE8"/>
    <w:rsid w:val="00F841C6"/>
    <w:rsid w:val="00F84250"/>
    <w:rsid w:val="00F84600"/>
    <w:rsid w:val="00F84740"/>
    <w:rsid w:val="00F84A21"/>
    <w:rsid w:val="00F84B5F"/>
    <w:rsid w:val="00F84B74"/>
    <w:rsid w:val="00F84B94"/>
    <w:rsid w:val="00F84CDD"/>
    <w:rsid w:val="00F84D0A"/>
    <w:rsid w:val="00F84E68"/>
    <w:rsid w:val="00F84F10"/>
    <w:rsid w:val="00F8500E"/>
    <w:rsid w:val="00F850CB"/>
    <w:rsid w:val="00F851AA"/>
    <w:rsid w:val="00F855F1"/>
    <w:rsid w:val="00F85764"/>
    <w:rsid w:val="00F858D8"/>
    <w:rsid w:val="00F85A02"/>
    <w:rsid w:val="00F85B20"/>
    <w:rsid w:val="00F85CF5"/>
    <w:rsid w:val="00F85D06"/>
    <w:rsid w:val="00F85DF7"/>
    <w:rsid w:val="00F85E60"/>
    <w:rsid w:val="00F85FC0"/>
    <w:rsid w:val="00F86010"/>
    <w:rsid w:val="00F86097"/>
    <w:rsid w:val="00F860EB"/>
    <w:rsid w:val="00F8643F"/>
    <w:rsid w:val="00F86522"/>
    <w:rsid w:val="00F8657E"/>
    <w:rsid w:val="00F86651"/>
    <w:rsid w:val="00F866DA"/>
    <w:rsid w:val="00F86918"/>
    <w:rsid w:val="00F86C00"/>
    <w:rsid w:val="00F86ED8"/>
    <w:rsid w:val="00F87355"/>
    <w:rsid w:val="00F8736E"/>
    <w:rsid w:val="00F8747E"/>
    <w:rsid w:val="00F8747F"/>
    <w:rsid w:val="00F874DA"/>
    <w:rsid w:val="00F879C4"/>
    <w:rsid w:val="00F87A1B"/>
    <w:rsid w:val="00F87B0D"/>
    <w:rsid w:val="00F87BB6"/>
    <w:rsid w:val="00F87D2E"/>
    <w:rsid w:val="00F90445"/>
    <w:rsid w:val="00F905B8"/>
    <w:rsid w:val="00F90607"/>
    <w:rsid w:val="00F907BE"/>
    <w:rsid w:val="00F90838"/>
    <w:rsid w:val="00F9088B"/>
    <w:rsid w:val="00F908A8"/>
    <w:rsid w:val="00F90BFA"/>
    <w:rsid w:val="00F90EF3"/>
    <w:rsid w:val="00F9125C"/>
    <w:rsid w:val="00F913CB"/>
    <w:rsid w:val="00F91493"/>
    <w:rsid w:val="00F91534"/>
    <w:rsid w:val="00F9153A"/>
    <w:rsid w:val="00F915ED"/>
    <w:rsid w:val="00F916A8"/>
    <w:rsid w:val="00F917EB"/>
    <w:rsid w:val="00F91A15"/>
    <w:rsid w:val="00F91A35"/>
    <w:rsid w:val="00F91A6A"/>
    <w:rsid w:val="00F91ABD"/>
    <w:rsid w:val="00F922B1"/>
    <w:rsid w:val="00F92481"/>
    <w:rsid w:val="00F92496"/>
    <w:rsid w:val="00F92502"/>
    <w:rsid w:val="00F925B3"/>
    <w:rsid w:val="00F925FA"/>
    <w:rsid w:val="00F9269E"/>
    <w:rsid w:val="00F927D4"/>
    <w:rsid w:val="00F929C9"/>
    <w:rsid w:val="00F92C02"/>
    <w:rsid w:val="00F92C77"/>
    <w:rsid w:val="00F92EA3"/>
    <w:rsid w:val="00F92EA8"/>
    <w:rsid w:val="00F92F5F"/>
    <w:rsid w:val="00F9306F"/>
    <w:rsid w:val="00F932F8"/>
    <w:rsid w:val="00F9342F"/>
    <w:rsid w:val="00F9346A"/>
    <w:rsid w:val="00F935DD"/>
    <w:rsid w:val="00F937E6"/>
    <w:rsid w:val="00F93906"/>
    <w:rsid w:val="00F9394F"/>
    <w:rsid w:val="00F93A95"/>
    <w:rsid w:val="00F93AFE"/>
    <w:rsid w:val="00F93C8D"/>
    <w:rsid w:val="00F93CAC"/>
    <w:rsid w:val="00F93D0A"/>
    <w:rsid w:val="00F93D5F"/>
    <w:rsid w:val="00F942A3"/>
    <w:rsid w:val="00F9480C"/>
    <w:rsid w:val="00F94826"/>
    <w:rsid w:val="00F948CC"/>
    <w:rsid w:val="00F9496C"/>
    <w:rsid w:val="00F94BDA"/>
    <w:rsid w:val="00F94C40"/>
    <w:rsid w:val="00F94D46"/>
    <w:rsid w:val="00F94D81"/>
    <w:rsid w:val="00F94EAE"/>
    <w:rsid w:val="00F94FBF"/>
    <w:rsid w:val="00F9500E"/>
    <w:rsid w:val="00F952DC"/>
    <w:rsid w:val="00F953D0"/>
    <w:rsid w:val="00F95415"/>
    <w:rsid w:val="00F9555C"/>
    <w:rsid w:val="00F95693"/>
    <w:rsid w:val="00F95695"/>
    <w:rsid w:val="00F9581B"/>
    <w:rsid w:val="00F95828"/>
    <w:rsid w:val="00F95912"/>
    <w:rsid w:val="00F95B4D"/>
    <w:rsid w:val="00F95B95"/>
    <w:rsid w:val="00F95C13"/>
    <w:rsid w:val="00F95DF1"/>
    <w:rsid w:val="00F96035"/>
    <w:rsid w:val="00F960B5"/>
    <w:rsid w:val="00F96341"/>
    <w:rsid w:val="00F964B6"/>
    <w:rsid w:val="00F964C0"/>
    <w:rsid w:val="00F96525"/>
    <w:rsid w:val="00F965F4"/>
    <w:rsid w:val="00F968E3"/>
    <w:rsid w:val="00F96A3E"/>
    <w:rsid w:val="00F96A72"/>
    <w:rsid w:val="00F96A88"/>
    <w:rsid w:val="00F96DC8"/>
    <w:rsid w:val="00F96DEF"/>
    <w:rsid w:val="00F96FE9"/>
    <w:rsid w:val="00F97081"/>
    <w:rsid w:val="00F97102"/>
    <w:rsid w:val="00F975BD"/>
    <w:rsid w:val="00F9772D"/>
    <w:rsid w:val="00F9772E"/>
    <w:rsid w:val="00F979A8"/>
    <w:rsid w:val="00F97A75"/>
    <w:rsid w:val="00F97C91"/>
    <w:rsid w:val="00F97D87"/>
    <w:rsid w:val="00F97DDB"/>
    <w:rsid w:val="00FA0037"/>
    <w:rsid w:val="00FA019C"/>
    <w:rsid w:val="00FA06A6"/>
    <w:rsid w:val="00FA06BC"/>
    <w:rsid w:val="00FA0A34"/>
    <w:rsid w:val="00FA0AE1"/>
    <w:rsid w:val="00FA0AF2"/>
    <w:rsid w:val="00FA0C4E"/>
    <w:rsid w:val="00FA0DA6"/>
    <w:rsid w:val="00FA0DB0"/>
    <w:rsid w:val="00FA0DCA"/>
    <w:rsid w:val="00FA0E11"/>
    <w:rsid w:val="00FA12D8"/>
    <w:rsid w:val="00FA131F"/>
    <w:rsid w:val="00FA132A"/>
    <w:rsid w:val="00FA1397"/>
    <w:rsid w:val="00FA13F8"/>
    <w:rsid w:val="00FA13FB"/>
    <w:rsid w:val="00FA1420"/>
    <w:rsid w:val="00FA14FA"/>
    <w:rsid w:val="00FA1590"/>
    <w:rsid w:val="00FA15CA"/>
    <w:rsid w:val="00FA16FD"/>
    <w:rsid w:val="00FA17BE"/>
    <w:rsid w:val="00FA1914"/>
    <w:rsid w:val="00FA1A3D"/>
    <w:rsid w:val="00FA1E27"/>
    <w:rsid w:val="00FA1FA4"/>
    <w:rsid w:val="00FA20CB"/>
    <w:rsid w:val="00FA20E6"/>
    <w:rsid w:val="00FA2165"/>
    <w:rsid w:val="00FA2548"/>
    <w:rsid w:val="00FA2652"/>
    <w:rsid w:val="00FA268B"/>
    <w:rsid w:val="00FA2934"/>
    <w:rsid w:val="00FA2B35"/>
    <w:rsid w:val="00FA2BBB"/>
    <w:rsid w:val="00FA2C1F"/>
    <w:rsid w:val="00FA2DE3"/>
    <w:rsid w:val="00FA2E4D"/>
    <w:rsid w:val="00FA2F34"/>
    <w:rsid w:val="00FA2F4D"/>
    <w:rsid w:val="00FA2F8F"/>
    <w:rsid w:val="00FA30B8"/>
    <w:rsid w:val="00FA313B"/>
    <w:rsid w:val="00FA33BF"/>
    <w:rsid w:val="00FA33DB"/>
    <w:rsid w:val="00FA3789"/>
    <w:rsid w:val="00FA3799"/>
    <w:rsid w:val="00FA38C5"/>
    <w:rsid w:val="00FA3E0C"/>
    <w:rsid w:val="00FA3EB6"/>
    <w:rsid w:val="00FA3FAB"/>
    <w:rsid w:val="00FA3FC3"/>
    <w:rsid w:val="00FA3FCB"/>
    <w:rsid w:val="00FA4507"/>
    <w:rsid w:val="00FA4549"/>
    <w:rsid w:val="00FA4686"/>
    <w:rsid w:val="00FA4843"/>
    <w:rsid w:val="00FA484C"/>
    <w:rsid w:val="00FA4900"/>
    <w:rsid w:val="00FA4A2C"/>
    <w:rsid w:val="00FA4D6D"/>
    <w:rsid w:val="00FA4DCC"/>
    <w:rsid w:val="00FA4F71"/>
    <w:rsid w:val="00FA502D"/>
    <w:rsid w:val="00FA50A8"/>
    <w:rsid w:val="00FA51D0"/>
    <w:rsid w:val="00FA52F3"/>
    <w:rsid w:val="00FA537E"/>
    <w:rsid w:val="00FA5433"/>
    <w:rsid w:val="00FA5500"/>
    <w:rsid w:val="00FA55AA"/>
    <w:rsid w:val="00FA55CB"/>
    <w:rsid w:val="00FA55CD"/>
    <w:rsid w:val="00FA56DD"/>
    <w:rsid w:val="00FA5757"/>
    <w:rsid w:val="00FA57A9"/>
    <w:rsid w:val="00FA5966"/>
    <w:rsid w:val="00FA5F84"/>
    <w:rsid w:val="00FA5FD7"/>
    <w:rsid w:val="00FA606C"/>
    <w:rsid w:val="00FA60BC"/>
    <w:rsid w:val="00FA612D"/>
    <w:rsid w:val="00FA61E5"/>
    <w:rsid w:val="00FA6275"/>
    <w:rsid w:val="00FA629C"/>
    <w:rsid w:val="00FA62EA"/>
    <w:rsid w:val="00FA631F"/>
    <w:rsid w:val="00FA6359"/>
    <w:rsid w:val="00FA64F8"/>
    <w:rsid w:val="00FA677C"/>
    <w:rsid w:val="00FA6833"/>
    <w:rsid w:val="00FA6A72"/>
    <w:rsid w:val="00FA6AC7"/>
    <w:rsid w:val="00FA6B07"/>
    <w:rsid w:val="00FA6B18"/>
    <w:rsid w:val="00FA6CFE"/>
    <w:rsid w:val="00FA732E"/>
    <w:rsid w:val="00FA7369"/>
    <w:rsid w:val="00FA7518"/>
    <w:rsid w:val="00FA7846"/>
    <w:rsid w:val="00FA7881"/>
    <w:rsid w:val="00FA792B"/>
    <w:rsid w:val="00FA79C2"/>
    <w:rsid w:val="00FA7A4D"/>
    <w:rsid w:val="00FA7C1E"/>
    <w:rsid w:val="00FA7C1F"/>
    <w:rsid w:val="00FA7D28"/>
    <w:rsid w:val="00FA7E82"/>
    <w:rsid w:val="00FA7FAD"/>
    <w:rsid w:val="00FB0192"/>
    <w:rsid w:val="00FB01D0"/>
    <w:rsid w:val="00FB01E2"/>
    <w:rsid w:val="00FB041B"/>
    <w:rsid w:val="00FB042C"/>
    <w:rsid w:val="00FB04B4"/>
    <w:rsid w:val="00FB04F9"/>
    <w:rsid w:val="00FB0754"/>
    <w:rsid w:val="00FB07AA"/>
    <w:rsid w:val="00FB08B6"/>
    <w:rsid w:val="00FB0BCB"/>
    <w:rsid w:val="00FB0C1C"/>
    <w:rsid w:val="00FB0DE4"/>
    <w:rsid w:val="00FB0DEF"/>
    <w:rsid w:val="00FB1215"/>
    <w:rsid w:val="00FB1514"/>
    <w:rsid w:val="00FB1568"/>
    <w:rsid w:val="00FB17EF"/>
    <w:rsid w:val="00FB192B"/>
    <w:rsid w:val="00FB19B2"/>
    <w:rsid w:val="00FB1A7B"/>
    <w:rsid w:val="00FB1BE8"/>
    <w:rsid w:val="00FB1E50"/>
    <w:rsid w:val="00FB222A"/>
    <w:rsid w:val="00FB2324"/>
    <w:rsid w:val="00FB2762"/>
    <w:rsid w:val="00FB2D52"/>
    <w:rsid w:val="00FB2EE2"/>
    <w:rsid w:val="00FB2F6F"/>
    <w:rsid w:val="00FB3056"/>
    <w:rsid w:val="00FB30A5"/>
    <w:rsid w:val="00FB315A"/>
    <w:rsid w:val="00FB3262"/>
    <w:rsid w:val="00FB340F"/>
    <w:rsid w:val="00FB3747"/>
    <w:rsid w:val="00FB3850"/>
    <w:rsid w:val="00FB38CD"/>
    <w:rsid w:val="00FB38EE"/>
    <w:rsid w:val="00FB39F7"/>
    <w:rsid w:val="00FB3C71"/>
    <w:rsid w:val="00FB3E11"/>
    <w:rsid w:val="00FB4173"/>
    <w:rsid w:val="00FB425D"/>
    <w:rsid w:val="00FB432B"/>
    <w:rsid w:val="00FB454D"/>
    <w:rsid w:val="00FB47D3"/>
    <w:rsid w:val="00FB4926"/>
    <w:rsid w:val="00FB4A4F"/>
    <w:rsid w:val="00FB4BE4"/>
    <w:rsid w:val="00FB4E3B"/>
    <w:rsid w:val="00FB4F32"/>
    <w:rsid w:val="00FB51D6"/>
    <w:rsid w:val="00FB533D"/>
    <w:rsid w:val="00FB53A8"/>
    <w:rsid w:val="00FB578B"/>
    <w:rsid w:val="00FB57A9"/>
    <w:rsid w:val="00FB5CD0"/>
    <w:rsid w:val="00FB5D67"/>
    <w:rsid w:val="00FB5EB7"/>
    <w:rsid w:val="00FB5F35"/>
    <w:rsid w:val="00FB5F46"/>
    <w:rsid w:val="00FB6072"/>
    <w:rsid w:val="00FB63EF"/>
    <w:rsid w:val="00FB6573"/>
    <w:rsid w:val="00FB6593"/>
    <w:rsid w:val="00FB664E"/>
    <w:rsid w:val="00FB6974"/>
    <w:rsid w:val="00FB6DDC"/>
    <w:rsid w:val="00FB7023"/>
    <w:rsid w:val="00FB70C0"/>
    <w:rsid w:val="00FB71A0"/>
    <w:rsid w:val="00FB7235"/>
    <w:rsid w:val="00FB74DE"/>
    <w:rsid w:val="00FB7667"/>
    <w:rsid w:val="00FB77A0"/>
    <w:rsid w:val="00FB7956"/>
    <w:rsid w:val="00FB7A74"/>
    <w:rsid w:val="00FB7B26"/>
    <w:rsid w:val="00FB7CAE"/>
    <w:rsid w:val="00FB7D61"/>
    <w:rsid w:val="00FB7F8F"/>
    <w:rsid w:val="00FC0059"/>
    <w:rsid w:val="00FC01C4"/>
    <w:rsid w:val="00FC041A"/>
    <w:rsid w:val="00FC04A9"/>
    <w:rsid w:val="00FC0657"/>
    <w:rsid w:val="00FC094E"/>
    <w:rsid w:val="00FC0994"/>
    <w:rsid w:val="00FC09D0"/>
    <w:rsid w:val="00FC0A14"/>
    <w:rsid w:val="00FC0B04"/>
    <w:rsid w:val="00FC0DDE"/>
    <w:rsid w:val="00FC0F16"/>
    <w:rsid w:val="00FC14D0"/>
    <w:rsid w:val="00FC17D7"/>
    <w:rsid w:val="00FC1858"/>
    <w:rsid w:val="00FC191E"/>
    <w:rsid w:val="00FC1B06"/>
    <w:rsid w:val="00FC1C65"/>
    <w:rsid w:val="00FC1FA4"/>
    <w:rsid w:val="00FC2347"/>
    <w:rsid w:val="00FC24F6"/>
    <w:rsid w:val="00FC2510"/>
    <w:rsid w:val="00FC26A6"/>
    <w:rsid w:val="00FC26BB"/>
    <w:rsid w:val="00FC26CA"/>
    <w:rsid w:val="00FC2843"/>
    <w:rsid w:val="00FC2A14"/>
    <w:rsid w:val="00FC2C40"/>
    <w:rsid w:val="00FC2E5D"/>
    <w:rsid w:val="00FC2F02"/>
    <w:rsid w:val="00FC30F8"/>
    <w:rsid w:val="00FC3117"/>
    <w:rsid w:val="00FC3621"/>
    <w:rsid w:val="00FC389B"/>
    <w:rsid w:val="00FC3AAE"/>
    <w:rsid w:val="00FC3C49"/>
    <w:rsid w:val="00FC3C4C"/>
    <w:rsid w:val="00FC3DF5"/>
    <w:rsid w:val="00FC3EC8"/>
    <w:rsid w:val="00FC3F54"/>
    <w:rsid w:val="00FC3FAC"/>
    <w:rsid w:val="00FC3FB1"/>
    <w:rsid w:val="00FC41C7"/>
    <w:rsid w:val="00FC4616"/>
    <w:rsid w:val="00FC47BE"/>
    <w:rsid w:val="00FC47E8"/>
    <w:rsid w:val="00FC4992"/>
    <w:rsid w:val="00FC4B02"/>
    <w:rsid w:val="00FC4D26"/>
    <w:rsid w:val="00FC4D64"/>
    <w:rsid w:val="00FC4DDA"/>
    <w:rsid w:val="00FC4EA0"/>
    <w:rsid w:val="00FC5128"/>
    <w:rsid w:val="00FC5261"/>
    <w:rsid w:val="00FC52A9"/>
    <w:rsid w:val="00FC5571"/>
    <w:rsid w:val="00FC55E4"/>
    <w:rsid w:val="00FC5684"/>
    <w:rsid w:val="00FC583C"/>
    <w:rsid w:val="00FC584D"/>
    <w:rsid w:val="00FC58BE"/>
    <w:rsid w:val="00FC58D4"/>
    <w:rsid w:val="00FC597D"/>
    <w:rsid w:val="00FC5AA7"/>
    <w:rsid w:val="00FC5D15"/>
    <w:rsid w:val="00FC5E15"/>
    <w:rsid w:val="00FC5EA5"/>
    <w:rsid w:val="00FC5EBE"/>
    <w:rsid w:val="00FC5EDD"/>
    <w:rsid w:val="00FC6426"/>
    <w:rsid w:val="00FC654E"/>
    <w:rsid w:val="00FC6638"/>
    <w:rsid w:val="00FC6666"/>
    <w:rsid w:val="00FC6696"/>
    <w:rsid w:val="00FC66A9"/>
    <w:rsid w:val="00FC68FD"/>
    <w:rsid w:val="00FC6A2A"/>
    <w:rsid w:val="00FC6A4F"/>
    <w:rsid w:val="00FC6D81"/>
    <w:rsid w:val="00FC6EEF"/>
    <w:rsid w:val="00FC6F34"/>
    <w:rsid w:val="00FC6FDB"/>
    <w:rsid w:val="00FC70D7"/>
    <w:rsid w:val="00FC70E2"/>
    <w:rsid w:val="00FC7140"/>
    <w:rsid w:val="00FC733B"/>
    <w:rsid w:val="00FC7439"/>
    <w:rsid w:val="00FC75E0"/>
    <w:rsid w:val="00FC76EF"/>
    <w:rsid w:val="00FC77D2"/>
    <w:rsid w:val="00FC79B2"/>
    <w:rsid w:val="00FC7DE9"/>
    <w:rsid w:val="00FD0017"/>
    <w:rsid w:val="00FD004F"/>
    <w:rsid w:val="00FD0176"/>
    <w:rsid w:val="00FD021E"/>
    <w:rsid w:val="00FD047C"/>
    <w:rsid w:val="00FD047F"/>
    <w:rsid w:val="00FD0573"/>
    <w:rsid w:val="00FD0586"/>
    <w:rsid w:val="00FD0628"/>
    <w:rsid w:val="00FD0704"/>
    <w:rsid w:val="00FD091F"/>
    <w:rsid w:val="00FD0C43"/>
    <w:rsid w:val="00FD0DB1"/>
    <w:rsid w:val="00FD0EA0"/>
    <w:rsid w:val="00FD0F48"/>
    <w:rsid w:val="00FD10F7"/>
    <w:rsid w:val="00FD192E"/>
    <w:rsid w:val="00FD1DDF"/>
    <w:rsid w:val="00FD1E7B"/>
    <w:rsid w:val="00FD1EE9"/>
    <w:rsid w:val="00FD1F07"/>
    <w:rsid w:val="00FD209E"/>
    <w:rsid w:val="00FD2366"/>
    <w:rsid w:val="00FD2398"/>
    <w:rsid w:val="00FD24AD"/>
    <w:rsid w:val="00FD2644"/>
    <w:rsid w:val="00FD266B"/>
    <w:rsid w:val="00FD27AC"/>
    <w:rsid w:val="00FD284F"/>
    <w:rsid w:val="00FD28FA"/>
    <w:rsid w:val="00FD294A"/>
    <w:rsid w:val="00FD2A82"/>
    <w:rsid w:val="00FD2ACF"/>
    <w:rsid w:val="00FD2B0F"/>
    <w:rsid w:val="00FD2C27"/>
    <w:rsid w:val="00FD2CCF"/>
    <w:rsid w:val="00FD3265"/>
    <w:rsid w:val="00FD358C"/>
    <w:rsid w:val="00FD3685"/>
    <w:rsid w:val="00FD3A5A"/>
    <w:rsid w:val="00FD3AFE"/>
    <w:rsid w:val="00FD3B96"/>
    <w:rsid w:val="00FD3E1E"/>
    <w:rsid w:val="00FD3F2F"/>
    <w:rsid w:val="00FD40D2"/>
    <w:rsid w:val="00FD4289"/>
    <w:rsid w:val="00FD43A6"/>
    <w:rsid w:val="00FD458E"/>
    <w:rsid w:val="00FD4A87"/>
    <w:rsid w:val="00FD4C64"/>
    <w:rsid w:val="00FD4D3C"/>
    <w:rsid w:val="00FD4E8B"/>
    <w:rsid w:val="00FD5349"/>
    <w:rsid w:val="00FD542E"/>
    <w:rsid w:val="00FD54E9"/>
    <w:rsid w:val="00FD5512"/>
    <w:rsid w:val="00FD5537"/>
    <w:rsid w:val="00FD569A"/>
    <w:rsid w:val="00FD57F1"/>
    <w:rsid w:val="00FD58A7"/>
    <w:rsid w:val="00FD596E"/>
    <w:rsid w:val="00FD5992"/>
    <w:rsid w:val="00FD5C4B"/>
    <w:rsid w:val="00FD5C90"/>
    <w:rsid w:val="00FD5CE7"/>
    <w:rsid w:val="00FD5DE0"/>
    <w:rsid w:val="00FD5FE1"/>
    <w:rsid w:val="00FD6254"/>
    <w:rsid w:val="00FD62B4"/>
    <w:rsid w:val="00FD6385"/>
    <w:rsid w:val="00FD63D1"/>
    <w:rsid w:val="00FD663D"/>
    <w:rsid w:val="00FD6697"/>
    <w:rsid w:val="00FD66EF"/>
    <w:rsid w:val="00FD685E"/>
    <w:rsid w:val="00FD6AFF"/>
    <w:rsid w:val="00FD6B74"/>
    <w:rsid w:val="00FD7021"/>
    <w:rsid w:val="00FD70EC"/>
    <w:rsid w:val="00FD7210"/>
    <w:rsid w:val="00FD7218"/>
    <w:rsid w:val="00FD7326"/>
    <w:rsid w:val="00FD74D9"/>
    <w:rsid w:val="00FD789B"/>
    <w:rsid w:val="00FD7B85"/>
    <w:rsid w:val="00FD7DDD"/>
    <w:rsid w:val="00FD7F52"/>
    <w:rsid w:val="00FD7FF4"/>
    <w:rsid w:val="00FE000B"/>
    <w:rsid w:val="00FE0085"/>
    <w:rsid w:val="00FE009F"/>
    <w:rsid w:val="00FE00E1"/>
    <w:rsid w:val="00FE0143"/>
    <w:rsid w:val="00FE02DD"/>
    <w:rsid w:val="00FE051A"/>
    <w:rsid w:val="00FE0702"/>
    <w:rsid w:val="00FE0A03"/>
    <w:rsid w:val="00FE0B00"/>
    <w:rsid w:val="00FE0CD4"/>
    <w:rsid w:val="00FE0F36"/>
    <w:rsid w:val="00FE1231"/>
    <w:rsid w:val="00FE12DE"/>
    <w:rsid w:val="00FE14B8"/>
    <w:rsid w:val="00FE15DE"/>
    <w:rsid w:val="00FE1AB7"/>
    <w:rsid w:val="00FE1B6E"/>
    <w:rsid w:val="00FE22AB"/>
    <w:rsid w:val="00FE25A9"/>
    <w:rsid w:val="00FE26E8"/>
    <w:rsid w:val="00FE27D2"/>
    <w:rsid w:val="00FE2887"/>
    <w:rsid w:val="00FE29C4"/>
    <w:rsid w:val="00FE2C80"/>
    <w:rsid w:val="00FE2D29"/>
    <w:rsid w:val="00FE2D3D"/>
    <w:rsid w:val="00FE2F41"/>
    <w:rsid w:val="00FE30F2"/>
    <w:rsid w:val="00FE3151"/>
    <w:rsid w:val="00FE32F8"/>
    <w:rsid w:val="00FE33E4"/>
    <w:rsid w:val="00FE34C0"/>
    <w:rsid w:val="00FE35FE"/>
    <w:rsid w:val="00FE37A4"/>
    <w:rsid w:val="00FE38C5"/>
    <w:rsid w:val="00FE38F5"/>
    <w:rsid w:val="00FE39DD"/>
    <w:rsid w:val="00FE39F7"/>
    <w:rsid w:val="00FE3B42"/>
    <w:rsid w:val="00FE3B73"/>
    <w:rsid w:val="00FE3C12"/>
    <w:rsid w:val="00FE3D28"/>
    <w:rsid w:val="00FE3DEE"/>
    <w:rsid w:val="00FE3FB7"/>
    <w:rsid w:val="00FE4106"/>
    <w:rsid w:val="00FE4357"/>
    <w:rsid w:val="00FE4569"/>
    <w:rsid w:val="00FE4643"/>
    <w:rsid w:val="00FE46AB"/>
    <w:rsid w:val="00FE47AB"/>
    <w:rsid w:val="00FE4829"/>
    <w:rsid w:val="00FE4C05"/>
    <w:rsid w:val="00FE4C9E"/>
    <w:rsid w:val="00FE4CB7"/>
    <w:rsid w:val="00FE5125"/>
    <w:rsid w:val="00FE51E9"/>
    <w:rsid w:val="00FE520F"/>
    <w:rsid w:val="00FE5423"/>
    <w:rsid w:val="00FE546F"/>
    <w:rsid w:val="00FE5495"/>
    <w:rsid w:val="00FE55D5"/>
    <w:rsid w:val="00FE58AF"/>
    <w:rsid w:val="00FE59A3"/>
    <w:rsid w:val="00FE5BA9"/>
    <w:rsid w:val="00FE5C23"/>
    <w:rsid w:val="00FE5CFD"/>
    <w:rsid w:val="00FE606E"/>
    <w:rsid w:val="00FE60DF"/>
    <w:rsid w:val="00FE61F6"/>
    <w:rsid w:val="00FE62F2"/>
    <w:rsid w:val="00FE64B1"/>
    <w:rsid w:val="00FE663B"/>
    <w:rsid w:val="00FE676A"/>
    <w:rsid w:val="00FE6983"/>
    <w:rsid w:val="00FE69B0"/>
    <w:rsid w:val="00FE6BC0"/>
    <w:rsid w:val="00FE6BCA"/>
    <w:rsid w:val="00FE6E90"/>
    <w:rsid w:val="00FE6EBE"/>
    <w:rsid w:val="00FE71AE"/>
    <w:rsid w:val="00FE7317"/>
    <w:rsid w:val="00FE7418"/>
    <w:rsid w:val="00FE74AE"/>
    <w:rsid w:val="00FE74FE"/>
    <w:rsid w:val="00FE7556"/>
    <w:rsid w:val="00FE7588"/>
    <w:rsid w:val="00FE75B0"/>
    <w:rsid w:val="00FE75D4"/>
    <w:rsid w:val="00FE76C8"/>
    <w:rsid w:val="00FE7B6D"/>
    <w:rsid w:val="00FE7C36"/>
    <w:rsid w:val="00FF0225"/>
    <w:rsid w:val="00FF02A8"/>
    <w:rsid w:val="00FF0562"/>
    <w:rsid w:val="00FF0742"/>
    <w:rsid w:val="00FF0838"/>
    <w:rsid w:val="00FF08C5"/>
    <w:rsid w:val="00FF0A13"/>
    <w:rsid w:val="00FF0BF8"/>
    <w:rsid w:val="00FF0C41"/>
    <w:rsid w:val="00FF0CEC"/>
    <w:rsid w:val="00FF0CF4"/>
    <w:rsid w:val="00FF0D30"/>
    <w:rsid w:val="00FF11DC"/>
    <w:rsid w:val="00FF11EA"/>
    <w:rsid w:val="00FF1415"/>
    <w:rsid w:val="00FF1615"/>
    <w:rsid w:val="00FF1719"/>
    <w:rsid w:val="00FF1882"/>
    <w:rsid w:val="00FF1C2A"/>
    <w:rsid w:val="00FF1C3C"/>
    <w:rsid w:val="00FF1EA6"/>
    <w:rsid w:val="00FF1F44"/>
    <w:rsid w:val="00FF2075"/>
    <w:rsid w:val="00FF236F"/>
    <w:rsid w:val="00FF243E"/>
    <w:rsid w:val="00FF26B3"/>
    <w:rsid w:val="00FF2A42"/>
    <w:rsid w:val="00FF2A7D"/>
    <w:rsid w:val="00FF2C68"/>
    <w:rsid w:val="00FF2D38"/>
    <w:rsid w:val="00FF2DDB"/>
    <w:rsid w:val="00FF2FAA"/>
    <w:rsid w:val="00FF2FAB"/>
    <w:rsid w:val="00FF308C"/>
    <w:rsid w:val="00FF313F"/>
    <w:rsid w:val="00FF3143"/>
    <w:rsid w:val="00FF3788"/>
    <w:rsid w:val="00FF3807"/>
    <w:rsid w:val="00FF3842"/>
    <w:rsid w:val="00FF38BD"/>
    <w:rsid w:val="00FF3A6A"/>
    <w:rsid w:val="00FF3BF2"/>
    <w:rsid w:val="00FF3D35"/>
    <w:rsid w:val="00FF3D55"/>
    <w:rsid w:val="00FF3E01"/>
    <w:rsid w:val="00FF3E34"/>
    <w:rsid w:val="00FF41B8"/>
    <w:rsid w:val="00FF4278"/>
    <w:rsid w:val="00FF42A8"/>
    <w:rsid w:val="00FF4308"/>
    <w:rsid w:val="00FF43F2"/>
    <w:rsid w:val="00FF44E8"/>
    <w:rsid w:val="00FF455F"/>
    <w:rsid w:val="00FF458A"/>
    <w:rsid w:val="00FF45A0"/>
    <w:rsid w:val="00FF45CE"/>
    <w:rsid w:val="00FF4654"/>
    <w:rsid w:val="00FF4678"/>
    <w:rsid w:val="00FF46A8"/>
    <w:rsid w:val="00FF46F1"/>
    <w:rsid w:val="00FF475B"/>
    <w:rsid w:val="00FF4907"/>
    <w:rsid w:val="00FF4A37"/>
    <w:rsid w:val="00FF4BFB"/>
    <w:rsid w:val="00FF4EF7"/>
    <w:rsid w:val="00FF507A"/>
    <w:rsid w:val="00FF52D2"/>
    <w:rsid w:val="00FF56C8"/>
    <w:rsid w:val="00FF5729"/>
    <w:rsid w:val="00FF574F"/>
    <w:rsid w:val="00FF58E0"/>
    <w:rsid w:val="00FF5F7B"/>
    <w:rsid w:val="00FF6179"/>
    <w:rsid w:val="00FF61C6"/>
    <w:rsid w:val="00FF636E"/>
    <w:rsid w:val="00FF6383"/>
    <w:rsid w:val="00FF64B4"/>
    <w:rsid w:val="00FF660E"/>
    <w:rsid w:val="00FF66FA"/>
    <w:rsid w:val="00FF689F"/>
    <w:rsid w:val="00FF68BF"/>
    <w:rsid w:val="00FF68CA"/>
    <w:rsid w:val="00FF6A0F"/>
    <w:rsid w:val="00FF6A10"/>
    <w:rsid w:val="00FF6B00"/>
    <w:rsid w:val="00FF6CB7"/>
    <w:rsid w:val="00FF6CD7"/>
    <w:rsid w:val="00FF6E3E"/>
    <w:rsid w:val="00FF6E5F"/>
    <w:rsid w:val="00FF6F55"/>
    <w:rsid w:val="00FF6FA8"/>
    <w:rsid w:val="00FF70FB"/>
    <w:rsid w:val="00FF71E8"/>
    <w:rsid w:val="00FF71EC"/>
    <w:rsid w:val="00FF743A"/>
    <w:rsid w:val="00FF781C"/>
    <w:rsid w:val="00FF7AC8"/>
    <w:rsid w:val="00FF7BFF"/>
    <w:rsid w:val="00FF7C85"/>
    <w:rsid w:val="00FF7E5A"/>
    <w:rsid w:val="0190C5BA"/>
    <w:rsid w:val="0198F79E"/>
    <w:rsid w:val="01CD6C1F"/>
    <w:rsid w:val="0252049B"/>
    <w:rsid w:val="027C5CB1"/>
    <w:rsid w:val="028BF6FF"/>
    <w:rsid w:val="04150CFF"/>
    <w:rsid w:val="04743BF0"/>
    <w:rsid w:val="04B097FD"/>
    <w:rsid w:val="04BC1D14"/>
    <w:rsid w:val="0533D03F"/>
    <w:rsid w:val="055970DE"/>
    <w:rsid w:val="05F905CB"/>
    <w:rsid w:val="0611C488"/>
    <w:rsid w:val="061C9EF5"/>
    <w:rsid w:val="06BACEF6"/>
    <w:rsid w:val="07E52545"/>
    <w:rsid w:val="07EB9C3E"/>
    <w:rsid w:val="0852B13A"/>
    <w:rsid w:val="085B93D1"/>
    <w:rsid w:val="08650513"/>
    <w:rsid w:val="09284CB6"/>
    <w:rsid w:val="09AEDA9D"/>
    <w:rsid w:val="0A18D6FA"/>
    <w:rsid w:val="0A748FA9"/>
    <w:rsid w:val="0AE00B34"/>
    <w:rsid w:val="0AE2F298"/>
    <w:rsid w:val="0BA1F76B"/>
    <w:rsid w:val="0BBF0A14"/>
    <w:rsid w:val="0BFE37B5"/>
    <w:rsid w:val="0C6C33CB"/>
    <w:rsid w:val="0C941F75"/>
    <w:rsid w:val="0D66F680"/>
    <w:rsid w:val="0D687C36"/>
    <w:rsid w:val="0D68F6AB"/>
    <w:rsid w:val="0DC9E0AB"/>
    <w:rsid w:val="0DD871DF"/>
    <w:rsid w:val="0DE9C013"/>
    <w:rsid w:val="0DF9AE34"/>
    <w:rsid w:val="0E1E7DBE"/>
    <w:rsid w:val="0E9EED7B"/>
    <w:rsid w:val="0EA0F36C"/>
    <w:rsid w:val="0EE9CED5"/>
    <w:rsid w:val="0F17044A"/>
    <w:rsid w:val="0F8A8E3A"/>
    <w:rsid w:val="1014D3C0"/>
    <w:rsid w:val="1099E21E"/>
    <w:rsid w:val="10B53C33"/>
    <w:rsid w:val="10C1CF95"/>
    <w:rsid w:val="110E1A8E"/>
    <w:rsid w:val="1180DAEC"/>
    <w:rsid w:val="1188099C"/>
    <w:rsid w:val="12B87608"/>
    <w:rsid w:val="12C4EBAF"/>
    <w:rsid w:val="12E56964"/>
    <w:rsid w:val="12FC576F"/>
    <w:rsid w:val="130C41DF"/>
    <w:rsid w:val="13391E07"/>
    <w:rsid w:val="13B05830"/>
    <w:rsid w:val="14575764"/>
    <w:rsid w:val="14BE2640"/>
    <w:rsid w:val="14E0AA85"/>
    <w:rsid w:val="1536336E"/>
    <w:rsid w:val="15723F4A"/>
    <w:rsid w:val="158493A4"/>
    <w:rsid w:val="15A41DAE"/>
    <w:rsid w:val="15AB1518"/>
    <w:rsid w:val="162FA1C8"/>
    <w:rsid w:val="168FDE33"/>
    <w:rsid w:val="16A54863"/>
    <w:rsid w:val="16CF6606"/>
    <w:rsid w:val="1732D0E4"/>
    <w:rsid w:val="174A8E97"/>
    <w:rsid w:val="17AF48BE"/>
    <w:rsid w:val="17BAFD04"/>
    <w:rsid w:val="18454A53"/>
    <w:rsid w:val="1956B1EF"/>
    <w:rsid w:val="1979491F"/>
    <w:rsid w:val="19D7CBC3"/>
    <w:rsid w:val="19E246F7"/>
    <w:rsid w:val="19F4CFEC"/>
    <w:rsid w:val="1A54817D"/>
    <w:rsid w:val="1A5EA8FE"/>
    <w:rsid w:val="1A8912A6"/>
    <w:rsid w:val="1A952957"/>
    <w:rsid w:val="1ADA0AE5"/>
    <w:rsid w:val="1B0AACCF"/>
    <w:rsid w:val="1B4A4319"/>
    <w:rsid w:val="1B80D16F"/>
    <w:rsid w:val="1B9BD17B"/>
    <w:rsid w:val="1BC33AB6"/>
    <w:rsid w:val="1CA7F78B"/>
    <w:rsid w:val="1CC76A0A"/>
    <w:rsid w:val="1CD7E53E"/>
    <w:rsid w:val="1D16929D"/>
    <w:rsid w:val="1D450432"/>
    <w:rsid w:val="1DAF6729"/>
    <w:rsid w:val="1DDD90B9"/>
    <w:rsid w:val="1E187DB8"/>
    <w:rsid w:val="1E40F48D"/>
    <w:rsid w:val="1E55D117"/>
    <w:rsid w:val="1E614D86"/>
    <w:rsid w:val="1E70CED8"/>
    <w:rsid w:val="1EC660BC"/>
    <w:rsid w:val="1F1B8338"/>
    <w:rsid w:val="1F631546"/>
    <w:rsid w:val="1FD08547"/>
    <w:rsid w:val="2091A065"/>
    <w:rsid w:val="20FD053C"/>
    <w:rsid w:val="2128EA31"/>
    <w:rsid w:val="218C4A08"/>
    <w:rsid w:val="21D25D8F"/>
    <w:rsid w:val="21F9C0E9"/>
    <w:rsid w:val="220F79E0"/>
    <w:rsid w:val="225F6406"/>
    <w:rsid w:val="227102B9"/>
    <w:rsid w:val="22B23A85"/>
    <w:rsid w:val="22E61C41"/>
    <w:rsid w:val="24077B69"/>
    <w:rsid w:val="240DC0F9"/>
    <w:rsid w:val="244AB41F"/>
    <w:rsid w:val="24A091B2"/>
    <w:rsid w:val="24B066D2"/>
    <w:rsid w:val="24DD54E0"/>
    <w:rsid w:val="25A1BDBC"/>
    <w:rsid w:val="25FA67AE"/>
    <w:rsid w:val="2686E577"/>
    <w:rsid w:val="269BB4DF"/>
    <w:rsid w:val="26A6CF3C"/>
    <w:rsid w:val="2710AE66"/>
    <w:rsid w:val="27204755"/>
    <w:rsid w:val="273E071D"/>
    <w:rsid w:val="2759F88B"/>
    <w:rsid w:val="279EF938"/>
    <w:rsid w:val="27D0FB16"/>
    <w:rsid w:val="28065D1B"/>
    <w:rsid w:val="287D6FB5"/>
    <w:rsid w:val="28F057E0"/>
    <w:rsid w:val="29394F87"/>
    <w:rsid w:val="294E5C99"/>
    <w:rsid w:val="2989ECC7"/>
    <w:rsid w:val="29CF998D"/>
    <w:rsid w:val="29EBC774"/>
    <w:rsid w:val="2A51EBE9"/>
    <w:rsid w:val="2A65EDF6"/>
    <w:rsid w:val="2ACBF88F"/>
    <w:rsid w:val="2AF7C949"/>
    <w:rsid w:val="2C01C31E"/>
    <w:rsid w:val="2C2474A7"/>
    <w:rsid w:val="2C976F8D"/>
    <w:rsid w:val="2CD29B82"/>
    <w:rsid w:val="2D71E836"/>
    <w:rsid w:val="2D7900D2"/>
    <w:rsid w:val="2EC52C6E"/>
    <w:rsid w:val="2EDF7B4A"/>
    <w:rsid w:val="2EEE2914"/>
    <w:rsid w:val="2F3D99DB"/>
    <w:rsid w:val="2F83D41D"/>
    <w:rsid w:val="2FC6B8CA"/>
    <w:rsid w:val="30443948"/>
    <w:rsid w:val="305D8BF6"/>
    <w:rsid w:val="3080E3DB"/>
    <w:rsid w:val="30991B13"/>
    <w:rsid w:val="30B70E4B"/>
    <w:rsid w:val="317357A1"/>
    <w:rsid w:val="31A8F740"/>
    <w:rsid w:val="31D21262"/>
    <w:rsid w:val="32089D7C"/>
    <w:rsid w:val="3219616C"/>
    <w:rsid w:val="323C84B1"/>
    <w:rsid w:val="3251BCE4"/>
    <w:rsid w:val="33A795E2"/>
    <w:rsid w:val="33E91EC2"/>
    <w:rsid w:val="343CE8AC"/>
    <w:rsid w:val="3527C984"/>
    <w:rsid w:val="354CB518"/>
    <w:rsid w:val="35D1A4B4"/>
    <w:rsid w:val="364C979A"/>
    <w:rsid w:val="36F2FB17"/>
    <w:rsid w:val="370F0276"/>
    <w:rsid w:val="3720A49F"/>
    <w:rsid w:val="37A34249"/>
    <w:rsid w:val="37D40D45"/>
    <w:rsid w:val="380D1D84"/>
    <w:rsid w:val="38473947"/>
    <w:rsid w:val="386C5D04"/>
    <w:rsid w:val="386F3740"/>
    <w:rsid w:val="3937CB4C"/>
    <w:rsid w:val="397D2FF2"/>
    <w:rsid w:val="39916A83"/>
    <w:rsid w:val="39CD9254"/>
    <w:rsid w:val="39DAB878"/>
    <w:rsid w:val="39E9B05E"/>
    <w:rsid w:val="3A25933A"/>
    <w:rsid w:val="3A25AF81"/>
    <w:rsid w:val="3AB6F56A"/>
    <w:rsid w:val="3ACC3C3A"/>
    <w:rsid w:val="3B2BC04E"/>
    <w:rsid w:val="3BBDF3CE"/>
    <w:rsid w:val="3BE7814B"/>
    <w:rsid w:val="3C15FC9B"/>
    <w:rsid w:val="3C2EAD19"/>
    <w:rsid w:val="3C479EE9"/>
    <w:rsid w:val="3C48A7D5"/>
    <w:rsid w:val="3C6E7ED5"/>
    <w:rsid w:val="3CB254D5"/>
    <w:rsid w:val="3D096F58"/>
    <w:rsid w:val="3D13593D"/>
    <w:rsid w:val="3D1A56FB"/>
    <w:rsid w:val="3D41460D"/>
    <w:rsid w:val="3D820F76"/>
    <w:rsid w:val="3D9D663D"/>
    <w:rsid w:val="3DFEB068"/>
    <w:rsid w:val="3E423E7B"/>
    <w:rsid w:val="3E4E34CA"/>
    <w:rsid w:val="3F89820C"/>
    <w:rsid w:val="3F9C4275"/>
    <w:rsid w:val="4020CA45"/>
    <w:rsid w:val="4047074F"/>
    <w:rsid w:val="40E84857"/>
    <w:rsid w:val="41AB8945"/>
    <w:rsid w:val="41BBD307"/>
    <w:rsid w:val="422075A5"/>
    <w:rsid w:val="4248E4D4"/>
    <w:rsid w:val="428B6426"/>
    <w:rsid w:val="42A9D3BA"/>
    <w:rsid w:val="42E17359"/>
    <w:rsid w:val="42E25AFE"/>
    <w:rsid w:val="42F6DB7C"/>
    <w:rsid w:val="431A9AEE"/>
    <w:rsid w:val="434B5CE2"/>
    <w:rsid w:val="4389EE82"/>
    <w:rsid w:val="4448A4E9"/>
    <w:rsid w:val="44C3615C"/>
    <w:rsid w:val="44D0AEB6"/>
    <w:rsid w:val="45A605B3"/>
    <w:rsid w:val="45B246F9"/>
    <w:rsid w:val="45BCA630"/>
    <w:rsid w:val="467AE774"/>
    <w:rsid w:val="46B6E50C"/>
    <w:rsid w:val="46C3B404"/>
    <w:rsid w:val="46D9EEFA"/>
    <w:rsid w:val="470566FD"/>
    <w:rsid w:val="47C16710"/>
    <w:rsid w:val="4933610A"/>
    <w:rsid w:val="49DCE90A"/>
    <w:rsid w:val="4AFC2B49"/>
    <w:rsid w:val="4B01834D"/>
    <w:rsid w:val="4B04A518"/>
    <w:rsid w:val="4B11B73F"/>
    <w:rsid w:val="4B13628C"/>
    <w:rsid w:val="4B338D81"/>
    <w:rsid w:val="4B6F2BB9"/>
    <w:rsid w:val="4BF2AA38"/>
    <w:rsid w:val="4C2DC915"/>
    <w:rsid w:val="4C86E715"/>
    <w:rsid w:val="4D1F2F4D"/>
    <w:rsid w:val="4D40BFB0"/>
    <w:rsid w:val="4D5C5EA7"/>
    <w:rsid w:val="4D739FB3"/>
    <w:rsid w:val="4E281CD1"/>
    <w:rsid w:val="4E3FA4EB"/>
    <w:rsid w:val="4EB093D2"/>
    <w:rsid w:val="4F3D8578"/>
    <w:rsid w:val="4FE415F2"/>
    <w:rsid w:val="4FEE5674"/>
    <w:rsid w:val="4FFD670A"/>
    <w:rsid w:val="504C1D7D"/>
    <w:rsid w:val="5063ED1C"/>
    <w:rsid w:val="507932A3"/>
    <w:rsid w:val="508461DC"/>
    <w:rsid w:val="50B5201B"/>
    <w:rsid w:val="50D6A11A"/>
    <w:rsid w:val="50DF89A6"/>
    <w:rsid w:val="50E5A769"/>
    <w:rsid w:val="50F80FDF"/>
    <w:rsid w:val="51299694"/>
    <w:rsid w:val="514AD08E"/>
    <w:rsid w:val="517408B6"/>
    <w:rsid w:val="5199521D"/>
    <w:rsid w:val="52423760"/>
    <w:rsid w:val="5263868D"/>
    <w:rsid w:val="527B9777"/>
    <w:rsid w:val="52D4A704"/>
    <w:rsid w:val="52FEE50F"/>
    <w:rsid w:val="53081A64"/>
    <w:rsid w:val="5339BD2C"/>
    <w:rsid w:val="53585B44"/>
    <w:rsid w:val="539803FD"/>
    <w:rsid w:val="53ADB3BC"/>
    <w:rsid w:val="53F8C851"/>
    <w:rsid w:val="5414DBC1"/>
    <w:rsid w:val="5416FE3F"/>
    <w:rsid w:val="54360F69"/>
    <w:rsid w:val="54413A25"/>
    <w:rsid w:val="5609B2F2"/>
    <w:rsid w:val="560AAF74"/>
    <w:rsid w:val="561B4746"/>
    <w:rsid w:val="56475435"/>
    <w:rsid w:val="56F76CF4"/>
    <w:rsid w:val="570A1418"/>
    <w:rsid w:val="573E65DD"/>
    <w:rsid w:val="5766B857"/>
    <w:rsid w:val="577746FB"/>
    <w:rsid w:val="58056337"/>
    <w:rsid w:val="5894A698"/>
    <w:rsid w:val="59487781"/>
    <w:rsid w:val="5975B965"/>
    <w:rsid w:val="59D1BE47"/>
    <w:rsid w:val="5AAE4D52"/>
    <w:rsid w:val="5AE64EDC"/>
    <w:rsid w:val="5B0BE1B1"/>
    <w:rsid w:val="5B39D6A0"/>
    <w:rsid w:val="5B447AD8"/>
    <w:rsid w:val="5B7A053C"/>
    <w:rsid w:val="5BA8C089"/>
    <w:rsid w:val="5C6D2BDF"/>
    <w:rsid w:val="5C8EF065"/>
    <w:rsid w:val="5CA11DBF"/>
    <w:rsid w:val="5D7EE37B"/>
    <w:rsid w:val="5D9BD7FE"/>
    <w:rsid w:val="5DFDD049"/>
    <w:rsid w:val="5E101976"/>
    <w:rsid w:val="5E2556CD"/>
    <w:rsid w:val="5E71C878"/>
    <w:rsid w:val="5E8E6DB3"/>
    <w:rsid w:val="5F3B6B19"/>
    <w:rsid w:val="5F67D20F"/>
    <w:rsid w:val="5F67E111"/>
    <w:rsid w:val="5F87770B"/>
    <w:rsid w:val="5FB89554"/>
    <w:rsid w:val="61040D8A"/>
    <w:rsid w:val="616E11F1"/>
    <w:rsid w:val="617A60F6"/>
    <w:rsid w:val="61D17A60"/>
    <w:rsid w:val="61D9C8E5"/>
    <w:rsid w:val="61E2053D"/>
    <w:rsid w:val="620662DA"/>
    <w:rsid w:val="62AA9EAA"/>
    <w:rsid w:val="62ACD165"/>
    <w:rsid w:val="62C9F583"/>
    <w:rsid w:val="62E2A78A"/>
    <w:rsid w:val="63656645"/>
    <w:rsid w:val="63A21389"/>
    <w:rsid w:val="63BBEFDF"/>
    <w:rsid w:val="63BD654A"/>
    <w:rsid w:val="641C3FD8"/>
    <w:rsid w:val="641FA51A"/>
    <w:rsid w:val="654FF049"/>
    <w:rsid w:val="6617F942"/>
    <w:rsid w:val="66207B8E"/>
    <w:rsid w:val="663969F8"/>
    <w:rsid w:val="66AF39EA"/>
    <w:rsid w:val="66B23E09"/>
    <w:rsid w:val="676119E4"/>
    <w:rsid w:val="676FBAB5"/>
    <w:rsid w:val="67BB015B"/>
    <w:rsid w:val="682814C2"/>
    <w:rsid w:val="68292F4D"/>
    <w:rsid w:val="689B9F0F"/>
    <w:rsid w:val="6918E679"/>
    <w:rsid w:val="69773E9B"/>
    <w:rsid w:val="699A8514"/>
    <w:rsid w:val="69EAF4AA"/>
    <w:rsid w:val="69EFF576"/>
    <w:rsid w:val="6A119AEC"/>
    <w:rsid w:val="6A4941E0"/>
    <w:rsid w:val="6A682B34"/>
    <w:rsid w:val="6A6EB9FD"/>
    <w:rsid w:val="6AC2BEC3"/>
    <w:rsid w:val="6AC40480"/>
    <w:rsid w:val="6AF14F8B"/>
    <w:rsid w:val="6B336CFD"/>
    <w:rsid w:val="6B4A0818"/>
    <w:rsid w:val="6B732683"/>
    <w:rsid w:val="6B832EA8"/>
    <w:rsid w:val="6C66D968"/>
    <w:rsid w:val="6C737721"/>
    <w:rsid w:val="6C9E0946"/>
    <w:rsid w:val="6D55BA28"/>
    <w:rsid w:val="6DABB3EF"/>
    <w:rsid w:val="6E5FFF8F"/>
    <w:rsid w:val="6EA7A780"/>
    <w:rsid w:val="6FB58D14"/>
    <w:rsid w:val="6FD78DBA"/>
    <w:rsid w:val="6FE2A716"/>
    <w:rsid w:val="6FE31066"/>
    <w:rsid w:val="7125628F"/>
    <w:rsid w:val="71A64541"/>
    <w:rsid w:val="71C03EFB"/>
    <w:rsid w:val="72327C69"/>
    <w:rsid w:val="72584D69"/>
    <w:rsid w:val="7343190B"/>
    <w:rsid w:val="73C480CC"/>
    <w:rsid w:val="73FD1A31"/>
    <w:rsid w:val="7415DA5C"/>
    <w:rsid w:val="74BE19A7"/>
    <w:rsid w:val="7502659F"/>
    <w:rsid w:val="751BD4A9"/>
    <w:rsid w:val="75359CF6"/>
    <w:rsid w:val="7552A3C1"/>
    <w:rsid w:val="7554587C"/>
    <w:rsid w:val="75F9DFF6"/>
    <w:rsid w:val="764632C5"/>
    <w:rsid w:val="76812844"/>
    <w:rsid w:val="7694A7A3"/>
    <w:rsid w:val="76B72DAE"/>
    <w:rsid w:val="76C4E021"/>
    <w:rsid w:val="7735F014"/>
    <w:rsid w:val="781796EB"/>
    <w:rsid w:val="7833546E"/>
    <w:rsid w:val="789B9F01"/>
    <w:rsid w:val="789EFC61"/>
    <w:rsid w:val="78B9C421"/>
    <w:rsid w:val="797B2B7B"/>
    <w:rsid w:val="79C8779B"/>
    <w:rsid w:val="79D96A20"/>
    <w:rsid w:val="7A104C5F"/>
    <w:rsid w:val="7A16C0DF"/>
    <w:rsid w:val="7A654AE0"/>
    <w:rsid w:val="7BCC60D3"/>
    <w:rsid w:val="7CBAA912"/>
    <w:rsid w:val="7D15E49F"/>
    <w:rsid w:val="7D5CF8F3"/>
    <w:rsid w:val="7D5E04B0"/>
    <w:rsid w:val="7DBDA73A"/>
    <w:rsid w:val="7DBFECE8"/>
    <w:rsid w:val="7E7B1E51"/>
    <w:rsid w:val="7EBF9D04"/>
    <w:rsid w:val="7ECEA0E0"/>
    <w:rsid w:val="7F350816"/>
    <w:rsid w:val="7FD9815D"/>
    <w:rsid w:val="7FE255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D4E3D"/>
  <w15:docId w15:val="{8EE7AC95-4618-4626-BA5A-26B198E9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6B0"/>
    <w:pPr>
      <w:spacing w:after="120"/>
    </w:pPr>
    <w:rPr>
      <w:rFonts w:ascii="Arial" w:hAnsi="Arial"/>
      <w:sz w:val="24"/>
    </w:rPr>
  </w:style>
  <w:style w:type="paragraph" w:styleId="Heading1">
    <w:name w:val="heading 1"/>
    <w:basedOn w:val="Normal"/>
    <w:next w:val="Normal"/>
    <w:link w:val="Heading1Char"/>
    <w:qFormat/>
    <w:rsid w:val="0065088E"/>
    <w:pPr>
      <w:keepNext/>
      <w:numPr>
        <w:numId w:val="34"/>
      </w:numPr>
      <w:spacing w:before="240" w:line="240" w:lineRule="auto"/>
      <w:outlineLvl w:val="0"/>
    </w:pPr>
    <w:rPr>
      <w:rFonts w:ascii="Georgia" w:eastAsia="Calibri" w:hAnsi="Georgia" w:cs="Times New Roman"/>
      <w:b/>
      <w:color w:val="086A76"/>
      <w:kern w:val="28"/>
      <w:sz w:val="36"/>
      <w:szCs w:val="36"/>
    </w:rPr>
  </w:style>
  <w:style w:type="paragraph" w:styleId="Heading2">
    <w:name w:val="heading 2"/>
    <w:basedOn w:val="List"/>
    <w:next w:val="Normal"/>
    <w:link w:val="Heading2Char"/>
    <w:qFormat/>
    <w:rsid w:val="00477D61"/>
    <w:pPr>
      <w:keepNext/>
      <w:numPr>
        <w:ilvl w:val="1"/>
        <w:numId w:val="34"/>
      </w:numPr>
      <w:spacing w:before="240" w:after="60" w:line="240" w:lineRule="auto"/>
      <w:ind w:left="0"/>
      <w:outlineLvl w:val="1"/>
    </w:pPr>
    <w:rPr>
      <w:rFonts w:ascii="Georgia" w:eastAsia="Calibri" w:hAnsi="Georgia" w:cs="Times New Roman"/>
      <w:b/>
      <w:color w:val="086A76"/>
      <w:sz w:val="26"/>
      <w:szCs w:val="20"/>
    </w:rPr>
  </w:style>
  <w:style w:type="paragraph" w:styleId="Heading3">
    <w:name w:val="heading 3"/>
    <w:basedOn w:val="Normal"/>
    <w:next w:val="Normal"/>
    <w:link w:val="Heading3Char"/>
    <w:autoRedefine/>
    <w:qFormat/>
    <w:rsid w:val="001427A2"/>
    <w:pPr>
      <w:keepNext/>
      <w:numPr>
        <w:ilvl w:val="2"/>
        <w:numId w:val="10"/>
      </w:numPr>
      <w:spacing w:after="0" w:line="240" w:lineRule="auto"/>
      <w:ind w:firstLine="3259"/>
      <w:outlineLvl w:val="2"/>
    </w:pPr>
    <w:rPr>
      <w:rFonts w:eastAsia="Calibri" w:cs="Arial"/>
      <w:b/>
      <w:color w:val="086A76"/>
      <w:szCs w:val="24"/>
    </w:rPr>
  </w:style>
  <w:style w:type="paragraph" w:styleId="Heading4">
    <w:name w:val="heading 4"/>
    <w:basedOn w:val="Normal"/>
    <w:next w:val="Normal"/>
    <w:link w:val="Heading4Char"/>
    <w:autoRedefine/>
    <w:qFormat/>
    <w:rsid w:val="00747B08"/>
    <w:pPr>
      <w:keepNext/>
      <w:numPr>
        <w:ilvl w:val="3"/>
        <w:numId w:val="34"/>
      </w:numPr>
      <w:spacing w:after="0" w:line="240" w:lineRule="auto"/>
      <w:ind w:left="425" w:firstLine="0"/>
      <w:outlineLvl w:val="3"/>
    </w:pPr>
    <w:rPr>
      <w:rFonts w:eastAsia="Calibri" w:cs="Times New Roman"/>
      <w:b/>
      <w:color w:val="086A76"/>
      <w:szCs w:val="20"/>
    </w:rPr>
  </w:style>
  <w:style w:type="paragraph" w:styleId="Heading5">
    <w:name w:val="heading 5"/>
    <w:basedOn w:val="Normal"/>
    <w:next w:val="Normal"/>
    <w:link w:val="Heading5Char"/>
    <w:qFormat/>
    <w:rsid w:val="000E06DF"/>
    <w:pPr>
      <w:numPr>
        <w:ilvl w:val="4"/>
        <w:numId w:val="34"/>
      </w:numPr>
      <w:tabs>
        <w:tab w:val="num" w:pos="3600"/>
      </w:tabs>
      <w:spacing w:before="240" w:after="60" w:line="240" w:lineRule="auto"/>
      <w:ind w:left="3600" w:hanging="720"/>
      <w:outlineLvl w:val="4"/>
    </w:pPr>
    <w:rPr>
      <w:rFonts w:eastAsia="Calibri" w:cs="Times New Roman"/>
      <w:b/>
      <w:color w:val="A13648"/>
      <w:szCs w:val="20"/>
    </w:rPr>
  </w:style>
  <w:style w:type="paragraph" w:styleId="Heading6">
    <w:name w:val="heading 6"/>
    <w:basedOn w:val="Normal"/>
    <w:next w:val="Normal"/>
    <w:link w:val="Heading6Char"/>
    <w:qFormat/>
    <w:rsid w:val="008674C6"/>
    <w:pPr>
      <w:numPr>
        <w:ilvl w:val="5"/>
        <w:numId w:val="34"/>
      </w:numPr>
      <w:tabs>
        <w:tab w:val="num" w:pos="4320"/>
      </w:tabs>
      <w:spacing w:before="240" w:after="60" w:line="240" w:lineRule="auto"/>
      <w:ind w:left="4320" w:hanging="720"/>
      <w:outlineLvl w:val="5"/>
    </w:pPr>
    <w:rPr>
      <w:rFonts w:eastAsia="Calibri" w:cs="Times New Roman"/>
      <w:i/>
      <w:color w:val="009D3A"/>
      <w:szCs w:val="20"/>
    </w:rPr>
  </w:style>
  <w:style w:type="paragraph" w:styleId="Heading7">
    <w:name w:val="heading 7"/>
    <w:basedOn w:val="Normal"/>
    <w:next w:val="Normal"/>
    <w:link w:val="Heading7Char"/>
    <w:autoRedefine/>
    <w:qFormat/>
    <w:rsid w:val="006C205F"/>
    <w:pPr>
      <w:numPr>
        <w:ilvl w:val="6"/>
        <w:numId w:val="34"/>
      </w:numPr>
      <w:tabs>
        <w:tab w:val="num" w:pos="5040"/>
      </w:tabs>
      <w:spacing w:before="240" w:after="60" w:line="240" w:lineRule="auto"/>
      <w:ind w:left="5040" w:hanging="720"/>
      <w:outlineLvl w:val="6"/>
    </w:pPr>
    <w:rPr>
      <w:rFonts w:eastAsia="Calibri" w:cs="Times New Roman"/>
      <w:color w:val="A13648"/>
      <w:sz w:val="20"/>
      <w:szCs w:val="20"/>
    </w:rPr>
  </w:style>
  <w:style w:type="paragraph" w:styleId="Heading8">
    <w:name w:val="heading 8"/>
    <w:basedOn w:val="Normal"/>
    <w:next w:val="Normal"/>
    <w:link w:val="Heading8Char"/>
    <w:uiPriority w:val="9"/>
    <w:semiHidden/>
    <w:unhideWhenUsed/>
    <w:qFormat/>
    <w:rsid w:val="00FA6A72"/>
    <w:pPr>
      <w:keepNext/>
      <w:keepLines/>
      <w:numPr>
        <w:ilvl w:val="7"/>
        <w:numId w:val="34"/>
      </w:numPr>
      <w:tabs>
        <w:tab w:val="num" w:pos="5760"/>
      </w:tabs>
      <w:spacing w:before="40" w:after="0"/>
      <w:ind w:left="5760" w:hanging="72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6A72"/>
    <w:pPr>
      <w:keepNext/>
      <w:keepLines/>
      <w:numPr>
        <w:ilvl w:val="8"/>
        <w:numId w:val="34"/>
      </w:numPr>
      <w:tabs>
        <w:tab w:val="num" w:pos="6480"/>
      </w:tabs>
      <w:spacing w:before="40" w:after="0"/>
      <w:ind w:left="6480" w:hanging="72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205F"/>
    <w:rPr>
      <w:rFonts w:ascii="Georgia" w:eastAsia="Calibri" w:hAnsi="Georgia" w:cs="Times New Roman"/>
      <w:b/>
      <w:color w:val="086A76"/>
      <w:kern w:val="28"/>
      <w:sz w:val="36"/>
      <w:szCs w:val="36"/>
    </w:rPr>
  </w:style>
  <w:style w:type="character" w:customStyle="1" w:styleId="Heading2Char">
    <w:name w:val="Heading 2 Char"/>
    <w:basedOn w:val="DefaultParagraphFont"/>
    <w:link w:val="Heading2"/>
    <w:rsid w:val="00C46695"/>
    <w:rPr>
      <w:rFonts w:ascii="Georgia" w:eastAsia="Calibri" w:hAnsi="Georgia" w:cs="Times New Roman"/>
      <w:b/>
      <w:color w:val="086A76"/>
      <w:sz w:val="26"/>
      <w:szCs w:val="20"/>
    </w:rPr>
  </w:style>
  <w:style w:type="character" w:customStyle="1" w:styleId="Heading3Char">
    <w:name w:val="Heading 3 Char"/>
    <w:basedOn w:val="DefaultParagraphFont"/>
    <w:link w:val="Heading3"/>
    <w:rsid w:val="0096012C"/>
    <w:rPr>
      <w:rFonts w:ascii="Arial" w:eastAsia="Calibri" w:hAnsi="Arial" w:cs="Arial"/>
      <w:b/>
      <w:color w:val="086A76"/>
      <w:sz w:val="24"/>
      <w:szCs w:val="24"/>
    </w:rPr>
  </w:style>
  <w:style w:type="character" w:customStyle="1" w:styleId="Heading4Char">
    <w:name w:val="Heading 4 Char"/>
    <w:basedOn w:val="DefaultParagraphFont"/>
    <w:link w:val="Heading4"/>
    <w:rsid w:val="00B431B6"/>
    <w:rPr>
      <w:rFonts w:ascii="Arial" w:eastAsia="Calibri" w:hAnsi="Arial" w:cs="Times New Roman"/>
      <w:b/>
      <w:color w:val="086A76"/>
      <w:sz w:val="24"/>
      <w:szCs w:val="20"/>
    </w:rPr>
  </w:style>
  <w:style w:type="character" w:customStyle="1" w:styleId="Heading5Char">
    <w:name w:val="Heading 5 Char"/>
    <w:basedOn w:val="DefaultParagraphFont"/>
    <w:link w:val="Heading5"/>
    <w:rsid w:val="000E06DF"/>
    <w:rPr>
      <w:rFonts w:ascii="Arial" w:eastAsia="Calibri" w:hAnsi="Arial" w:cs="Times New Roman"/>
      <w:b/>
      <w:color w:val="A13648"/>
      <w:sz w:val="24"/>
      <w:szCs w:val="20"/>
    </w:rPr>
  </w:style>
  <w:style w:type="character" w:customStyle="1" w:styleId="Heading6Char">
    <w:name w:val="Heading 6 Char"/>
    <w:basedOn w:val="DefaultParagraphFont"/>
    <w:link w:val="Heading6"/>
    <w:rsid w:val="008674C6"/>
    <w:rPr>
      <w:rFonts w:ascii="Arial" w:eastAsia="Calibri" w:hAnsi="Arial" w:cs="Times New Roman"/>
      <w:i/>
      <w:color w:val="009D3A"/>
      <w:sz w:val="24"/>
      <w:szCs w:val="20"/>
    </w:rPr>
  </w:style>
  <w:style w:type="character" w:customStyle="1" w:styleId="Heading7Char">
    <w:name w:val="Heading 7 Char"/>
    <w:basedOn w:val="DefaultParagraphFont"/>
    <w:link w:val="Heading7"/>
    <w:rsid w:val="006C205F"/>
    <w:rPr>
      <w:rFonts w:ascii="Arial" w:eastAsia="Calibri" w:hAnsi="Arial" w:cs="Times New Roman"/>
      <w:color w:val="A13648"/>
      <w:sz w:val="20"/>
      <w:szCs w:val="20"/>
    </w:rPr>
  </w:style>
  <w:style w:type="paragraph" w:styleId="Header">
    <w:name w:val="header"/>
    <w:basedOn w:val="Normal"/>
    <w:link w:val="HeaderChar"/>
    <w:rsid w:val="000C4039"/>
    <w:pPr>
      <w:tabs>
        <w:tab w:val="center" w:pos="4513"/>
        <w:tab w:val="right" w:pos="9026"/>
      </w:tabs>
      <w:spacing w:line="240" w:lineRule="auto"/>
    </w:pPr>
    <w:rPr>
      <w:rFonts w:eastAsia="Calibri" w:cs="Times New Roman"/>
      <w:szCs w:val="20"/>
      <w:lang w:eastAsia="en-GB"/>
    </w:rPr>
  </w:style>
  <w:style w:type="character" w:customStyle="1" w:styleId="HeaderChar">
    <w:name w:val="Header Char"/>
    <w:basedOn w:val="DefaultParagraphFont"/>
    <w:link w:val="Header"/>
    <w:rsid w:val="000C4039"/>
    <w:rPr>
      <w:rFonts w:ascii="Arial" w:eastAsia="Calibri" w:hAnsi="Arial" w:cs="Times New Roman"/>
      <w:sz w:val="24"/>
      <w:szCs w:val="20"/>
      <w:lang w:eastAsia="en-GB"/>
    </w:rPr>
  </w:style>
  <w:style w:type="paragraph" w:styleId="Footer">
    <w:name w:val="footer"/>
    <w:basedOn w:val="Normal"/>
    <w:link w:val="FooterChar"/>
    <w:rsid w:val="000C4039"/>
    <w:pPr>
      <w:tabs>
        <w:tab w:val="center" w:pos="4513"/>
        <w:tab w:val="right" w:pos="9026"/>
      </w:tabs>
      <w:spacing w:line="240" w:lineRule="auto"/>
    </w:pPr>
    <w:rPr>
      <w:rFonts w:eastAsia="Calibri" w:cs="Times New Roman"/>
      <w:szCs w:val="20"/>
      <w:lang w:eastAsia="en-GB"/>
    </w:rPr>
  </w:style>
  <w:style w:type="character" w:customStyle="1" w:styleId="FooterChar">
    <w:name w:val="Footer Char"/>
    <w:basedOn w:val="DefaultParagraphFont"/>
    <w:link w:val="Footer"/>
    <w:rsid w:val="000C4039"/>
    <w:rPr>
      <w:rFonts w:ascii="Arial" w:eastAsia="Calibri" w:hAnsi="Arial" w:cs="Times New Roman"/>
      <w:sz w:val="24"/>
      <w:szCs w:val="20"/>
      <w:lang w:eastAsia="en-GB"/>
    </w:rPr>
  </w:style>
  <w:style w:type="paragraph" w:styleId="TOC1">
    <w:name w:val="toc 1"/>
    <w:basedOn w:val="Normal"/>
    <w:next w:val="Normal"/>
    <w:autoRedefine/>
    <w:uiPriority w:val="39"/>
    <w:rsid w:val="006C205F"/>
    <w:pPr>
      <w:tabs>
        <w:tab w:val="left" w:pos="440"/>
        <w:tab w:val="right" w:leader="dot" w:pos="9344"/>
      </w:tabs>
      <w:spacing w:before="180" w:line="240" w:lineRule="auto"/>
    </w:pPr>
    <w:rPr>
      <w:rFonts w:ascii="Georgia" w:eastAsia="Calibri" w:hAnsi="Georgia" w:cs="Times New Roman"/>
      <w:noProof/>
      <w:color w:val="A13648"/>
      <w:sz w:val="28"/>
      <w:szCs w:val="28"/>
      <w:lang w:eastAsia="en-GB"/>
    </w:rPr>
  </w:style>
  <w:style w:type="paragraph" w:styleId="TOC2">
    <w:name w:val="toc 2"/>
    <w:basedOn w:val="Normal"/>
    <w:next w:val="Normal"/>
    <w:autoRedefine/>
    <w:uiPriority w:val="39"/>
    <w:rsid w:val="001B6AA8"/>
    <w:pPr>
      <w:tabs>
        <w:tab w:val="left" w:pos="880"/>
        <w:tab w:val="right" w:leader="dot" w:pos="8931"/>
      </w:tabs>
      <w:spacing w:after="80" w:line="240" w:lineRule="auto"/>
      <w:ind w:left="426" w:right="397"/>
    </w:pPr>
    <w:rPr>
      <w:rFonts w:eastAsia="Calibri" w:cs="Times New Roman"/>
      <w:szCs w:val="20"/>
      <w:lang w:eastAsia="en-GB"/>
    </w:rPr>
  </w:style>
  <w:style w:type="character" w:styleId="Hyperlink">
    <w:name w:val="Hyperlink"/>
    <w:uiPriority w:val="99"/>
    <w:rsid w:val="000C4039"/>
    <w:rPr>
      <w:rFonts w:cs="Times New Roman"/>
      <w:color w:val="0000FF"/>
      <w:u w:val="single"/>
    </w:rPr>
  </w:style>
  <w:style w:type="paragraph" w:customStyle="1" w:styleId="maintitle">
    <w:name w:val="main title"/>
    <w:basedOn w:val="Normal"/>
    <w:rsid w:val="000C4039"/>
    <w:pPr>
      <w:spacing w:line="240" w:lineRule="auto"/>
    </w:pPr>
    <w:rPr>
      <w:rFonts w:ascii="Bookman" w:eastAsia="Calibri" w:hAnsi="Bookman" w:cs="Times New Roman"/>
      <w:b/>
      <w:sz w:val="36"/>
      <w:szCs w:val="20"/>
    </w:rPr>
  </w:style>
  <w:style w:type="paragraph" w:styleId="TOC3">
    <w:name w:val="toc 3"/>
    <w:basedOn w:val="Normal"/>
    <w:next w:val="Normal"/>
    <w:autoRedefine/>
    <w:uiPriority w:val="39"/>
    <w:rsid w:val="000C4039"/>
    <w:pPr>
      <w:tabs>
        <w:tab w:val="left" w:pos="1320"/>
        <w:tab w:val="right" w:leader="dot" w:pos="8505"/>
      </w:tabs>
      <w:spacing w:after="100" w:line="240" w:lineRule="auto"/>
      <w:ind w:left="709"/>
    </w:pPr>
    <w:rPr>
      <w:rFonts w:eastAsia="Calibri" w:cs="Times New Roman"/>
      <w:noProof/>
      <w:szCs w:val="20"/>
      <w:lang w:eastAsia="en-GB"/>
    </w:rPr>
  </w:style>
  <w:style w:type="paragraph" w:styleId="BalloonText">
    <w:name w:val="Balloon Text"/>
    <w:basedOn w:val="Normal"/>
    <w:link w:val="BalloonTextChar"/>
    <w:uiPriority w:val="99"/>
    <w:semiHidden/>
    <w:unhideWhenUsed/>
    <w:rsid w:val="000C4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039"/>
    <w:rPr>
      <w:rFonts w:ascii="Tahoma" w:hAnsi="Tahoma" w:cs="Tahoma"/>
      <w:sz w:val="16"/>
      <w:szCs w:val="16"/>
    </w:rPr>
  </w:style>
  <w:style w:type="paragraph" w:styleId="EndnoteText">
    <w:name w:val="endnote text"/>
    <w:basedOn w:val="Normal"/>
    <w:link w:val="EndnoteTextChar"/>
    <w:uiPriority w:val="99"/>
    <w:semiHidden/>
    <w:rsid w:val="000C4039"/>
    <w:pPr>
      <w:spacing w:line="240" w:lineRule="auto"/>
    </w:pPr>
    <w:rPr>
      <w:rFonts w:eastAsia="Calibri" w:cs="Times New Roman"/>
      <w:sz w:val="20"/>
      <w:szCs w:val="20"/>
      <w:lang w:eastAsia="en-GB"/>
    </w:rPr>
  </w:style>
  <w:style w:type="character" w:customStyle="1" w:styleId="EndnoteTextChar">
    <w:name w:val="Endnote Text Char"/>
    <w:basedOn w:val="DefaultParagraphFont"/>
    <w:link w:val="EndnoteText"/>
    <w:uiPriority w:val="99"/>
    <w:semiHidden/>
    <w:rsid w:val="000C4039"/>
    <w:rPr>
      <w:rFonts w:ascii="Arial" w:eastAsia="Calibri" w:hAnsi="Arial" w:cs="Times New Roman"/>
      <w:sz w:val="20"/>
      <w:szCs w:val="20"/>
      <w:lang w:eastAsia="en-GB"/>
    </w:rPr>
  </w:style>
  <w:style w:type="character" w:styleId="EndnoteReference">
    <w:name w:val="endnote reference"/>
    <w:uiPriority w:val="99"/>
    <w:rsid w:val="000C4039"/>
    <w:rPr>
      <w:rFonts w:cs="Times New Roman"/>
      <w:vertAlign w:val="superscript"/>
    </w:rPr>
  </w:style>
  <w:style w:type="paragraph" w:styleId="FootnoteText">
    <w:name w:val="footnote text"/>
    <w:aliases w:val="Footnote Text Char Char Char Char,Footnote Text Char Char Char Char Char Char Char,Footnote Text Char Char,Footnote Text Char Char Char Char Char Char,Footnote Text Char Char Char Char Char Char Char Char Char Char Char,ft"/>
    <w:basedOn w:val="Normal"/>
    <w:link w:val="FootnoteTextChar"/>
    <w:uiPriority w:val="99"/>
    <w:qFormat/>
    <w:rsid w:val="000C4039"/>
    <w:pPr>
      <w:spacing w:after="0" w:line="240" w:lineRule="auto"/>
    </w:pPr>
    <w:rPr>
      <w:rFonts w:eastAsia="Calibri" w:cs="Times New Roman"/>
      <w:sz w:val="20"/>
      <w:szCs w:val="20"/>
      <w:lang w:eastAsia="en-GB"/>
    </w:rPr>
  </w:style>
  <w:style w:type="character" w:customStyle="1" w:styleId="FootnoteTextChar">
    <w:name w:val="Footnote Text Char"/>
    <w:aliases w:val="Footnote Text Char Char Char Char Char,Footnote Text Char Char Char Char Char Char Char Char,Footnote Text Char Char Char,Footnote Text Char Char Char Char Char Char Char1,ft Char"/>
    <w:basedOn w:val="DefaultParagraphFont"/>
    <w:link w:val="FootnoteText"/>
    <w:uiPriority w:val="99"/>
    <w:qFormat/>
    <w:rsid w:val="000C4039"/>
    <w:rPr>
      <w:rFonts w:ascii="Arial" w:eastAsia="Calibri" w:hAnsi="Arial" w:cs="Times New Roman"/>
      <w:sz w:val="20"/>
      <w:szCs w:val="20"/>
      <w:lang w:eastAsia="en-GB"/>
    </w:rPr>
  </w:style>
  <w:style w:type="character" w:styleId="FootnoteReference">
    <w:name w:val="footnote reference"/>
    <w:uiPriority w:val="99"/>
    <w:qFormat/>
    <w:rsid w:val="000C4039"/>
    <w:rPr>
      <w:rFonts w:cs="Times New Roman"/>
      <w:vertAlign w:val="superscript"/>
    </w:rPr>
  </w:style>
  <w:style w:type="paragraph" w:styleId="Caption">
    <w:name w:val="caption"/>
    <w:basedOn w:val="Normal"/>
    <w:next w:val="Normal"/>
    <w:qFormat/>
    <w:rsid w:val="00BB1DAE"/>
    <w:pPr>
      <w:keepNext/>
      <w:spacing w:line="240" w:lineRule="auto"/>
    </w:pPr>
    <w:rPr>
      <w:rFonts w:eastAsia="Calibri" w:cs="Times New Roman"/>
      <w:b/>
      <w:bCs/>
      <w:szCs w:val="24"/>
      <w:lang w:eastAsia="en-GB"/>
    </w:rPr>
  </w:style>
  <w:style w:type="paragraph" w:styleId="ListParagraph">
    <w:name w:val="List Paragraph"/>
    <w:basedOn w:val="Normal"/>
    <w:uiPriority w:val="34"/>
    <w:qFormat/>
    <w:rsid w:val="00BB1DAE"/>
    <w:pPr>
      <w:ind w:left="720"/>
      <w:contextualSpacing/>
    </w:pPr>
  </w:style>
  <w:style w:type="table" w:styleId="TableGrid">
    <w:name w:val="Table Grid"/>
    <w:basedOn w:val="TableNormal"/>
    <w:uiPriority w:val="59"/>
    <w:rsid w:val="001F7341"/>
    <w:pPr>
      <w:spacing w:after="0" w:line="240" w:lineRule="auto"/>
    </w:pPr>
    <w:tblPr/>
  </w:style>
  <w:style w:type="character" w:styleId="Strong">
    <w:name w:val="Strong"/>
    <w:basedOn w:val="DefaultParagraphFont"/>
    <w:uiPriority w:val="22"/>
    <w:qFormat/>
    <w:rsid w:val="001F7341"/>
    <w:rPr>
      <w:b/>
      <w:bCs/>
    </w:rPr>
  </w:style>
  <w:style w:type="paragraph" w:customStyle="1" w:styleId="Default">
    <w:name w:val="Default"/>
    <w:rsid w:val="001F7341"/>
    <w:pPr>
      <w:autoSpaceDE w:val="0"/>
      <w:autoSpaceDN w:val="0"/>
      <w:adjustRightInd w:val="0"/>
      <w:spacing w:after="0" w:line="240" w:lineRule="auto"/>
    </w:pPr>
    <w:rPr>
      <w:rFonts w:ascii="Gill Sans MT" w:hAnsi="Gill Sans MT" w:cs="Gill Sans MT"/>
      <w:color w:val="000000"/>
      <w:sz w:val="24"/>
      <w:szCs w:val="24"/>
    </w:rPr>
  </w:style>
  <w:style w:type="paragraph" w:styleId="NormalWeb">
    <w:name w:val="Normal (Web)"/>
    <w:basedOn w:val="Normal"/>
    <w:uiPriority w:val="99"/>
    <w:unhideWhenUsed/>
    <w:rsid w:val="00F71E73"/>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s1">
    <w:name w:val="s1"/>
    <w:basedOn w:val="DefaultParagraphFont"/>
    <w:rsid w:val="00F71E73"/>
  </w:style>
  <w:style w:type="paragraph" w:styleId="TOCHeading">
    <w:name w:val="TOC Heading"/>
    <w:basedOn w:val="Heading1"/>
    <w:next w:val="Normal"/>
    <w:uiPriority w:val="39"/>
    <w:unhideWhenUsed/>
    <w:qFormat/>
    <w:rsid w:val="006C205F"/>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lang w:val="en-US" w:eastAsia="ja-JP"/>
    </w:rPr>
  </w:style>
  <w:style w:type="paragraph" w:styleId="Revision">
    <w:name w:val="Revision"/>
    <w:hidden/>
    <w:uiPriority w:val="99"/>
    <w:semiHidden/>
    <w:rsid w:val="000420BA"/>
    <w:pPr>
      <w:spacing w:after="0" w:line="240" w:lineRule="auto"/>
    </w:pPr>
    <w:rPr>
      <w:rFonts w:ascii="Arial" w:hAnsi="Arial"/>
      <w:sz w:val="24"/>
    </w:rPr>
  </w:style>
  <w:style w:type="character" w:styleId="UnresolvedMention">
    <w:name w:val="Unresolved Mention"/>
    <w:basedOn w:val="DefaultParagraphFont"/>
    <w:uiPriority w:val="99"/>
    <w:semiHidden/>
    <w:unhideWhenUsed/>
    <w:rsid w:val="00253E0D"/>
    <w:rPr>
      <w:color w:val="605E5C"/>
      <w:shd w:val="clear" w:color="auto" w:fill="E1DFDD"/>
    </w:rPr>
  </w:style>
  <w:style w:type="character" w:styleId="FollowedHyperlink">
    <w:name w:val="FollowedHyperlink"/>
    <w:basedOn w:val="DefaultParagraphFont"/>
    <w:uiPriority w:val="99"/>
    <w:semiHidden/>
    <w:unhideWhenUsed/>
    <w:rsid w:val="00BA5E45"/>
    <w:rPr>
      <w:color w:val="800080" w:themeColor="followedHyperlink"/>
      <w:u w:val="single"/>
    </w:rPr>
  </w:style>
  <w:style w:type="character" w:styleId="CommentReference">
    <w:name w:val="annotation reference"/>
    <w:basedOn w:val="DefaultParagraphFont"/>
    <w:uiPriority w:val="99"/>
    <w:semiHidden/>
    <w:unhideWhenUsed/>
    <w:rsid w:val="00BC5BF7"/>
    <w:rPr>
      <w:sz w:val="16"/>
      <w:szCs w:val="16"/>
    </w:rPr>
  </w:style>
  <w:style w:type="paragraph" w:styleId="CommentText">
    <w:name w:val="annotation text"/>
    <w:basedOn w:val="Normal"/>
    <w:link w:val="CommentTextChar"/>
    <w:uiPriority w:val="99"/>
    <w:unhideWhenUsed/>
    <w:rsid w:val="00BC5BF7"/>
    <w:pPr>
      <w:spacing w:line="240" w:lineRule="auto"/>
    </w:pPr>
    <w:rPr>
      <w:sz w:val="20"/>
      <w:szCs w:val="20"/>
    </w:rPr>
  </w:style>
  <w:style w:type="character" w:customStyle="1" w:styleId="CommentTextChar">
    <w:name w:val="Comment Text Char"/>
    <w:basedOn w:val="DefaultParagraphFont"/>
    <w:link w:val="CommentText"/>
    <w:uiPriority w:val="99"/>
    <w:rsid w:val="00BC5BF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C5BF7"/>
    <w:rPr>
      <w:b/>
      <w:bCs/>
    </w:rPr>
  </w:style>
  <w:style w:type="character" w:customStyle="1" w:styleId="CommentSubjectChar">
    <w:name w:val="Comment Subject Char"/>
    <w:basedOn w:val="CommentTextChar"/>
    <w:link w:val="CommentSubject"/>
    <w:uiPriority w:val="99"/>
    <w:semiHidden/>
    <w:rsid w:val="00BC5BF7"/>
    <w:rPr>
      <w:rFonts w:ascii="Arial" w:hAnsi="Arial"/>
      <w:b/>
      <w:bCs/>
      <w:sz w:val="20"/>
      <w:szCs w:val="20"/>
    </w:rPr>
  </w:style>
  <w:style w:type="paragraph" w:styleId="List">
    <w:name w:val="List"/>
    <w:basedOn w:val="Normal"/>
    <w:uiPriority w:val="99"/>
    <w:semiHidden/>
    <w:unhideWhenUsed/>
    <w:rsid w:val="00C46695"/>
    <w:pPr>
      <w:ind w:left="283" w:hanging="283"/>
      <w:contextualSpacing/>
    </w:pPr>
  </w:style>
  <w:style w:type="character" w:styleId="Mention">
    <w:name w:val="Mention"/>
    <w:basedOn w:val="DefaultParagraphFont"/>
    <w:uiPriority w:val="99"/>
    <w:unhideWhenUsed/>
    <w:rsid w:val="00840861"/>
    <w:rPr>
      <w:color w:val="2B579A"/>
      <w:shd w:val="clear" w:color="auto" w:fill="E1DFDD"/>
    </w:rPr>
  </w:style>
  <w:style w:type="paragraph" w:styleId="BodyText">
    <w:name w:val="Body Text"/>
    <w:basedOn w:val="Normal"/>
    <w:link w:val="BodyTextChar"/>
    <w:rsid w:val="00593C78"/>
    <w:pPr>
      <w:spacing w:after="0" w:line="240" w:lineRule="auto"/>
    </w:pPr>
    <w:rPr>
      <w:rFonts w:ascii="Lucida Grande" w:eastAsia="Times New Roman" w:hAnsi="Lucida Grande" w:cs="Lucida Grande"/>
      <w:color w:val="000000"/>
      <w:sz w:val="22"/>
      <w:lang w:eastAsia="en-GB"/>
    </w:rPr>
  </w:style>
  <w:style w:type="character" w:customStyle="1" w:styleId="BodyTextChar">
    <w:name w:val="Body Text Char"/>
    <w:basedOn w:val="DefaultParagraphFont"/>
    <w:link w:val="BodyText"/>
    <w:rsid w:val="00593C78"/>
    <w:rPr>
      <w:rFonts w:ascii="Lucida Grande" w:eastAsia="Times New Roman" w:hAnsi="Lucida Grande" w:cs="Lucida Grande"/>
      <w:color w:val="000000"/>
      <w:lang w:eastAsia="en-GB"/>
    </w:rPr>
  </w:style>
  <w:style w:type="character" w:customStyle="1" w:styleId="cf01">
    <w:name w:val="cf01"/>
    <w:basedOn w:val="DefaultParagraphFont"/>
    <w:rsid w:val="00593C78"/>
    <w:rPr>
      <w:rFonts w:ascii="Segoe UI" w:hAnsi="Segoe UI" w:cs="Segoe UI" w:hint="default"/>
      <w:sz w:val="18"/>
      <w:szCs w:val="18"/>
    </w:rPr>
  </w:style>
  <w:style w:type="paragraph" w:customStyle="1" w:styleId="pf0">
    <w:name w:val="pf0"/>
    <w:basedOn w:val="Normal"/>
    <w:rsid w:val="00B149CF"/>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uiPriority w:val="9"/>
    <w:semiHidden/>
    <w:rsid w:val="00FA6A7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6A72"/>
    <w:rPr>
      <w:rFonts w:asciiTheme="majorHAnsi" w:eastAsiaTheme="majorEastAsia" w:hAnsiTheme="majorHAnsi" w:cstheme="majorBidi"/>
      <w:i/>
      <w:iCs/>
      <w:color w:val="272727" w:themeColor="text1" w:themeTint="D8"/>
      <w:sz w:val="21"/>
      <w:szCs w:val="21"/>
    </w:rPr>
  </w:style>
  <w:style w:type="paragraph" w:styleId="TOC4">
    <w:name w:val="toc 4"/>
    <w:basedOn w:val="Normal"/>
    <w:next w:val="Normal"/>
    <w:autoRedefine/>
    <w:uiPriority w:val="39"/>
    <w:unhideWhenUsed/>
    <w:rsid w:val="00F0119C"/>
    <w:pPr>
      <w:spacing w:after="100" w:line="278" w:lineRule="auto"/>
      <w:ind w:left="720"/>
    </w:pPr>
    <w:rPr>
      <w:rFonts w:asciiTheme="minorHAnsi" w:eastAsiaTheme="minorEastAsia" w:hAnsiTheme="minorHAnsi"/>
      <w:kern w:val="2"/>
      <w:szCs w:val="24"/>
      <w:lang w:eastAsia="en-GB"/>
      <w14:ligatures w14:val="standardContextual"/>
    </w:rPr>
  </w:style>
  <w:style w:type="paragraph" w:styleId="TOC5">
    <w:name w:val="toc 5"/>
    <w:basedOn w:val="Normal"/>
    <w:next w:val="Normal"/>
    <w:autoRedefine/>
    <w:uiPriority w:val="39"/>
    <w:unhideWhenUsed/>
    <w:rsid w:val="00F0119C"/>
    <w:pPr>
      <w:spacing w:after="100" w:line="278" w:lineRule="auto"/>
      <w:ind w:left="960"/>
    </w:pPr>
    <w:rPr>
      <w:rFonts w:asciiTheme="minorHAnsi" w:eastAsiaTheme="minorEastAsia" w:hAnsiTheme="minorHAnsi"/>
      <w:kern w:val="2"/>
      <w:szCs w:val="24"/>
      <w:lang w:eastAsia="en-GB"/>
      <w14:ligatures w14:val="standardContextual"/>
    </w:rPr>
  </w:style>
  <w:style w:type="paragraph" w:styleId="TOC6">
    <w:name w:val="toc 6"/>
    <w:basedOn w:val="Normal"/>
    <w:next w:val="Normal"/>
    <w:autoRedefine/>
    <w:uiPriority w:val="39"/>
    <w:unhideWhenUsed/>
    <w:rsid w:val="00F0119C"/>
    <w:pPr>
      <w:spacing w:after="100" w:line="278" w:lineRule="auto"/>
      <w:ind w:left="1200"/>
    </w:pPr>
    <w:rPr>
      <w:rFonts w:asciiTheme="minorHAnsi" w:eastAsiaTheme="minorEastAsia" w:hAnsiTheme="minorHAnsi"/>
      <w:kern w:val="2"/>
      <w:szCs w:val="24"/>
      <w:lang w:eastAsia="en-GB"/>
      <w14:ligatures w14:val="standardContextual"/>
    </w:rPr>
  </w:style>
  <w:style w:type="paragraph" w:styleId="TOC7">
    <w:name w:val="toc 7"/>
    <w:basedOn w:val="Normal"/>
    <w:next w:val="Normal"/>
    <w:autoRedefine/>
    <w:uiPriority w:val="39"/>
    <w:unhideWhenUsed/>
    <w:rsid w:val="00F0119C"/>
    <w:pPr>
      <w:spacing w:after="100" w:line="278" w:lineRule="auto"/>
      <w:ind w:left="1440"/>
    </w:pPr>
    <w:rPr>
      <w:rFonts w:asciiTheme="minorHAnsi" w:eastAsiaTheme="minorEastAsia" w:hAnsiTheme="minorHAnsi"/>
      <w:kern w:val="2"/>
      <w:szCs w:val="24"/>
      <w:lang w:eastAsia="en-GB"/>
      <w14:ligatures w14:val="standardContextual"/>
    </w:rPr>
  </w:style>
  <w:style w:type="paragraph" w:styleId="TOC8">
    <w:name w:val="toc 8"/>
    <w:basedOn w:val="Normal"/>
    <w:next w:val="Normal"/>
    <w:autoRedefine/>
    <w:uiPriority w:val="39"/>
    <w:unhideWhenUsed/>
    <w:rsid w:val="00F0119C"/>
    <w:pPr>
      <w:spacing w:after="100" w:line="278" w:lineRule="auto"/>
      <w:ind w:left="1680"/>
    </w:pPr>
    <w:rPr>
      <w:rFonts w:asciiTheme="minorHAnsi" w:eastAsiaTheme="minorEastAsia" w:hAnsiTheme="minorHAnsi"/>
      <w:kern w:val="2"/>
      <w:szCs w:val="24"/>
      <w:lang w:eastAsia="en-GB"/>
      <w14:ligatures w14:val="standardContextual"/>
    </w:rPr>
  </w:style>
  <w:style w:type="paragraph" w:styleId="TOC9">
    <w:name w:val="toc 9"/>
    <w:basedOn w:val="Normal"/>
    <w:next w:val="Normal"/>
    <w:autoRedefine/>
    <w:uiPriority w:val="39"/>
    <w:unhideWhenUsed/>
    <w:rsid w:val="00F0119C"/>
    <w:pPr>
      <w:spacing w:after="100" w:line="278" w:lineRule="auto"/>
      <w:ind w:left="1920"/>
    </w:pPr>
    <w:rPr>
      <w:rFonts w:asciiTheme="minorHAnsi" w:eastAsiaTheme="minorEastAsia" w:hAnsiTheme="minorHAnsi"/>
      <w:kern w:val="2"/>
      <w:szCs w:val="24"/>
      <w:lang w:eastAsia="en-GB"/>
      <w14:ligatures w14:val="standardContextual"/>
    </w:rPr>
  </w:style>
  <w:style w:type="table" w:styleId="PlainTable1">
    <w:name w:val="Plain Table 1"/>
    <w:basedOn w:val="TableNormal"/>
    <w:uiPriority w:val="41"/>
    <w:rsid w:val="000953B9"/>
    <w:pPr>
      <w:spacing w:after="0" w:line="240" w:lineRule="auto"/>
    </w:pPr>
    <w:rPr>
      <w:kern w:val="2"/>
      <w14:ligatures w14:val="standardContextual"/>
    </w:rPr>
    <w:tblPr/>
    <w:tblStylePr w:type="firstRow">
      <w:rPr>
        <w:b/>
        <w:bCs/>
      </w:rPr>
    </w:tblStylePr>
    <w:tblStylePr w:type="lastRow">
      <w:rPr>
        <w:b/>
        <w:bCs/>
      </w:rPr>
    </w:tblStylePr>
    <w:tblStylePr w:type="firstCol">
      <w:rPr>
        <w:b/>
        <w:bCs/>
      </w:rPr>
    </w:tblStylePr>
    <w:tblStylePr w:type="lastCol">
      <w:rPr>
        <w:b/>
        <w:bCs/>
      </w:rPr>
    </w:tblStylePr>
  </w:style>
  <w:style w:type="paragraph" w:styleId="TableofFigures">
    <w:name w:val="table of figures"/>
    <w:basedOn w:val="Normal"/>
    <w:next w:val="Normal"/>
    <w:uiPriority w:val="99"/>
    <w:unhideWhenUsed/>
    <w:rsid w:val="00F16F89"/>
    <w:pPr>
      <w:spacing w:after="0"/>
    </w:pPr>
  </w:style>
  <w:style w:type="paragraph" w:customStyle="1" w:styleId="AppendixHeading1">
    <w:name w:val="Appendix Heading 1"/>
    <w:basedOn w:val="Heading1"/>
    <w:link w:val="AppendixHeading1Char"/>
    <w:qFormat/>
    <w:rsid w:val="000E3118"/>
    <w:pPr>
      <w:numPr>
        <w:numId w:val="0"/>
      </w:numPr>
    </w:pPr>
    <w:rPr>
      <w:rFonts w:cs="Arial"/>
      <w:szCs w:val="24"/>
    </w:rPr>
  </w:style>
  <w:style w:type="character" w:customStyle="1" w:styleId="AppendixHeading1Char">
    <w:name w:val="Appendix Heading 1 Char"/>
    <w:basedOn w:val="Heading1Char"/>
    <w:link w:val="AppendixHeading1"/>
    <w:rsid w:val="00183192"/>
    <w:rPr>
      <w:rFonts w:ascii="Georgia" w:eastAsia="Calibri" w:hAnsi="Georgia" w:cs="Arial"/>
      <w:b/>
      <w:color w:val="086A76"/>
      <w:kern w:val="28"/>
      <w:sz w:val="36"/>
      <w:szCs w:val="24"/>
    </w:rPr>
  </w:style>
  <w:style w:type="paragraph" w:customStyle="1" w:styleId="AppendixHeading2">
    <w:name w:val="Appendix Heading 2"/>
    <w:basedOn w:val="Heading2"/>
    <w:link w:val="AppendixHeading2Char"/>
    <w:qFormat/>
    <w:rsid w:val="006E0178"/>
    <w:pPr>
      <w:numPr>
        <w:ilvl w:val="0"/>
        <w:numId w:val="25"/>
      </w:numPr>
    </w:pPr>
  </w:style>
  <w:style w:type="character" w:customStyle="1" w:styleId="AppendixHeading2Char">
    <w:name w:val="Appendix Heading 2 Char"/>
    <w:basedOn w:val="Heading2Char"/>
    <w:link w:val="AppendixHeading2"/>
    <w:rsid w:val="002003F5"/>
    <w:rPr>
      <w:rFonts w:ascii="Georgia" w:eastAsia="Calibri" w:hAnsi="Georgia" w:cs="Times New Roman"/>
      <w:b/>
      <w:color w:val="086A76"/>
      <w:sz w:val="26"/>
      <w:szCs w:val="20"/>
    </w:rPr>
  </w:style>
  <w:style w:type="paragraph" w:customStyle="1" w:styleId="AppendixHeading3">
    <w:name w:val="Appendix Heading 3"/>
    <w:basedOn w:val="AppendixHeading2"/>
    <w:link w:val="AppendixHeading3Char"/>
    <w:qFormat/>
    <w:rsid w:val="007F50A3"/>
    <w:pPr>
      <w:numPr>
        <w:numId w:val="26"/>
      </w:numPr>
    </w:pPr>
  </w:style>
  <w:style w:type="character" w:customStyle="1" w:styleId="AppendixHeading3Char">
    <w:name w:val="Appendix Heading 3 Char"/>
    <w:basedOn w:val="AppendixHeading2Char"/>
    <w:link w:val="AppendixHeading3"/>
    <w:rsid w:val="00980517"/>
    <w:rPr>
      <w:rFonts w:ascii="Georgia" w:eastAsia="Calibri" w:hAnsi="Georgia" w:cs="Times New Roman"/>
      <w:b/>
      <w:color w:val="086A76"/>
      <w:sz w:val="26"/>
      <w:szCs w:val="20"/>
    </w:rPr>
  </w:style>
  <w:style w:type="paragraph" w:customStyle="1" w:styleId="paragraph">
    <w:name w:val="paragraph"/>
    <w:basedOn w:val="Normal"/>
    <w:rsid w:val="00E57AD1"/>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E57AD1"/>
  </w:style>
  <w:style w:type="character" w:customStyle="1" w:styleId="eop">
    <w:name w:val="eop"/>
    <w:basedOn w:val="DefaultParagraphFont"/>
    <w:rsid w:val="00E57AD1"/>
  </w:style>
  <w:style w:type="table" w:styleId="PlainTable2">
    <w:name w:val="Plain Table 2"/>
    <w:basedOn w:val="TableNormal"/>
    <w:uiPriority w:val="42"/>
    <w:rsid w:val="00001F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1081">
      <w:bodyDiv w:val="1"/>
      <w:marLeft w:val="0"/>
      <w:marRight w:val="0"/>
      <w:marTop w:val="0"/>
      <w:marBottom w:val="0"/>
      <w:divBdr>
        <w:top w:val="none" w:sz="0" w:space="0" w:color="auto"/>
        <w:left w:val="none" w:sz="0" w:space="0" w:color="auto"/>
        <w:bottom w:val="none" w:sz="0" w:space="0" w:color="auto"/>
        <w:right w:val="none" w:sz="0" w:space="0" w:color="auto"/>
      </w:divBdr>
      <w:divsChild>
        <w:div w:id="409547669">
          <w:marLeft w:val="547"/>
          <w:marRight w:val="0"/>
          <w:marTop w:val="0"/>
          <w:marBottom w:val="0"/>
          <w:divBdr>
            <w:top w:val="none" w:sz="0" w:space="0" w:color="auto"/>
            <w:left w:val="none" w:sz="0" w:space="0" w:color="auto"/>
            <w:bottom w:val="none" w:sz="0" w:space="0" w:color="auto"/>
            <w:right w:val="none" w:sz="0" w:space="0" w:color="auto"/>
          </w:divBdr>
        </w:div>
      </w:divsChild>
    </w:div>
    <w:div w:id="20590768">
      <w:bodyDiv w:val="1"/>
      <w:marLeft w:val="0"/>
      <w:marRight w:val="0"/>
      <w:marTop w:val="0"/>
      <w:marBottom w:val="0"/>
      <w:divBdr>
        <w:top w:val="none" w:sz="0" w:space="0" w:color="auto"/>
        <w:left w:val="none" w:sz="0" w:space="0" w:color="auto"/>
        <w:bottom w:val="none" w:sz="0" w:space="0" w:color="auto"/>
        <w:right w:val="none" w:sz="0" w:space="0" w:color="auto"/>
      </w:divBdr>
    </w:div>
    <w:div w:id="26639218">
      <w:bodyDiv w:val="1"/>
      <w:marLeft w:val="0"/>
      <w:marRight w:val="0"/>
      <w:marTop w:val="0"/>
      <w:marBottom w:val="0"/>
      <w:divBdr>
        <w:top w:val="none" w:sz="0" w:space="0" w:color="auto"/>
        <w:left w:val="none" w:sz="0" w:space="0" w:color="auto"/>
        <w:bottom w:val="none" w:sz="0" w:space="0" w:color="auto"/>
        <w:right w:val="none" w:sz="0" w:space="0" w:color="auto"/>
      </w:divBdr>
      <w:divsChild>
        <w:div w:id="529800694">
          <w:marLeft w:val="0"/>
          <w:marRight w:val="0"/>
          <w:marTop w:val="0"/>
          <w:marBottom w:val="0"/>
          <w:divBdr>
            <w:top w:val="none" w:sz="0" w:space="0" w:color="auto"/>
            <w:left w:val="none" w:sz="0" w:space="0" w:color="auto"/>
            <w:bottom w:val="none" w:sz="0" w:space="0" w:color="auto"/>
            <w:right w:val="none" w:sz="0" w:space="0" w:color="auto"/>
          </w:divBdr>
        </w:div>
      </w:divsChild>
    </w:div>
    <w:div w:id="30887792">
      <w:bodyDiv w:val="1"/>
      <w:marLeft w:val="0"/>
      <w:marRight w:val="0"/>
      <w:marTop w:val="0"/>
      <w:marBottom w:val="0"/>
      <w:divBdr>
        <w:top w:val="none" w:sz="0" w:space="0" w:color="auto"/>
        <w:left w:val="none" w:sz="0" w:space="0" w:color="auto"/>
        <w:bottom w:val="none" w:sz="0" w:space="0" w:color="auto"/>
        <w:right w:val="none" w:sz="0" w:space="0" w:color="auto"/>
      </w:divBdr>
    </w:div>
    <w:div w:id="50274743">
      <w:bodyDiv w:val="1"/>
      <w:marLeft w:val="0"/>
      <w:marRight w:val="0"/>
      <w:marTop w:val="0"/>
      <w:marBottom w:val="0"/>
      <w:divBdr>
        <w:top w:val="none" w:sz="0" w:space="0" w:color="auto"/>
        <w:left w:val="none" w:sz="0" w:space="0" w:color="auto"/>
        <w:bottom w:val="none" w:sz="0" w:space="0" w:color="auto"/>
        <w:right w:val="none" w:sz="0" w:space="0" w:color="auto"/>
      </w:divBdr>
    </w:div>
    <w:div w:id="59795198">
      <w:bodyDiv w:val="1"/>
      <w:marLeft w:val="0"/>
      <w:marRight w:val="0"/>
      <w:marTop w:val="0"/>
      <w:marBottom w:val="0"/>
      <w:divBdr>
        <w:top w:val="none" w:sz="0" w:space="0" w:color="auto"/>
        <w:left w:val="none" w:sz="0" w:space="0" w:color="auto"/>
        <w:bottom w:val="none" w:sz="0" w:space="0" w:color="auto"/>
        <w:right w:val="none" w:sz="0" w:space="0" w:color="auto"/>
      </w:divBdr>
    </w:div>
    <w:div w:id="75709723">
      <w:bodyDiv w:val="1"/>
      <w:marLeft w:val="0"/>
      <w:marRight w:val="0"/>
      <w:marTop w:val="0"/>
      <w:marBottom w:val="0"/>
      <w:divBdr>
        <w:top w:val="none" w:sz="0" w:space="0" w:color="auto"/>
        <w:left w:val="none" w:sz="0" w:space="0" w:color="auto"/>
        <w:bottom w:val="none" w:sz="0" w:space="0" w:color="auto"/>
        <w:right w:val="none" w:sz="0" w:space="0" w:color="auto"/>
      </w:divBdr>
    </w:div>
    <w:div w:id="102770060">
      <w:bodyDiv w:val="1"/>
      <w:marLeft w:val="0"/>
      <w:marRight w:val="0"/>
      <w:marTop w:val="0"/>
      <w:marBottom w:val="0"/>
      <w:divBdr>
        <w:top w:val="none" w:sz="0" w:space="0" w:color="auto"/>
        <w:left w:val="none" w:sz="0" w:space="0" w:color="auto"/>
        <w:bottom w:val="none" w:sz="0" w:space="0" w:color="auto"/>
        <w:right w:val="none" w:sz="0" w:space="0" w:color="auto"/>
      </w:divBdr>
      <w:divsChild>
        <w:div w:id="289829073">
          <w:marLeft w:val="274"/>
          <w:marRight w:val="0"/>
          <w:marTop w:val="58"/>
          <w:marBottom w:val="0"/>
          <w:divBdr>
            <w:top w:val="none" w:sz="0" w:space="0" w:color="auto"/>
            <w:left w:val="none" w:sz="0" w:space="0" w:color="auto"/>
            <w:bottom w:val="none" w:sz="0" w:space="0" w:color="auto"/>
            <w:right w:val="none" w:sz="0" w:space="0" w:color="auto"/>
          </w:divBdr>
        </w:div>
        <w:div w:id="524562365">
          <w:marLeft w:val="274"/>
          <w:marRight w:val="0"/>
          <w:marTop w:val="58"/>
          <w:marBottom w:val="0"/>
          <w:divBdr>
            <w:top w:val="none" w:sz="0" w:space="0" w:color="auto"/>
            <w:left w:val="none" w:sz="0" w:space="0" w:color="auto"/>
            <w:bottom w:val="none" w:sz="0" w:space="0" w:color="auto"/>
            <w:right w:val="none" w:sz="0" w:space="0" w:color="auto"/>
          </w:divBdr>
        </w:div>
        <w:div w:id="1160265827">
          <w:marLeft w:val="274"/>
          <w:marRight w:val="0"/>
          <w:marTop w:val="58"/>
          <w:marBottom w:val="0"/>
          <w:divBdr>
            <w:top w:val="none" w:sz="0" w:space="0" w:color="auto"/>
            <w:left w:val="none" w:sz="0" w:space="0" w:color="auto"/>
            <w:bottom w:val="none" w:sz="0" w:space="0" w:color="auto"/>
            <w:right w:val="none" w:sz="0" w:space="0" w:color="auto"/>
          </w:divBdr>
        </w:div>
        <w:div w:id="1226914961">
          <w:marLeft w:val="274"/>
          <w:marRight w:val="0"/>
          <w:marTop w:val="58"/>
          <w:marBottom w:val="0"/>
          <w:divBdr>
            <w:top w:val="none" w:sz="0" w:space="0" w:color="auto"/>
            <w:left w:val="none" w:sz="0" w:space="0" w:color="auto"/>
            <w:bottom w:val="none" w:sz="0" w:space="0" w:color="auto"/>
            <w:right w:val="none" w:sz="0" w:space="0" w:color="auto"/>
          </w:divBdr>
        </w:div>
        <w:div w:id="1627276097">
          <w:marLeft w:val="274"/>
          <w:marRight w:val="0"/>
          <w:marTop w:val="58"/>
          <w:marBottom w:val="0"/>
          <w:divBdr>
            <w:top w:val="none" w:sz="0" w:space="0" w:color="auto"/>
            <w:left w:val="none" w:sz="0" w:space="0" w:color="auto"/>
            <w:bottom w:val="none" w:sz="0" w:space="0" w:color="auto"/>
            <w:right w:val="none" w:sz="0" w:space="0" w:color="auto"/>
          </w:divBdr>
        </w:div>
        <w:div w:id="1814522834">
          <w:marLeft w:val="274"/>
          <w:marRight w:val="0"/>
          <w:marTop w:val="58"/>
          <w:marBottom w:val="0"/>
          <w:divBdr>
            <w:top w:val="none" w:sz="0" w:space="0" w:color="auto"/>
            <w:left w:val="none" w:sz="0" w:space="0" w:color="auto"/>
            <w:bottom w:val="none" w:sz="0" w:space="0" w:color="auto"/>
            <w:right w:val="none" w:sz="0" w:space="0" w:color="auto"/>
          </w:divBdr>
        </w:div>
        <w:div w:id="2026515755">
          <w:marLeft w:val="274"/>
          <w:marRight w:val="0"/>
          <w:marTop w:val="58"/>
          <w:marBottom w:val="0"/>
          <w:divBdr>
            <w:top w:val="none" w:sz="0" w:space="0" w:color="auto"/>
            <w:left w:val="none" w:sz="0" w:space="0" w:color="auto"/>
            <w:bottom w:val="none" w:sz="0" w:space="0" w:color="auto"/>
            <w:right w:val="none" w:sz="0" w:space="0" w:color="auto"/>
          </w:divBdr>
        </w:div>
        <w:div w:id="2047755055">
          <w:marLeft w:val="274"/>
          <w:marRight w:val="0"/>
          <w:marTop w:val="58"/>
          <w:marBottom w:val="0"/>
          <w:divBdr>
            <w:top w:val="none" w:sz="0" w:space="0" w:color="auto"/>
            <w:left w:val="none" w:sz="0" w:space="0" w:color="auto"/>
            <w:bottom w:val="none" w:sz="0" w:space="0" w:color="auto"/>
            <w:right w:val="none" w:sz="0" w:space="0" w:color="auto"/>
          </w:divBdr>
        </w:div>
      </w:divsChild>
    </w:div>
    <w:div w:id="105203494">
      <w:bodyDiv w:val="1"/>
      <w:marLeft w:val="0"/>
      <w:marRight w:val="0"/>
      <w:marTop w:val="0"/>
      <w:marBottom w:val="0"/>
      <w:divBdr>
        <w:top w:val="none" w:sz="0" w:space="0" w:color="auto"/>
        <w:left w:val="none" w:sz="0" w:space="0" w:color="auto"/>
        <w:bottom w:val="none" w:sz="0" w:space="0" w:color="auto"/>
        <w:right w:val="none" w:sz="0" w:space="0" w:color="auto"/>
      </w:divBdr>
    </w:div>
    <w:div w:id="105734968">
      <w:bodyDiv w:val="1"/>
      <w:marLeft w:val="0"/>
      <w:marRight w:val="0"/>
      <w:marTop w:val="0"/>
      <w:marBottom w:val="0"/>
      <w:divBdr>
        <w:top w:val="none" w:sz="0" w:space="0" w:color="auto"/>
        <w:left w:val="none" w:sz="0" w:space="0" w:color="auto"/>
        <w:bottom w:val="none" w:sz="0" w:space="0" w:color="auto"/>
        <w:right w:val="none" w:sz="0" w:space="0" w:color="auto"/>
      </w:divBdr>
    </w:div>
    <w:div w:id="106462016">
      <w:bodyDiv w:val="1"/>
      <w:marLeft w:val="0"/>
      <w:marRight w:val="0"/>
      <w:marTop w:val="0"/>
      <w:marBottom w:val="0"/>
      <w:divBdr>
        <w:top w:val="none" w:sz="0" w:space="0" w:color="auto"/>
        <w:left w:val="none" w:sz="0" w:space="0" w:color="auto"/>
        <w:bottom w:val="none" w:sz="0" w:space="0" w:color="auto"/>
        <w:right w:val="none" w:sz="0" w:space="0" w:color="auto"/>
      </w:divBdr>
    </w:div>
    <w:div w:id="164782387">
      <w:bodyDiv w:val="1"/>
      <w:marLeft w:val="0"/>
      <w:marRight w:val="0"/>
      <w:marTop w:val="0"/>
      <w:marBottom w:val="0"/>
      <w:divBdr>
        <w:top w:val="none" w:sz="0" w:space="0" w:color="auto"/>
        <w:left w:val="none" w:sz="0" w:space="0" w:color="auto"/>
        <w:bottom w:val="none" w:sz="0" w:space="0" w:color="auto"/>
        <w:right w:val="none" w:sz="0" w:space="0" w:color="auto"/>
      </w:divBdr>
      <w:divsChild>
        <w:div w:id="144049601">
          <w:marLeft w:val="0"/>
          <w:marRight w:val="0"/>
          <w:marTop w:val="0"/>
          <w:marBottom w:val="0"/>
          <w:divBdr>
            <w:top w:val="none" w:sz="0" w:space="0" w:color="auto"/>
            <w:left w:val="none" w:sz="0" w:space="0" w:color="auto"/>
            <w:bottom w:val="none" w:sz="0" w:space="0" w:color="auto"/>
            <w:right w:val="none" w:sz="0" w:space="0" w:color="auto"/>
          </w:divBdr>
          <w:divsChild>
            <w:div w:id="146559913">
              <w:marLeft w:val="0"/>
              <w:marRight w:val="0"/>
              <w:marTop w:val="0"/>
              <w:marBottom w:val="0"/>
              <w:divBdr>
                <w:top w:val="none" w:sz="0" w:space="0" w:color="auto"/>
                <w:left w:val="none" w:sz="0" w:space="0" w:color="auto"/>
                <w:bottom w:val="none" w:sz="0" w:space="0" w:color="auto"/>
                <w:right w:val="none" w:sz="0" w:space="0" w:color="auto"/>
              </w:divBdr>
            </w:div>
          </w:divsChild>
        </w:div>
        <w:div w:id="170337060">
          <w:marLeft w:val="0"/>
          <w:marRight w:val="0"/>
          <w:marTop w:val="0"/>
          <w:marBottom w:val="0"/>
          <w:divBdr>
            <w:top w:val="none" w:sz="0" w:space="0" w:color="auto"/>
            <w:left w:val="none" w:sz="0" w:space="0" w:color="auto"/>
            <w:bottom w:val="none" w:sz="0" w:space="0" w:color="auto"/>
            <w:right w:val="none" w:sz="0" w:space="0" w:color="auto"/>
          </w:divBdr>
          <w:divsChild>
            <w:div w:id="2053724216">
              <w:marLeft w:val="0"/>
              <w:marRight w:val="0"/>
              <w:marTop w:val="0"/>
              <w:marBottom w:val="0"/>
              <w:divBdr>
                <w:top w:val="none" w:sz="0" w:space="0" w:color="auto"/>
                <w:left w:val="none" w:sz="0" w:space="0" w:color="auto"/>
                <w:bottom w:val="none" w:sz="0" w:space="0" w:color="auto"/>
                <w:right w:val="none" w:sz="0" w:space="0" w:color="auto"/>
              </w:divBdr>
            </w:div>
          </w:divsChild>
        </w:div>
        <w:div w:id="179048424">
          <w:marLeft w:val="0"/>
          <w:marRight w:val="0"/>
          <w:marTop w:val="0"/>
          <w:marBottom w:val="0"/>
          <w:divBdr>
            <w:top w:val="none" w:sz="0" w:space="0" w:color="auto"/>
            <w:left w:val="none" w:sz="0" w:space="0" w:color="auto"/>
            <w:bottom w:val="none" w:sz="0" w:space="0" w:color="auto"/>
            <w:right w:val="none" w:sz="0" w:space="0" w:color="auto"/>
          </w:divBdr>
          <w:divsChild>
            <w:div w:id="768475470">
              <w:marLeft w:val="0"/>
              <w:marRight w:val="0"/>
              <w:marTop w:val="0"/>
              <w:marBottom w:val="0"/>
              <w:divBdr>
                <w:top w:val="none" w:sz="0" w:space="0" w:color="auto"/>
                <w:left w:val="none" w:sz="0" w:space="0" w:color="auto"/>
                <w:bottom w:val="none" w:sz="0" w:space="0" w:color="auto"/>
                <w:right w:val="none" w:sz="0" w:space="0" w:color="auto"/>
              </w:divBdr>
            </w:div>
          </w:divsChild>
        </w:div>
        <w:div w:id="185338899">
          <w:marLeft w:val="0"/>
          <w:marRight w:val="0"/>
          <w:marTop w:val="0"/>
          <w:marBottom w:val="0"/>
          <w:divBdr>
            <w:top w:val="none" w:sz="0" w:space="0" w:color="auto"/>
            <w:left w:val="none" w:sz="0" w:space="0" w:color="auto"/>
            <w:bottom w:val="none" w:sz="0" w:space="0" w:color="auto"/>
            <w:right w:val="none" w:sz="0" w:space="0" w:color="auto"/>
          </w:divBdr>
          <w:divsChild>
            <w:div w:id="1094208381">
              <w:marLeft w:val="0"/>
              <w:marRight w:val="0"/>
              <w:marTop w:val="0"/>
              <w:marBottom w:val="0"/>
              <w:divBdr>
                <w:top w:val="none" w:sz="0" w:space="0" w:color="auto"/>
                <w:left w:val="none" w:sz="0" w:space="0" w:color="auto"/>
                <w:bottom w:val="none" w:sz="0" w:space="0" w:color="auto"/>
                <w:right w:val="none" w:sz="0" w:space="0" w:color="auto"/>
              </w:divBdr>
            </w:div>
          </w:divsChild>
        </w:div>
        <w:div w:id="245766682">
          <w:marLeft w:val="0"/>
          <w:marRight w:val="0"/>
          <w:marTop w:val="0"/>
          <w:marBottom w:val="0"/>
          <w:divBdr>
            <w:top w:val="none" w:sz="0" w:space="0" w:color="auto"/>
            <w:left w:val="none" w:sz="0" w:space="0" w:color="auto"/>
            <w:bottom w:val="none" w:sz="0" w:space="0" w:color="auto"/>
            <w:right w:val="none" w:sz="0" w:space="0" w:color="auto"/>
          </w:divBdr>
          <w:divsChild>
            <w:div w:id="868181293">
              <w:marLeft w:val="0"/>
              <w:marRight w:val="0"/>
              <w:marTop w:val="0"/>
              <w:marBottom w:val="0"/>
              <w:divBdr>
                <w:top w:val="none" w:sz="0" w:space="0" w:color="auto"/>
                <w:left w:val="none" w:sz="0" w:space="0" w:color="auto"/>
                <w:bottom w:val="none" w:sz="0" w:space="0" w:color="auto"/>
                <w:right w:val="none" w:sz="0" w:space="0" w:color="auto"/>
              </w:divBdr>
            </w:div>
          </w:divsChild>
        </w:div>
        <w:div w:id="746073809">
          <w:marLeft w:val="0"/>
          <w:marRight w:val="0"/>
          <w:marTop w:val="0"/>
          <w:marBottom w:val="0"/>
          <w:divBdr>
            <w:top w:val="none" w:sz="0" w:space="0" w:color="auto"/>
            <w:left w:val="none" w:sz="0" w:space="0" w:color="auto"/>
            <w:bottom w:val="none" w:sz="0" w:space="0" w:color="auto"/>
            <w:right w:val="none" w:sz="0" w:space="0" w:color="auto"/>
          </w:divBdr>
          <w:divsChild>
            <w:div w:id="1701124956">
              <w:marLeft w:val="0"/>
              <w:marRight w:val="0"/>
              <w:marTop w:val="0"/>
              <w:marBottom w:val="0"/>
              <w:divBdr>
                <w:top w:val="none" w:sz="0" w:space="0" w:color="auto"/>
                <w:left w:val="none" w:sz="0" w:space="0" w:color="auto"/>
                <w:bottom w:val="none" w:sz="0" w:space="0" w:color="auto"/>
                <w:right w:val="none" w:sz="0" w:space="0" w:color="auto"/>
              </w:divBdr>
            </w:div>
          </w:divsChild>
        </w:div>
        <w:div w:id="789782616">
          <w:marLeft w:val="0"/>
          <w:marRight w:val="0"/>
          <w:marTop w:val="0"/>
          <w:marBottom w:val="0"/>
          <w:divBdr>
            <w:top w:val="none" w:sz="0" w:space="0" w:color="auto"/>
            <w:left w:val="none" w:sz="0" w:space="0" w:color="auto"/>
            <w:bottom w:val="none" w:sz="0" w:space="0" w:color="auto"/>
            <w:right w:val="none" w:sz="0" w:space="0" w:color="auto"/>
          </w:divBdr>
          <w:divsChild>
            <w:div w:id="1698701642">
              <w:marLeft w:val="0"/>
              <w:marRight w:val="0"/>
              <w:marTop w:val="0"/>
              <w:marBottom w:val="0"/>
              <w:divBdr>
                <w:top w:val="none" w:sz="0" w:space="0" w:color="auto"/>
                <w:left w:val="none" w:sz="0" w:space="0" w:color="auto"/>
                <w:bottom w:val="none" w:sz="0" w:space="0" w:color="auto"/>
                <w:right w:val="none" w:sz="0" w:space="0" w:color="auto"/>
              </w:divBdr>
            </w:div>
          </w:divsChild>
        </w:div>
        <w:div w:id="827791929">
          <w:marLeft w:val="0"/>
          <w:marRight w:val="0"/>
          <w:marTop w:val="0"/>
          <w:marBottom w:val="0"/>
          <w:divBdr>
            <w:top w:val="none" w:sz="0" w:space="0" w:color="auto"/>
            <w:left w:val="none" w:sz="0" w:space="0" w:color="auto"/>
            <w:bottom w:val="none" w:sz="0" w:space="0" w:color="auto"/>
            <w:right w:val="none" w:sz="0" w:space="0" w:color="auto"/>
          </w:divBdr>
          <w:divsChild>
            <w:div w:id="728383100">
              <w:marLeft w:val="0"/>
              <w:marRight w:val="0"/>
              <w:marTop w:val="0"/>
              <w:marBottom w:val="0"/>
              <w:divBdr>
                <w:top w:val="none" w:sz="0" w:space="0" w:color="auto"/>
                <w:left w:val="none" w:sz="0" w:space="0" w:color="auto"/>
                <w:bottom w:val="none" w:sz="0" w:space="0" w:color="auto"/>
                <w:right w:val="none" w:sz="0" w:space="0" w:color="auto"/>
              </w:divBdr>
            </w:div>
          </w:divsChild>
        </w:div>
        <w:div w:id="866672301">
          <w:marLeft w:val="0"/>
          <w:marRight w:val="0"/>
          <w:marTop w:val="0"/>
          <w:marBottom w:val="0"/>
          <w:divBdr>
            <w:top w:val="none" w:sz="0" w:space="0" w:color="auto"/>
            <w:left w:val="none" w:sz="0" w:space="0" w:color="auto"/>
            <w:bottom w:val="none" w:sz="0" w:space="0" w:color="auto"/>
            <w:right w:val="none" w:sz="0" w:space="0" w:color="auto"/>
          </w:divBdr>
          <w:divsChild>
            <w:div w:id="1367295623">
              <w:marLeft w:val="0"/>
              <w:marRight w:val="0"/>
              <w:marTop w:val="0"/>
              <w:marBottom w:val="0"/>
              <w:divBdr>
                <w:top w:val="none" w:sz="0" w:space="0" w:color="auto"/>
                <w:left w:val="none" w:sz="0" w:space="0" w:color="auto"/>
                <w:bottom w:val="none" w:sz="0" w:space="0" w:color="auto"/>
                <w:right w:val="none" w:sz="0" w:space="0" w:color="auto"/>
              </w:divBdr>
            </w:div>
          </w:divsChild>
        </w:div>
        <w:div w:id="1168911762">
          <w:marLeft w:val="0"/>
          <w:marRight w:val="0"/>
          <w:marTop w:val="0"/>
          <w:marBottom w:val="0"/>
          <w:divBdr>
            <w:top w:val="none" w:sz="0" w:space="0" w:color="auto"/>
            <w:left w:val="none" w:sz="0" w:space="0" w:color="auto"/>
            <w:bottom w:val="none" w:sz="0" w:space="0" w:color="auto"/>
            <w:right w:val="none" w:sz="0" w:space="0" w:color="auto"/>
          </w:divBdr>
          <w:divsChild>
            <w:div w:id="1027174483">
              <w:marLeft w:val="0"/>
              <w:marRight w:val="0"/>
              <w:marTop w:val="0"/>
              <w:marBottom w:val="0"/>
              <w:divBdr>
                <w:top w:val="none" w:sz="0" w:space="0" w:color="auto"/>
                <w:left w:val="none" w:sz="0" w:space="0" w:color="auto"/>
                <w:bottom w:val="none" w:sz="0" w:space="0" w:color="auto"/>
                <w:right w:val="none" w:sz="0" w:space="0" w:color="auto"/>
              </w:divBdr>
            </w:div>
          </w:divsChild>
        </w:div>
        <w:div w:id="1362629245">
          <w:marLeft w:val="0"/>
          <w:marRight w:val="0"/>
          <w:marTop w:val="0"/>
          <w:marBottom w:val="0"/>
          <w:divBdr>
            <w:top w:val="none" w:sz="0" w:space="0" w:color="auto"/>
            <w:left w:val="none" w:sz="0" w:space="0" w:color="auto"/>
            <w:bottom w:val="none" w:sz="0" w:space="0" w:color="auto"/>
            <w:right w:val="none" w:sz="0" w:space="0" w:color="auto"/>
          </w:divBdr>
          <w:divsChild>
            <w:div w:id="977220280">
              <w:marLeft w:val="0"/>
              <w:marRight w:val="0"/>
              <w:marTop w:val="0"/>
              <w:marBottom w:val="0"/>
              <w:divBdr>
                <w:top w:val="none" w:sz="0" w:space="0" w:color="auto"/>
                <w:left w:val="none" w:sz="0" w:space="0" w:color="auto"/>
                <w:bottom w:val="none" w:sz="0" w:space="0" w:color="auto"/>
                <w:right w:val="none" w:sz="0" w:space="0" w:color="auto"/>
              </w:divBdr>
            </w:div>
          </w:divsChild>
        </w:div>
        <w:div w:id="1427846418">
          <w:marLeft w:val="0"/>
          <w:marRight w:val="0"/>
          <w:marTop w:val="0"/>
          <w:marBottom w:val="0"/>
          <w:divBdr>
            <w:top w:val="none" w:sz="0" w:space="0" w:color="auto"/>
            <w:left w:val="none" w:sz="0" w:space="0" w:color="auto"/>
            <w:bottom w:val="none" w:sz="0" w:space="0" w:color="auto"/>
            <w:right w:val="none" w:sz="0" w:space="0" w:color="auto"/>
          </w:divBdr>
          <w:divsChild>
            <w:div w:id="783040792">
              <w:marLeft w:val="0"/>
              <w:marRight w:val="0"/>
              <w:marTop w:val="0"/>
              <w:marBottom w:val="0"/>
              <w:divBdr>
                <w:top w:val="none" w:sz="0" w:space="0" w:color="auto"/>
                <w:left w:val="none" w:sz="0" w:space="0" w:color="auto"/>
                <w:bottom w:val="none" w:sz="0" w:space="0" w:color="auto"/>
                <w:right w:val="none" w:sz="0" w:space="0" w:color="auto"/>
              </w:divBdr>
            </w:div>
          </w:divsChild>
        </w:div>
        <w:div w:id="1656643059">
          <w:marLeft w:val="0"/>
          <w:marRight w:val="0"/>
          <w:marTop w:val="0"/>
          <w:marBottom w:val="0"/>
          <w:divBdr>
            <w:top w:val="none" w:sz="0" w:space="0" w:color="auto"/>
            <w:left w:val="none" w:sz="0" w:space="0" w:color="auto"/>
            <w:bottom w:val="none" w:sz="0" w:space="0" w:color="auto"/>
            <w:right w:val="none" w:sz="0" w:space="0" w:color="auto"/>
          </w:divBdr>
          <w:divsChild>
            <w:div w:id="2016805717">
              <w:marLeft w:val="0"/>
              <w:marRight w:val="0"/>
              <w:marTop w:val="0"/>
              <w:marBottom w:val="0"/>
              <w:divBdr>
                <w:top w:val="none" w:sz="0" w:space="0" w:color="auto"/>
                <w:left w:val="none" w:sz="0" w:space="0" w:color="auto"/>
                <w:bottom w:val="none" w:sz="0" w:space="0" w:color="auto"/>
                <w:right w:val="none" w:sz="0" w:space="0" w:color="auto"/>
              </w:divBdr>
            </w:div>
          </w:divsChild>
        </w:div>
        <w:div w:id="1746955373">
          <w:marLeft w:val="0"/>
          <w:marRight w:val="0"/>
          <w:marTop w:val="0"/>
          <w:marBottom w:val="0"/>
          <w:divBdr>
            <w:top w:val="none" w:sz="0" w:space="0" w:color="auto"/>
            <w:left w:val="none" w:sz="0" w:space="0" w:color="auto"/>
            <w:bottom w:val="none" w:sz="0" w:space="0" w:color="auto"/>
            <w:right w:val="none" w:sz="0" w:space="0" w:color="auto"/>
          </w:divBdr>
          <w:divsChild>
            <w:div w:id="1049762056">
              <w:marLeft w:val="0"/>
              <w:marRight w:val="0"/>
              <w:marTop w:val="0"/>
              <w:marBottom w:val="0"/>
              <w:divBdr>
                <w:top w:val="none" w:sz="0" w:space="0" w:color="auto"/>
                <w:left w:val="none" w:sz="0" w:space="0" w:color="auto"/>
                <w:bottom w:val="none" w:sz="0" w:space="0" w:color="auto"/>
                <w:right w:val="none" w:sz="0" w:space="0" w:color="auto"/>
              </w:divBdr>
            </w:div>
          </w:divsChild>
        </w:div>
        <w:div w:id="1805587027">
          <w:marLeft w:val="0"/>
          <w:marRight w:val="0"/>
          <w:marTop w:val="0"/>
          <w:marBottom w:val="0"/>
          <w:divBdr>
            <w:top w:val="none" w:sz="0" w:space="0" w:color="auto"/>
            <w:left w:val="none" w:sz="0" w:space="0" w:color="auto"/>
            <w:bottom w:val="none" w:sz="0" w:space="0" w:color="auto"/>
            <w:right w:val="none" w:sz="0" w:space="0" w:color="auto"/>
          </w:divBdr>
          <w:divsChild>
            <w:div w:id="1613903962">
              <w:marLeft w:val="0"/>
              <w:marRight w:val="0"/>
              <w:marTop w:val="0"/>
              <w:marBottom w:val="0"/>
              <w:divBdr>
                <w:top w:val="none" w:sz="0" w:space="0" w:color="auto"/>
                <w:left w:val="none" w:sz="0" w:space="0" w:color="auto"/>
                <w:bottom w:val="none" w:sz="0" w:space="0" w:color="auto"/>
                <w:right w:val="none" w:sz="0" w:space="0" w:color="auto"/>
              </w:divBdr>
            </w:div>
          </w:divsChild>
        </w:div>
        <w:div w:id="1845630521">
          <w:marLeft w:val="0"/>
          <w:marRight w:val="0"/>
          <w:marTop w:val="0"/>
          <w:marBottom w:val="0"/>
          <w:divBdr>
            <w:top w:val="none" w:sz="0" w:space="0" w:color="auto"/>
            <w:left w:val="none" w:sz="0" w:space="0" w:color="auto"/>
            <w:bottom w:val="none" w:sz="0" w:space="0" w:color="auto"/>
            <w:right w:val="none" w:sz="0" w:space="0" w:color="auto"/>
          </w:divBdr>
          <w:divsChild>
            <w:div w:id="511190739">
              <w:marLeft w:val="0"/>
              <w:marRight w:val="0"/>
              <w:marTop w:val="0"/>
              <w:marBottom w:val="0"/>
              <w:divBdr>
                <w:top w:val="none" w:sz="0" w:space="0" w:color="auto"/>
                <w:left w:val="none" w:sz="0" w:space="0" w:color="auto"/>
                <w:bottom w:val="none" w:sz="0" w:space="0" w:color="auto"/>
                <w:right w:val="none" w:sz="0" w:space="0" w:color="auto"/>
              </w:divBdr>
            </w:div>
          </w:divsChild>
        </w:div>
        <w:div w:id="1893879309">
          <w:marLeft w:val="0"/>
          <w:marRight w:val="0"/>
          <w:marTop w:val="0"/>
          <w:marBottom w:val="0"/>
          <w:divBdr>
            <w:top w:val="none" w:sz="0" w:space="0" w:color="auto"/>
            <w:left w:val="none" w:sz="0" w:space="0" w:color="auto"/>
            <w:bottom w:val="none" w:sz="0" w:space="0" w:color="auto"/>
            <w:right w:val="none" w:sz="0" w:space="0" w:color="auto"/>
          </w:divBdr>
          <w:divsChild>
            <w:div w:id="679623297">
              <w:marLeft w:val="0"/>
              <w:marRight w:val="0"/>
              <w:marTop w:val="0"/>
              <w:marBottom w:val="0"/>
              <w:divBdr>
                <w:top w:val="none" w:sz="0" w:space="0" w:color="auto"/>
                <w:left w:val="none" w:sz="0" w:space="0" w:color="auto"/>
                <w:bottom w:val="none" w:sz="0" w:space="0" w:color="auto"/>
                <w:right w:val="none" w:sz="0" w:space="0" w:color="auto"/>
              </w:divBdr>
            </w:div>
          </w:divsChild>
        </w:div>
        <w:div w:id="1948727881">
          <w:marLeft w:val="0"/>
          <w:marRight w:val="0"/>
          <w:marTop w:val="0"/>
          <w:marBottom w:val="0"/>
          <w:divBdr>
            <w:top w:val="none" w:sz="0" w:space="0" w:color="auto"/>
            <w:left w:val="none" w:sz="0" w:space="0" w:color="auto"/>
            <w:bottom w:val="none" w:sz="0" w:space="0" w:color="auto"/>
            <w:right w:val="none" w:sz="0" w:space="0" w:color="auto"/>
          </w:divBdr>
          <w:divsChild>
            <w:div w:id="39211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1371">
      <w:bodyDiv w:val="1"/>
      <w:marLeft w:val="0"/>
      <w:marRight w:val="0"/>
      <w:marTop w:val="0"/>
      <w:marBottom w:val="0"/>
      <w:divBdr>
        <w:top w:val="none" w:sz="0" w:space="0" w:color="auto"/>
        <w:left w:val="none" w:sz="0" w:space="0" w:color="auto"/>
        <w:bottom w:val="none" w:sz="0" w:space="0" w:color="auto"/>
        <w:right w:val="none" w:sz="0" w:space="0" w:color="auto"/>
      </w:divBdr>
      <w:divsChild>
        <w:div w:id="444466455">
          <w:marLeft w:val="274"/>
          <w:marRight w:val="0"/>
          <w:marTop w:val="0"/>
          <w:marBottom w:val="0"/>
          <w:divBdr>
            <w:top w:val="none" w:sz="0" w:space="0" w:color="auto"/>
            <w:left w:val="none" w:sz="0" w:space="0" w:color="auto"/>
            <w:bottom w:val="none" w:sz="0" w:space="0" w:color="auto"/>
            <w:right w:val="none" w:sz="0" w:space="0" w:color="auto"/>
          </w:divBdr>
        </w:div>
        <w:div w:id="1005397517">
          <w:marLeft w:val="274"/>
          <w:marRight w:val="0"/>
          <w:marTop w:val="0"/>
          <w:marBottom w:val="0"/>
          <w:divBdr>
            <w:top w:val="none" w:sz="0" w:space="0" w:color="auto"/>
            <w:left w:val="none" w:sz="0" w:space="0" w:color="auto"/>
            <w:bottom w:val="none" w:sz="0" w:space="0" w:color="auto"/>
            <w:right w:val="none" w:sz="0" w:space="0" w:color="auto"/>
          </w:divBdr>
        </w:div>
        <w:div w:id="1120760769">
          <w:marLeft w:val="274"/>
          <w:marRight w:val="0"/>
          <w:marTop w:val="0"/>
          <w:marBottom w:val="0"/>
          <w:divBdr>
            <w:top w:val="none" w:sz="0" w:space="0" w:color="auto"/>
            <w:left w:val="none" w:sz="0" w:space="0" w:color="auto"/>
            <w:bottom w:val="none" w:sz="0" w:space="0" w:color="auto"/>
            <w:right w:val="none" w:sz="0" w:space="0" w:color="auto"/>
          </w:divBdr>
        </w:div>
        <w:div w:id="1185049656">
          <w:marLeft w:val="274"/>
          <w:marRight w:val="0"/>
          <w:marTop w:val="0"/>
          <w:marBottom w:val="0"/>
          <w:divBdr>
            <w:top w:val="none" w:sz="0" w:space="0" w:color="auto"/>
            <w:left w:val="none" w:sz="0" w:space="0" w:color="auto"/>
            <w:bottom w:val="none" w:sz="0" w:space="0" w:color="auto"/>
            <w:right w:val="none" w:sz="0" w:space="0" w:color="auto"/>
          </w:divBdr>
        </w:div>
        <w:div w:id="1693653301">
          <w:marLeft w:val="274"/>
          <w:marRight w:val="0"/>
          <w:marTop w:val="0"/>
          <w:marBottom w:val="0"/>
          <w:divBdr>
            <w:top w:val="none" w:sz="0" w:space="0" w:color="auto"/>
            <w:left w:val="none" w:sz="0" w:space="0" w:color="auto"/>
            <w:bottom w:val="none" w:sz="0" w:space="0" w:color="auto"/>
            <w:right w:val="none" w:sz="0" w:space="0" w:color="auto"/>
          </w:divBdr>
        </w:div>
        <w:div w:id="1838423374">
          <w:marLeft w:val="274"/>
          <w:marRight w:val="0"/>
          <w:marTop w:val="0"/>
          <w:marBottom w:val="0"/>
          <w:divBdr>
            <w:top w:val="none" w:sz="0" w:space="0" w:color="auto"/>
            <w:left w:val="none" w:sz="0" w:space="0" w:color="auto"/>
            <w:bottom w:val="none" w:sz="0" w:space="0" w:color="auto"/>
            <w:right w:val="none" w:sz="0" w:space="0" w:color="auto"/>
          </w:divBdr>
        </w:div>
        <w:div w:id="1882788744">
          <w:marLeft w:val="274"/>
          <w:marRight w:val="0"/>
          <w:marTop w:val="0"/>
          <w:marBottom w:val="0"/>
          <w:divBdr>
            <w:top w:val="none" w:sz="0" w:space="0" w:color="auto"/>
            <w:left w:val="none" w:sz="0" w:space="0" w:color="auto"/>
            <w:bottom w:val="none" w:sz="0" w:space="0" w:color="auto"/>
            <w:right w:val="none" w:sz="0" w:space="0" w:color="auto"/>
          </w:divBdr>
        </w:div>
        <w:div w:id="1979646903">
          <w:marLeft w:val="274"/>
          <w:marRight w:val="0"/>
          <w:marTop w:val="0"/>
          <w:marBottom w:val="0"/>
          <w:divBdr>
            <w:top w:val="none" w:sz="0" w:space="0" w:color="auto"/>
            <w:left w:val="none" w:sz="0" w:space="0" w:color="auto"/>
            <w:bottom w:val="none" w:sz="0" w:space="0" w:color="auto"/>
            <w:right w:val="none" w:sz="0" w:space="0" w:color="auto"/>
          </w:divBdr>
        </w:div>
        <w:div w:id="2048605144">
          <w:marLeft w:val="274"/>
          <w:marRight w:val="0"/>
          <w:marTop w:val="0"/>
          <w:marBottom w:val="0"/>
          <w:divBdr>
            <w:top w:val="none" w:sz="0" w:space="0" w:color="auto"/>
            <w:left w:val="none" w:sz="0" w:space="0" w:color="auto"/>
            <w:bottom w:val="none" w:sz="0" w:space="0" w:color="auto"/>
            <w:right w:val="none" w:sz="0" w:space="0" w:color="auto"/>
          </w:divBdr>
        </w:div>
        <w:div w:id="2057660677">
          <w:marLeft w:val="274"/>
          <w:marRight w:val="0"/>
          <w:marTop w:val="0"/>
          <w:marBottom w:val="0"/>
          <w:divBdr>
            <w:top w:val="none" w:sz="0" w:space="0" w:color="auto"/>
            <w:left w:val="none" w:sz="0" w:space="0" w:color="auto"/>
            <w:bottom w:val="none" w:sz="0" w:space="0" w:color="auto"/>
            <w:right w:val="none" w:sz="0" w:space="0" w:color="auto"/>
          </w:divBdr>
        </w:div>
        <w:div w:id="2136479990">
          <w:marLeft w:val="274"/>
          <w:marRight w:val="0"/>
          <w:marTop w:val="0"/>
          <w:marBottom w:val="0"/>
          <w:divBdr>
            <w:top w:val="none" w:sz="0" w:space="0" w:color="auto"/>
            <w:left w:val="none" w:sz="0" w:space="0" w:color="auto"/>
            <w:bottom w:val="none" w:sz="0" w:space="0" w:color="auto"/>
            <w:right w:val="none" w:sz="0" w:space="0" w:color="auto"/>
          </w:divBdr>
        </w:div>
      </w:divsChild>
    </w:div>
    <w:div w:id="205458040">
      <w:bodyDiv w:val="1"/>
      <w:marLeft w:val="0"/>
      <w:marRight w:val="0"/>
      <w:marTop w:val="0"/>
      <w:marBottom w:val="0"/>
      <w:divBdr>
        <w:top w:val="none" w:sz="0" w:space="0" w:color="auto"/>
        <w:left w:val="none" w:sz="0" w:space="0" w:color="auto"/>
        <w:bottom w:val="none" w:sz="0" w:space="0" w:color="auto"/>
        <w:right w:val="none" w:sz="0" w:space="0" w:color="auto"/>
      </w:divBdr>
    </w:div>
    <w:div w:id="219100675">
      <w:bodyDiv w:val="1"/>
      <w:marLeft w:val="0"/>
      <w:marRight w:val="0"/>
      <w:marTop w:val="0"/>
      <w:marBottom w:val="0"/>
      <w:divBdr>
        <w:top w:val="none" w:sz="0" w:space="0" w:color="auto"/>
        <w:left w:val="none" w:sz="0" w:space="0" w:color="auto"/>
        <w:bottom w:val="none" w:sz="0" w:space="0" w:color="auto"/>
        <w:right w:val="none" w:sz="0" w:space="0" w:color="auto"/>
      </w:divBdr>
    </w:div>
    <w:div w:id="221405187">
      <w:bodyDiv w:val="1"/>
      <w:marLeft w:val="0"/>
      <w:marRight w:val="0"/>
      <w:marTop w:val="0"/>
      <w:marBottom w:val="0"/>
      <w:divBdr>
        <w:top w:val="none" w:sz="0" w:space="0" w:color="auto"/>
        <w:left w:val="none" w:sz="0" w:space="0" w:color="auto"/>
        <w:bottom w:val="none" w:sz="0" w:space="0" w:color="auto"/>
        <w:right w:val="none" w:sz="0" w:space="0" w:color="auto"/>
      </w:divBdr>
    </w:div>
    <w:div w:id="249239916">
      <w:bodyDiv w:val="1"/>
      <w:marLeft w:val="0"/>
      <w:marRight w:val="0"/>
      <w:marTop w:val="0"/>
      <w:marBottom w:val="0"/>
      <w:divBdr>
        <w:top w:val="none" w:sz="0" w:space="0" w:color="auto"/>
        <w:left w:val="none" w:sz="0" w:space="0" w:color="auto"/>
        <w:bottom w:val="none" w:sz="0" w:space="0" w:color="auto"/>
        <w:right w:val="none" w:sz="0" w:space="0" w:color="auto"/>
      </w:divBdr>
    </w:div>
    <w:div w:id="251016024">
      <w:bodyDiv w:val="1"/>
      <w:marLeft w:val="0"/>
      <w:marRight w:val="0"/>
      <w:marTop w:val="0"/>
      <w:marBottom w:val="0"/>
      <w:divBdr>
        <w:top w:val="none" w:sz="0" w:space="0" w:color="auto"/>
        <w:left w:val="none" w:sz="0" w:space="0" w:color="auto"/>
        <w:bottom w:val="none" w:sz="0" w:space="0" w:color="auto"/>
        <w:right w:val="none" w:sz="0" w:space="0" w:color="auto"/>
      </w:divBdr>
      <w:divsChild>
        <w:div w:id="442262989">
          <w:marLeft w:val="360"/>
          <w:marRight w:val="0"/>
          <w:marTop w:val="200"/>
          <w:marBottom w:val="0"/>
          <w:divBdr>
            <w:top w:val="none" w:sz="0" w:space="0" w:color="auto"/>
            <w:left w:val="none" w:sz="0" w:space="0" w:color="auto"/>
            <w:bottom w:val="none" w:sz="0" w:space="0" w:color="auto"/>
            <w:right w:val="none" w:sz="0" w:space="0" w:color="auto"/>
          </w:divBdr>
        </w:div>
      </w:divsChild>
    </w:div>
    <w:div w:id="263996731">
      <w:bodyDiv w:val="1"/>
      <w:marLeft w:val="0"/>
      <w:marRight w:val="0"/>
      <w:marTop w:val="0"/>
      <w:marBottom w:val="0"/>
      <w:divBdr>
        <w:top w:val="none" w:sz="0" w:space="0" w:color="auto"/>
        <w:left w:val="none" w:sz="0" w:space="0" w:color="auto"/>
        <w:bottom w:val="none" w:sz="0" w:space="0" w:color="auto"/>
        <w:right w:val="none" w:sz="0" w:space="0" w:color="auto"/>
      </w:divBdr>
    </w:div>
    <w:div w:id="269708456">
      <w:bodyDiv w:val="1"/>
      <w:marLeft w:val="0"/>
      <w:marRight w:val="0"/>
      <w:marTop w:val="0"/>
      <w:marBottom w:val="0"/>
      <w:divBdr>
        <w:top w:val="none" w:sz="0" w:space="0" w:color="auto"/>
        <w:left w:val="none" w:sz="0" w:space="0" w:color="auto"/>
        <w:bottom w:val="none" w:sz="0" w:space="0" w:color="auto"/>
        <w:right w:val="none" w:sz="0" w:space="0" w:color="auto"/>
      </w:divBdr>
    </w:div>
    <w:div w:id="270817064">
      <w:bodyDiv w:val="1"/>
      <w:marLeft w:val="0"/>
      <w:marRight w:val="0"/>
      <w:marTop w:val="0"/>
      <w:marBottom w:val="0"/>
      <w:divBdr>
        <w:top w:val="none" w:sz="0" w:space="0" w:color="auto"/>
        <w:left w:val="none" w:sz="0" w:space="0" w:color="auto"/>
        <w:bottom w:val="none" w:sz="0" w:space="0" w:color="auto"/>
        <w:right w:val="none" w:sz="0" w:space="0" w:color="auto"/>
      </w:divBdr>
    </w:div>
    <w:div w:id="271519651">
      <w:bodyDiv w:val="1"/>
      <w:marLeft w:val="0"/>
      <w:marRight w:val="0"/>
      <w:marTop w:val="0"/>
      <w:marBottom w:val="0"/>
      <w:divBdr>
        <w:top w:val="none" w:sz="0" w:space="0" w:color="auto"/>
        <w:left w:val="none" w:sz="0" w:space="0" w:color="auto"/>
        <w:bottom w:val="none" w:sz="0" w:space="0" w:color="auto"/>
        <w:right w:val="none" w:sz="0" w:space="0" w:color="auto"/>
      </w:divBdr>
    </w:div>
    <w:div w:id="276765032">
      <w:bodyDiv w:val="1"/>
      <w:marLeft w:val="0"/>
      <w:marRight w:val="0"/>
      <w:marTop w:val="0"/>
      <w:marBottom w:val="0"/>
      <w:divBdr>
        <w:top w:val="none" w:sz="0" w:space="0" w:color="auto"/>
        <w:left w:val="none" w:sz="0" w:space="0" w:color="auto"/>
        <w:bottom w:val="none" w:sz="0" w:space="0" w:color="auto"/>
        <w:right w:val="none" w:sz="0" w:space="0" w:color="auto"/>
      </w:divBdr>
      <w:divsChild>
        <w:div w:id="170412551">
          <w:marLeft w:val="0"/>
          <w:marRight w:val="0"/>
          <w:marTop w:val="0"/>
          <w:marBottom w:val="0"/>
          <w:divBdr>
            <w:top w:val="none" w:sz="0" w:space="0" w:color="auto"/>
            <w:left w:val="none" w:sz="0" w:space="0" w:color="auto"/>
            <w:bottom w:val="none" w:sz="0" w:space="0" w:color="auto"/>
            <w:right w:val="none" w:sz="0" w:space="0" w:color="auto"/>
          </w:divBdr>
          <w:divsChild>
            <w:div w:id="896549062">
              <w:marLeft w:val="0"/>
              <w:marRight w:val="0"/>
              <w:marTop w:val="0"/>
              <w:marBottom w:val="0"/>
              <w:divBdr>
                <w:top w:val="none" w:sz="0" w:space="0" w:color="auto"/>
                <w:left w:val="none" w:sz="0" w:space="0" w:color="auto"/>
                <w:bottom w:val="none" w:sz="0" w:space="0" w:color="auto"/>
                <w:right w:val="none" w:sz="0" w:space="0" w:color="auto"/>
              </w:divBdr>
            </w:div>
          </w:divsChild>
        </w:div>
        <w:div w:id="260572392">
          <w:marLeft w:val="0"/>
          <w:marRight w:val="0"/>
          <w:marTop w:val="0"/>
          <w:marBottom w:val="0"/>
          <w:divBdr>
            <w:top w:val="none" w:sz="0" w:space="0" w:color="auto"/>
            <w:left w:val="none" w:sz="0" w:space="0" w:color="auto"/>
            <w:bottom w:val="none" w:sz="0" w:space="0" w:color="auto"/>
            <w:right w:val="none" w:sz="0" w:space="0" w:color="auto"/>
          </w:divBdr>
          <w:divsChild>
            <w:div w:id="2103211460">
              <w:marLeft w:val="0"/>
              <w:marRight w:val="0"/>
              <w:marTop w:val="0"/>
              <w:marBottom w:val="0"/>
              <w:divBdr>
                <w:top w:val="none" w:sz="0" w:space="0" w:color="auto"/>
                <w:left w:val="none" w:sz="0" w:space="0" w:color="auto"/>
                <w:bottom w:val="none" w:sz="0" w:space="0" w:color="auto"/>
                <w:right w:val="none" w:sz="0" w:space="0" w:color="auto"/>
              </w:divBdr>
            </w:div>
          </w:divsChild>
        </w:div>
        <w:div w:id="310328920">
          <w:marLeft w:val="0"/>
          <w:marRight w:val="0"/>
          <w:marTop w:val="0"/>
          <w:marBottom w:val="0"/>
          <w:divBdr>
            <w:top w:val="none" w:sz="0" w:space="0" w:color="auto"/>
            <w:left w:val="none" w:sz="0" w:space="0" w:color="auto"/>
            <w:bottom w:val="none" w:sz="0" w:space="0" w:color="auto"/>
            <w:right w:val="none" w:sz="0" w:space="0" w:color="auto"/>
          </w:divBdr>
          <w:divsChild>
            <w:div w:id="209850149">
              <w:marLeft w:val="0"/>
              <w:marRight w:val="0"/>
              <w:marTop w:val="0"/>
              <w:marBottom w:val="0"/>
              <w:divBdr>
                <w:top w:val="none" w:sz="0" w:space="0" w:color="auto"/>
                <w:left w:val="none" w:sz="0" w:space="0" w:color="auto"/>
                <w:bottom w:val="none" w:sz="0" w:space="0" w:color="auto"/>
                <w:right w:val="none" w:sz="0" w:space="0" w:color="auto"/>
              </w:divBdr>
            </w:div>
          </w:divsChild>
        </w:div>
        <w:div w:id="434176391">
          <w:marLeft w:val="0"/>
          <w:marRight w:val="0"/>
          <w:marTop w:val="0"/>
          <w:marBottom w:val="0"/>
          <w:divBdr>
            <w:top w:val="none" w:sz="0" w:space="0" w:color="auto"/>
            <w:left w:val="none" w:sz="0" w:space="0" w:color="auto"/>
            <w:bottom w:val="none" w:sz="0" w:space="0" w:color="auto"/>
            <w:right w:val="none" w:sz="0" w:space="0" w:color="auto"/>
          </w:divBdr>
          <w:divsChild>
            <w:div w:id="34939220">
              <w:marLeft w:val="0"/>
              <w:marRight w:val="0"/>
              <w:marTop w:val="0"/>
              <w:marBottom w:val="0"/>
              <w:divBdr>
                <w:top w:val="none" w:sz="0" w:space="0" w:color="auto"/>
                <w:left w:val="none" w:sz="0" w:space="0" w:color="auto"/>
                <w:bottom w:val="none" w:sz="0" w:space="0" w:color="auto"/>
                <w:right w:val="none" w:sz="0" w:space="0" w:color="auto"/>
              </w:divBdr>
            </w:div>
          </w:divsChild>
        </w:div>
        <w:div w:id="653022548">
          <w:marLeft w:val="0"/>
          <w:marRight w:val="0"/>
          <w:marTop w:val="0"/>
          <w:marBottom w:val="0"/>
          <w:divBdr>
            <w:top w:val="none" w:sz="0" w:space="0" w:color="auto"/>
            <w:left w:val="none" w:sz="0" w:space="0" w:color="auto"/>
            <w:bottom w:val="none" w:sz="0" w:space="0" w:color="auto"/>
            <w:right w:val="none" w:sz="0" w:space="0" w:color="auto"/>
          </w:divBdr>
          <w:divsChild>
            <w:div w:id="1261833131">
              <w:marLeft w:val="0"/>
              <w:marRight w:val="0"/>
              <w:marTop w:val="0"/>
              <w:marBottom w:val="0"/>
              <w:divBdr>
                <w:top w:val="none" w:sz="0" w:space="0" w:color="auto"/>
                <w:left w:val="none" w:sz="0" w:space="0" w:color="auto"/>
                <w:bottom w:val="none" w:sz="0" w:space="0" w:color="auto"/>
                <w:right w:val="none" w:sz="0" w:space="0" w:color="auto"/>
              </w:divBdr>
            </w:div>
          </w:divsChild>
        </w:div>
        <w:div w:id="665403141">
          <w:marLeft w:val="0"/>
          <w:marRight w:val="0"/>
          <w:marTop w:val="0"/>
          <w:marBottom w:val="0"/>
          <w:divBdr>
            <w:top w:val="none" w:sz="0" w:space="0" w:color="auto"/>
            <w:left w:val="none" w:sz="0" w:space="0" w:color="auto"/>
            <w:bottom w:val="none" w:sz="0" w:space="0" w:color="auto"/>
            <w:right w:val="none" w:sz="0" w:space="0" w:color="auto"/>
          </w:divBdr>
          <w:divsChild>
            <w:div w:id="613173918">
              <w:marLeft w:val="0"/>
              <w:marRight w:val="0"/>
              <w:marTop w:val="0"/>
              <w:marBottom w:val="0"/>
              <w:divBdr>
                <w:top w:val="none" w:sz="0" w:space="0" w:color="auto"/>
                <w:left w:val="none" w:sz="0" w:space="0" w:color="auto"/>
                <w:bottom w:val="none" w:sz="0" w:space="0" w:color="auto"/>
                <w:right w:val="none" w:sz="0" w:space="0" w:color="auto"/>
              </w:divBdr>
            </w:div>
          </w:divsChild>
        </w:div>
        <w:div w:id="749892384">
          <w:marLeft w:val="0"/>
          <w:marRight w:val="0"/>
          <w:marTop w:val="0"/>
          <w:marBottom w:val="0"/>
          <w:divBdr>
            <w:top w:val="none" w:sz="0" w:space="0" w:color="auto"/>
            <w:left w:val="none" w:sz="0" w:space="0" w:color="auto"/>
            <w:bottom w:val="none" w:sz="0" w:space="0" w:color="auto"/>
            <w:right w:val="none" w:sz="0" w:space="0" w:color="auto"/>
          </w:divBdr>
          <w:divsChild>
            <w:div w:id="1893420719">
              <w:marLeft w:val="0"/>
              <w:marRight w:val="0"/>
              <w:marTop w:val="0"/>
              <w:marBottom w:val="0"/>
              <w:divBdr>
                <w:top w:val="none" w:sz="0" w:space="0" w:color="auto"/>
                <w:left w:val="none" w:sz="0" w:space="0" w:color="auto"/>
                <w:bottom w:val="none" w:sz="0" w:space="0" w:color="auto"/>
                <w:right w:val="none" w:sz="0" w:space="0" w:color="auto"/>
              </w:divBdr>
            </w:div>
          </w:divsChild>
        </w:div>
        <w:div w:id="762606641">
          <w:marLeft w:val="0"/>
          <w:marRight w:val="0"/>
          <w:marTop w:val="0"/>
          <w:marBottom w:val="0"/>
          <w:divBdr>
            <w:top w:val="none" w:sz="0" w:space="0" w:color="auto"/>
            <w:left w:val="none" w:sz="0" w:space="0" w:color="auto"/>
            <w:bottom w:val="none" w:sz="0" w:space="0" w:color="auto"/>
            <w:right w:val="none" w:sz="0" w:space="0" w:color="auto"/>
          </w:divBdr>
          <w:divsChild>
            <w:div w:id="1685283314">
              <w:marLeft w:val="0"/>
              <w:marRight w:val="0"/>
              <w:marTop w:val="0"/>
              <w:marBottom w:val="0"/>
              <w:divBdr>
                <w:top w:val="none" w:sz="0" w:space="0" w:color="auto"/>
                <w:left w:val="none" w:sz="0" w:space="0" w:color="auto"/>
                <w:bottom w:val="none" w:sz="0" w:space="0" w:color="auto"/>
                <w:right w:val="none" w:sz="0" w:space="0" w:color="auto"/>
              </w:divBdr>
            </w:div>
          </w:divsChild>
        </w:div>
        <w:div w:id="845945917">
          <w:marLeft w:val="0"/>
          <w:marRight w:val="0"/>
          <w:marTop w:val="0"/>
          <w:marBottom w:val="0"/>
          <w:divBdr>
            <w:top w:val="none" w:sz="0" w:space="0" w:color="auto"/>
            <w:left w:val="none" w:sz="0" w:space="0" w:color="auto"/>
            <w:bottom w:val="none" w:sz="0" w:space="0" w:color="auto"/>
            <w:right w:val="none" w:sz="0" w:space="0" w:color="auto"/>
          </w:divBdr>
          <w:divsChild>
            <w:div w:id="1402210609">
              <w:marLeft w:val="0"/>
              <w:marRight w:val="0"/>
              <w:marTop w:val="0"/>
              <w:marBottom w:val="0"/>
              <w:divBdr>
                <w:top w:val="none" w:sz="0" w:space="0" w:color="auto"/>
                <w:left w:val="none" w:sz="0" w:space="0" w:color="auto"/>
                <w:bottom w:val="none" w:sz="0" w:space="0" w:color="auto"/>
                <w:right w:val="none" w:sz="0" w:space="0" w:color="auto"/>
              </w:divBdr>
            </w:div>
          </w:divsChild>
        </w:div>
        <w:div w:id="1011832772">
          <w:marLeft w:val="0"/>
          <w:marRight w:val="0"/>
          <w:marTop w:val="0"/>
          <w:marBottom w:val="0"/>
          <w:divBdr>
            <w:top w:val="none" w:sz="0" w:space="0" w:color="auto"/>
            <w:left w:val="none" w:sz="0" w:space="0" w:color="auto"/>
            <w:bottom w:val="none" w:sz="0" w:space="0" w:color="auto"/>
            <w:right w:val="none" w:sz="0" w:space="0" w:color="auto"/>
          </w:divBdr>
          <w:divsChild>
            <w:div w:id="833767053">
              <w:marLeft w:val="0"/>
              <w:marRight w:val="0"/>
              <w:marTop w:val="0"/>
              <w:marBottom w:val="0"/>
              <w:divBdr>
                <w:top w:val="none" w:sz="0" w:space="0" w:color="auto"/>
                <w:left w:val="none" w:sz="0" w:space="0" w:color="auto"/>
                <w:bottom w:val="none" w:sz="0" w:space="0" w:color="auto"/>
                <w:right w:val="none" w:sz="0" w:space="0" w:color="auto"/>
              </w:divBdr>
            </w:div>
          </w:divsChild>
        </w:div>
        <w:div w:id="1215236470">
          <w:marLeft w:val="0"/>
          <w:marRight w:val="0"/>
          <w:marTop w:val="0"/>
          <w:marBottom w:val="0"/>
          <w:divBdr>
            <w:top w:val="none" w:sz="0" w:space="0" w:color="auto"/>
            <w:left w:val="none" w:sz="0" w:space="0" w:color="auto"/>
            <w:bottom w:val="none" w:sz="0" w:space="0" w:color="auto"/>
            <w:right w:val="none" w:sz="0" w:space="0" w:color="auto"/>
          </w:divBdr>
          <w:divsChild>
            <w:div w:id="1057358593">
              <w:marLeft w:val="0"/>
              <w:marRight w:val="0"/>
              <w:marTop w:val="0"/>
              <w:marBottom w:val="0"/>
              <w:divBdr>
                <w:top w:val="none" w:sz="0" w:space="0" w:color="auto"/>
                <w:left w:val="none" w:sz="0" w:space="0" w:color="auto"/>
                <w:bottom w:val="none" w:sz="0" w:space="0" w:color="auto"/>
                <w:right w:val="none" w:sz="0" w:space="0" w:color="auto"/>
              </w:divBdr>
            </w:div>
          </w:divsChild>
        </w:div>
        <w:div w:id="1457528837">
          <w:marLeft w:val="0"/>
          <w:marRight w:val="0"/>
          <w:marTop w:val="0"/>
          <w:marBottom w:val="0"/>
          <w:divBdr>
            <w:top w:val="none" w:sz="0" w:space="0" w:color="auto"/>
            <w:left w:val="none" w:sz="0" w:space="0" w:color="auto"/>
            <w:bottom w:val="none" w:sz="0" w:space="0" w:color="auto"/>
            <w:right w:val="none" w:sz="0" w:space="0" w:color="auto"/>
          </w:divBdr>
          <w:divsChild>
            <w:div w:id="255794167">
              <w:marLeft w:val="0"/>
              <w:marRight w:val="0"/>
              <w:marTop w:val="0"/>
              <w:marBottom w:val="0"/>
              <w:divBdr>
                <w:top w:val="none" w:sz="0" w:space="0" w:color="auto"/>
                <w:left w:val="none" w:sz="0" w:space="0" w:color="auto"/>
                <w:bottom w:val="none" w:sz="0" w:space="0" w:color="auto"/>
                <w:right w:val="none" w:sz="0" w:space="0" w:color="auto"/>
              </w:divBdr>
            </w:div>
          </w:divsChild>
        </w:div>
        <w:div w:id="1497722300">
          <w:marLeft w:val="0"/>
          <w:marRight w:val="0"/>
          <w:marTop w:val="0"/>
          <w:marBottom w:val="0"/>
          <w:divBdr>
            <w:top w:val="none" w:sz="0" w:space="0" w:color="auto"/>
            <w:left w:val="none" w:sz="0" w:space="0" w:color="auto"/>
            <w:bottom w:val="none" w:sz="0" w:space="0" w:color="auto"/>
            <w:right w:val="none" w:sz="0" w:space="0" w:color="auto"/>
          </w:divBdr>
          <w:divsChild>
            <w:div w:id="642201416">
              <w:marLeft w:val="0"/>
              <w:marRight w:val="0"/>
              <w:marTop w:val="0"/>
              <w:marBottom w:val="0"/>
              <w:divBdr>
                <w:top w:val="none" w:sz="0" w:space="0" w:color="auto"/>
                <w:left w:val="none" w:sz="0" w:space="0" w:color="auto"/>
                <w:bottom w:val="none" w:sz="0" w:space="0" w:color="auto"/>
                <w:right w:val="none" w:sz="0" w:space="0" w:color="auto"/>
              </w:divBdr>
            </w:div>
          </w:divsChild>
        </w:div>
        <w:div w:id="1578662737">
          <w:marLeft w:val="0"/>
          <w:marRight w:val="0"/>
          <w:marTop w:val="0"/>
          <w:marBottom w:val="0"/>
          <w:divBdr>
            <w:top w:val="none" w:sz="0" w:space="0" w:color="auto"/>
            <w:left w:val="none" w:sz="0" w:space="0" w:color="auto"/>
            <w:bottom w:val="none" w:sz="0" w:space="0" w:color="auto"/>
            <w:right w:val="none" w:sz="0" w:space="0" w:color="auto"/>
          </w:divBdr>
          <w:divsChild>
            <w:div w:id="32268547">
              <w:marLeft w:val="0"/>
              <w:marRight w:val="0"/>
              <w:marTop w:val="0"/>
              <w:marBottom w:val="0"/>
              <w:divBdr>
                <w:top w:val="none" w:sz="0" w:space="0" w:color="auto"/>
                <w:left w:val="none" w:sz="0" w:space="0" w:color="auto"/>
                <w:bottom w:val="none" w:sz="0" w:space="0" w:color="auto"/>
                <w:right w:val="none" w:sz="0" w:space="0" w:color="auto"/>
              </w:divBdr>
            </w:div>
          </w:divsChild>
        </w:div>
        <w:div w:id="1827823545">
          <w:marLeft w:val="0"/>
          <w:marRight w:val="0"/>
          <w:marTop w:val="0"/>
          <w:marBottom w:val="0"/>
          <w:divBdr>
            <w:top w:val="none" w:sz="0" w:space="0" w:color="auto"/>
            <w:left w:val="none" w:sz="0" w:space="0" w:color="auto"/>
            <w:bottom w:val="none" w:sz="0" w:space="0" w:color="auto"/>
            <w:right w:val="none" w:sz="0" w:space="0" w:color="auto"/>
          </w:divBdr>
          <w:divsChild>
            <w:div w:id="1231769365">
              <w:marLeft w:val="0"/>
              <w:marRight w:val="0"/>
              <w:marTop w:val="0"/>
              <w:marBottom w:val="0"/>
              <w:divBdr>
                <w:top w:val="none" w:sz="0" w:space="0" w:color="auto"/>
                <w:left w:val="none" w:sz="0" w:space="0" w:color="auto"/>
                <w:bottom w:val="none" w:sz="0" w:space="0" w:color="auto"/>
                <w:right w:val="none" w:sz="0" w:space="0" w:color="auto"/>
              </w:divBdr>
            </w:div>
          </w:divsChild>
        </w:div>
        <w:div w:id="1911884055">
          <w:marLeft w:val="0"/>
          <w:marRight w:val="0"/>
          <w:marTop w:val="0"/>
          <w:marBottom w:val="0"/>
          <w:divBdr>
            <w:top w:val="none" w:sz="0" w:space="0" w:color="auto"/>
            <w:left w:val="none" w:sz="0" w:space="0" w:color="auto"/>
            <w:bottom w:val="none" w:sz="0" w:space="0" w:color="auto"/>
            <w:right w:val="none" w:sz="0" w:space="0" w:color="auto"/>
          </w:divBdr>
          <w:divsChild>
            <w:div w:id="978730311">
              <w:marLeft w:val="0"/>
              <w:marRight w:val="0"/>
              <w:marTop w:val="0"/>
              <w:marBottom w:val="0"/>
              <w:divBdr>
                <w:top w:val="none" w:sz="0" w:space="0" w:color="auto"/>
                <w:left w:val="none" w:sz="0" w:space="0" w:color="auto"/>
                <w:bottom w:val="none" w:sz="0" w:space="0" w:color="auto"/>
                <w:right w:val="none" w:sz="0" w:space="0" w:color="auto"/>
              </w:divBdr>
            </w:div>
          </w:divsChild>
        </w:div>
        <w:div w:id="1942906409">
          <w:marLeft w:val="0"/>
          <w:marRight w:val="0"/>
          <w:marTop w:val="0"/>
          <w:marBottom w:val="0"/>
          <w:divBdr>
            <w:top w:val="none" w:sz="0" w:space="0" w:color="auto"/>
            <w:left w:val="none" w:sz="0" w:space="0" w:color="auto"/>
            <w:bottom w:val="none" w:sz="0" w:space="0" w:color="auto"/>
            <w:right w:val="none" w:sz="0" w:space="0" w:color="auto"/>
          </w:divBdr>
          <w:divsChild>
            <w:div w:id="308171441">
              <w:marLeft w:val="0"/>
              <w:marRight w:val="0"/>
              <w:marTop w:val="0"/>
              <w:marBottom w:val="0"/>
              <w:divBdr>
                <w:top w:val="none" w:sz="0" w:space="0" w:color="auto"/>
                <w:left w:val="none" w:sz="0" w:space="0" w:color="auto"/>
                <w:bottom w:val="none" w:sz="0" w:space="0" w:color="auto"/>
                <w:right w:val="none" w:sz="0" w:space="0" w:color="auto"/>
              </w:divBdr>
            </w:div>
          </w:divsChild>
        </w:div>
        <w:div w:id="1965962442">
          <w:marLeft w:val="0"/>
          <w:marRight w:val="0"/>
          <w:marTop w:val="0"/>
          <w:marBottom w:val="0"/>
          <w:divBdr>
            <w:top w:val="none" w:sz="0" w:space="0" w:color="auto"/>
            <w:left w:val="none" w:sz="0" w:space="0" w:color="auto"/>
            <w:bottom w:val="none" w:sz="0" w:space="0" w:color="auto"/>
            <w:right w:val="none" w:sz="0" w:space="0" w:color="auto"/>
          </w:divBdr>
          <w:divsChild>
            <w:div w:id="39211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15377">
      <w:bodyDiv w:val="1"/>
      <w:marLeft w:val="0"/>
      <w:marRight w:val="0"/>
      <w:marTop w:val="0"/>
      <w:marBottom w:val="0"/>
      <w:divBdr>
        <w:top w:val="none" w:sz="0" w:space="0" w:color="auto"/>
        <w:left w:val="none" w:sz="0" w:space="0" w:color="auto"/>
        <w:bottom w:val="none" w:sz="0" w:space="0" w:color="auto"/>
        <w:right w:val="none" w:sz="0" w:space="0" w:color="auto"/>
      </w:divBdr>
    </w:div>
    <w:div w:id="303855597">
      <w:bodyDiv w:val="1"/>
      <w:marLeft w:val="0"/>
      <w:marRight w:val="0"/>
      <w:marTop w:val="0"/>
      <w:marBottom w:val="0"/>
      <w:divBdr>
        <w:top w:val="none" w:sz="0" w:space="0" w:color="auto"/>
        <w:left w:val="none" w:sz="0" w:space="0" w:color="auto"/>
        <w:bottom w:val="none" w:sz="0" w:space="0" w:color="auto"/>
        <w:right w:val="none" w:sz="0" w:space="0" w:color="auto"/>
      </w:divBdr>
    </w:div>
    <w:div w:id="365495938">
      <w:bodyDiv w:val="1"/>
      <w:marLeft w:val="0"/>
      <w:marRight w:val="0"/>
      <w:marTop w:val="0"/>
      <w:marBottom w:val="0"/>
      <w:divBdr>
        <w:top w:val="none" w:sz="0" w:space="0" w:color="auto"/>
        <w:left w:val="none" w:sz="0" w:space="0" w:color="auto"/>
        <w:bottom w:val="none" w:sz="0" w:space="0" w:color="auto"/>
        <w:right w:val="none" w:sz="0" w:space="0" w:color="auto"/>
      </w:divBdr>
    </w:div>
    <w:div w:id="383482665">
      <w:bodyDiv w:val="1"/>
      <w:marLeft w:val="0"/>
      <w:marRight w:val="0"/>
      <w:marTop w:val="0"/>
      <w:marBottom w:val="0"/>
      <w:divBdr>
        <w:top w:val="none" w:sz="0" w:space="0" w:color="auto"/>
        <w:left w:val="none" w:sz="0" w:space="0" w:color="auto"/>
        <w:bottom w:val="none" w:sz="0" w:space="0" w:color="auto"/>
        <w:right w:val="none" w:sz="0" w:space="0" w:color="auto"/>
      </w:divBdr>
      <w:divsChild>
        <w:div w:id="213740905">
          <w:marLeft w:val="274"/>
          <w:marRight w:val="0"/>
          <w:marTop w:val="0"/>
          <w:marBottom w:val="0"/>
          <w:divBdr>
            <w:top w:val="none" w:sz="0" w:space="0" w:color="auto"/>
            <w:left w:val="none" w:sz="0" w:space="0" w:color="auto"/>
            <w:bottom w:val="none" w:sz="0" w:space="0" w:color="auto"/>
            <w:right w:val="none" w:sz="0" w:space="0" w:color="auto"/>
          </w:divBdr>
        </w:div>
        <w:div w:id="567886351">
          <w:marLeft w:val="274"/>
          <w:marRight w:val="0"/>
          <w:marTop w:val="0"/>
          <w:marBottom w:val="0"/>
          <w:divBdr>
            <w:top w:val="none" w:sz="0" w:space="0" w:color="auto"/>
            <w:left w:val="none" w:sz="0" w:space="0" w:color="auto"/>
            <w:bottom w:val="none" w:sz="0" w:space="0" w:color="auto"/>
            <w:right w:val="none" w:sz="0" w:space="0" w:color="auto"/>
          </w:divBdr>
        </w:div>
        <w:div w:id="600601876">
          <w:marLeft w:val="274"/>
          <w:marRight w:val="0"/>
          <w:marTop w:val="0"/>
          <w:marBottom w:val="0"/>
          <w:divBdr>
            <w:top w:val="none" w:sz="0" w:space="0" w:color="auto"/>
            <w:left w:val="none" w:sz="0" w:space="0" w:color="auto"/>
            <w:bottom w:val="none" w:sz="0" w:space="0" w:color="auto"/>
            <w:right w:val="none" w:sz="0" w:space="0" w:color="auto"/>
          </w:divBdr>
        </w:div>
        <w:div w:id="1109664121">
          <w:marLeft w:val="274"/>
          <w:marRight w:val="0"/>
          <w:marTop w:val="0"/>
          <w:marBottom w:val="0"/>
          <w:divBdr>
            <w:top w:val="none" w:sz="0" w:space="0" w:color="auto"/>
            <w:left w:val="none" w:sz="0" w:space="0" w:color="auto"/>
            <w:bottom w:val="none" w:sz="0" w:space="0" w:color="auto"/>
            <w:right w:val="none" w:sz="0" w:space="0" w:color="auto"/>
          </w:divBdr>
        </w:div>
        <w:div w:id="1383823964">
          <w:marLeft w:val="274"/>
          <w:marRight w:val="0"/>
          <w:marTop w:val="0"/>
          <w:marBottom w:val="0"/>
          <w:divBdr>
            <w:top w:val="none" w:sz="0" w:space="0" w:color="auto"/>
            <w:left w:val="none" w:sz="0" w:space="0" w:color="auto"/>
            <w:bottom w:val="none" w:sz="0" w:space="0" w:color="auto"/>
            <w:right w:val="none" w:sz="0" w:space="0" w:color="auto"/>
          </w:divBdr>
        </w:div>
        <w:div w:id="1451825281">
          <w:marLeft w:val="274"/>
          <w:marRight w:val="0"/>
          <w:marTop w:val="0"/>
          <w:marBottom w:val="0"/>
          <w:divBdr>
            <w:top w:val="none" w:sz="0" w:space="0" w:color="auto"/>
            <w:left w:val="none" w:sz="0" w:space="0" w:color="auto"/>
            <w:bottom w:val="none" w:sz="0" w:space="0" w:color="auto"/>
            <w:right w:val="none" w:sz="0" w:space="0" w:color="auto"/>
          </w:divBdr>
        </w:div>
        <w:div w:id="2013293626">
          <w:marLeft w:val="274"/>
          <w:marRight w:val="0"/>
          <w:marTop w:val="0"/>
          <w:marBottom w:val="0"/>
          <w:divBdr>
            <w:top w:val="none" w:sz="0" w:space="0" w:color="auto"/>
            <w:left w:val="none" w:sz="0" w:space="0" w:color="auto"/>
            <w:bottom w:val="none" w:sz="0" w:space="0" w:color="auto"/>
            <w:right w:val="none" w:sz="0" w:space="0" w:color="auto"/>
          </w:divBdr>
        </w:div>
      </w:divsChild>
    </w:div>
    <w:div w:id="389884924">
      <w:bodyDiv w:val="1"/>
      <w:marLeft w:val="0"/>
      <w:marRight w:val="0"/>
      <w:marTop w:val="0"/>
      <w:marBottom w:val="0"/>
      <w:divBdr>
        <w:top w:val="none" w:sz="0" w:space="0" w:color="auto"/>
        <w:left w:val="none" w:sz="0" w:space="0" w:color="auto"/>
        <w:bottom w:val="none" w:sz="0" w:space="0" w:color="auto"/>
        <w:right w:val="none" w:sz="0" w:space="0" w:color="auto"/>
      </w:divBdr>
      <w:divsChild>
        <w:div w:id="92240472">
          <w:marLeft w:val="274"/>
          <w:marRight w:val="0"/>
          <w:marTop w:val="58"/>
          <w:marBottom w:val="0"/>
          <w:divBdr>
            <w:top w:val="none" w:sz="0" w:space="0" w:color="auto"/>
            <w:left w:val="none" w:sz="0" w:space="0" w:color="auto"/>
            <w:bottom w:val="none" w:sz="0" w:space="0" w:color="auto"/>
            <w:right w:val="none" w:sz="0" w:space="0" w:color="auto"/>
          </w:divBdr>
        </w:div>
        <w:div w:id="101194265">
          <w:marLeft w:val="274"/>
          <w:marRight w:val="0"/>
          <w:marTop w:val="58"/>
          <w:marBottom w:val="0"/>
          <w:divBdr>
            <w:top w:val="none" w:sz="0" w:space="0" w:color="auto"/>
            <w:left w:val="none" w:sz="0" w:space="0" w:color="auto"/>
            <w:bottom w:val="none" w:sz="0" w:space="0" w:color="auto"/>
            <w:right w:val="none" w:sz="0" w:space="0" w:color="auto"/>
          </w:divBdr>
        </w:div>
        <w:div w:id="108011419">
          <w:marLeft w:val="274"/>
          <w:marRight w:val="0"/>
          <w:marTop w:val="58"/>
          <w:marBottom w:val="0"/>
          <w:divBdr>
            <w:top w:val="none" w:sz="0" w:space="0" w:color="auto"/>
            <w:left w:val="none" w:sz="0" w:space="0" w:color="auto"/>
            <w:bottom w:val="none" w:sz="0" w:space="0" w:color="auto"/>
            <w:right w:val="none" w:sz="0" w:space="0" w:color="auto"/>
          </w:divBdr>
        </w:div>
        <w:div w:id="322203670">
          <w:marLeft w:val="274"/>
          <w:marRight w:val="0"/>
          <w:marTop w:val="58"/>
          <w:marBottom w:val="0"/>
          <w:divBdr>
            <w:top w:val="none" w:sz="0" w:space="0" w:color="auto"/>
            <w:left w:val="none" w:sz="0" w:space="0" w:color="auto"/>
            <w:bottom w:val="none" w:sz="0" w:space="0" w:color="auto"/>
            <w:right w:val="none" w:sz="0" w:space="0" w:color="auto"/>
          </w:divBdr>
        </w:div>
        <w:div w:id="1974826133">
          <w:marLeft w:val="274"/>
          <w:marRight w:val="0"/>
          <w:marTop w:val="58"/>
          <w:marBottom w:val="0"/>
          <w:divBdr>
            <w:top w:val="none" w:sz="0" w:space="0" w:color="auto"/>
            <w:left w:val="none" w:sz="0" w:space="0" w:color="auto"/>
            <w:bottom w:val="none" w:sz="0" w:space="0" w:color="auto"/>
            <w:right w:val="none" w:sz="0" w:space="0" w:color="auto"/>
          </w:divBdr>
        </w:div>
        <w:div w:id="2053768130">
          <w:marLeft w:val="274"/>
          <w:marRight w:val="0"/>
          <w:marTop w:val="58"/>
          <w:marBottom w:val="0"/>
          <w:divBdr>
            <w:top w:val="none" w:sz="0" w:space="0" w:color="auto"/>
            <w:left w:val="none" w:sz="0" w:space="0" w:color="auto"/>
            <w:bottom w:val="none" w:sz="0" w:space="0" w:color="auto"/>
            <w:right w:val="none" w:sz="0" w:space="0" w:color="auto"/>
          </w:divBdr>
        </w:div>
      </w:divsChild>
    </w:div>
    <w:div w:id="390349659">
      <w:bodyDiv w:val="1"/>
      <w:marLeft w:val="0"/>
      <w:marRight w:val="0"/>
      <w:marTop w:val="0"/>
      <w:marBottom w:val="0"/>
      <w:divBdr>
        <w:top w:val="none" w:sz="0" w:space="0" w:color="auto"/>
        <w:left w:val="none" w:sz="0" w:space="0" w:color="auto"/>
        <w:bottom w:val="none" w:sz="0" w:space="0" w:color="auto"/>
        <w:right w:val="none" w:sz="0" w:space="0" w:color="auto"/>
      </w:divBdr>
      <w:divsChild>
        <w:div w:id="487064830">
          <w:marLeft w:val="835"/>
          <w:marRight w:val="0"/>
          <w:marTop w:val="200"/>
          <w:marBottom w:val="0"/>
          <w:divBdr>
            <w:top w:val="none" w:sz="0" w:space="0" w:color="auto"/>
            <w:left w:val="none" w:sz="0" w:space="0" w:color="auto"/>
            <w:bottom w:val="none" w:sz="0" w:space="0" w:color="auto"/>
            <w:right w:val="none" w:sz="0" w:space="0" w:color="auto"/>
          </w:divBdr>
        </w:div>
        <w:div w:id="768819533">
          <w:marLeft w:val="835"/>
          <w:marRight w:val="0"/>
          <w:marTop w:val="200"/>
          <w:marBottom w:val="0"/>
          <w:divBdr>
            <w:top w:val="none" w:sz="0" w:space="0" w:color="auto"/>
            <w:left w:val="none" w:sz="0" w:space="0" w:color="auto"/>
            <w:bottom w:val="none" w:sz="0" w:space="0" w:color="auto"/>
            <w:right w:val="none" w:sz="0" w:space="0" w:color="auto"/>
          </w:divBdr>
        </w:div>
        <w:div w:id="789858520">
          <w:marLeft w:val="835"/>
          <w:marRight w:val="0"/>
          <w:marTop w:val="200"/>
          <w:marBottom w:val="0"/>
          <w:divBdr>
            <w:top w:val="none" w:sz="0" w:space="0" w:color="auto"/>
            <w:left w:val="none" w:sz="0" w:space="0" w:color="auto"/>
            <w:bottom w:val="none" w:sz="0" w:space="0" w:color="auto"/>
            <w:right w:val="none" w:sz="0" w:space="0" w:color="auto"/>
          </w:divBdr>
        </w:div>
        <w:div w:id="883757846">
          <w:marLeft w:val="835"/>
          <w:marRight w:val="0"/>
          <w:marTop w:val="200"/>
          <w:marBottom w:val="0"/>
          <w:divBdr>
            <w:top w:val="none" w:sz="0" w:space="0" w:color="auto"/>
            <w:left w:val="none" w:sz="0" w:space="0" w:color="auto"/>
            <w:bottom w:val="none" w:sz="0" w:space="0" w:color="auto"/>
            <w:right w:val="none" w:sz="0" w:space="0" w:color="auto"/>
          </w:divBdr>
        </w:div>
        <w:div w:id="993411303">
          <w:marLeft w:val="835"/>
          <w:marRight w:val="0"/>
          <w:marTop w:val="200"/>
          <w:marBottom w:val="0"/>
          <w:divBdr>
            <w:top w:val="none" w:sz="0" w:space="0" w:color="auto"/>
            <w:left w:val="none" w:sz="0" w:space="0" w:color="auto"/>
            <w:bottom w:val="none" w:sz="0" w:space="0" w:color="auto"/>
            <w:right w:val="none" w:sz="0" w:space="0" w:color="auto"/>
          </w:divBdr>
        </w:div>
        <w:div w:id="1361856094">
          <w:marLeft w:val="835"/>
          <w:marRight w:val="0"/>
          <w:marTop w:val="200"/>
          <w:marBottom w:val="0"/>
          <w:divBdr>
            <w:top w:val="none" w:sz="0" w:space="0" w:color="auto"/>
            <w:left w:val="none" w:sz="0" w:space="0" w:color="auto"/>
            <w:bottom w:val="none" w:sz="0" w:space="0" w:color="auto"/>
            <w:right w:val="none" w:sz="0" w:space="0" w:color="auto"/>
          </w:divBdr>
        </w:div>
        <w:div w:id="1889493406">
          <w:marLeft w:val="835"/>
          <w:marRight w:val="0"/>
          <w:marTop w:val="200"/>
          <w:marBottom w:val="0"/>
          <w:divBdr>
            <w:top w:val="none" w:sz="0" w:space="0" w:color="auto"/>
            <w:left w:val="none" w:sz="0" w:space="0" w:color="auto"/>
            <w:bottom w:val="none" w:sz="0" w:space="0" w:color="auto"/>
            <w:right w:val="none" w:sz="0" w:space="0" w:color="auto"/>
          </w:divBdr>
        </w:div>
      </w:divsChild>
    </w:div>
    <w:div w:id="397091180">
      <w:bodyDiv w:val="1"/>
      <w:marLeft w:val="0"/>
      <w:marRight w:val="0"/>
      <w:marTop w:val="0"/>
      <w:marBottom w:val="0"/>
      <w:divBdr>
        <w:top w:val="none" w:sz="0" w:space="0" w:color="auto"/>
        <w:left w:val="none" w:sz="0" w:space="0" w:color="auto"/>
        <w:bottom w:val="none" w:sz="0" w:space="0" w:color="auto"/>
        <w:right w:val="none" w:sz="0" w:space="0" w:color="auto"/>
      </w:divBdr>
    </w:div>
    <w:div w:id="409739353">
      <w:bodyDiv w:val="1"/>
      <w:marLeft w:val="0"/>
      <w:marRight w:val="0"/>
      <w:marTop w:val="0"/>
      <w:marBottom w:val="0"/>
      <w:divBdr>
        <w:top w:val="none" w:sz="0" w:space="0" w:color="auto"/>
        <w:left w:val="none" w:sz="0" w:space="0" w:color="auto"/>
        <w:bottom w:val="none" w:sz="0" w:space="0" w:color="auto"/>
        <w:right w:val="none" w:sz="0" w:space="0" w:color="auto"/>
      </w:divBdr>
      <w:divsChild>
        <w:div w:id="2043363827">
          <w:marLeft w:val="274"/>
          <w:marRight w:val="0"/>
          <w:marTop w:val="58"/>
          <w:marBottom w:val="0"/>
          <w:divBdr>
            <w:top w:val="none" w:sz="0" w:space="0" w:color="auto"/>
            <w:left w:val="none" w:sz="0" w:space="0" w:color="auto"/>
            <w:bottom w:val="none" w:sz="0" w:space="0" w:color="auto"/>
            <w:right w:val="none" w:sz="0" w:space="0" w:color="auto"/>
          </w:divBdr>
        </w:div>
      </w:divsChild>
    </w:div>
    <w:div w:id="411440308">
      <w:bodyDiv w:val="1"/>
      <w:marLeft w:val="0"/>
      <w:marRight w:val="0"/>
      <w:marTop w:val="0"/>
      <w:marBottom w:val="0"/>
      <w:divBdr>
        <w:top w:val="none" w:sz="0" w:space="0" w:color="auto"/>
        <w:left w:val="none" w:sz="0" w:space="0" w:color="auto"/>
        <w:bottom w:val="none" w:sz="0" w:space="0" w:color="auto"/>
        <w:right w:val="none" w:sz="0" w:space="0" w:color="auto"/>
      </w:divBdr>
      <w:divsChild>
        <w:div w:id="2631328">
          <w:marLeft w:val="274"/>
          <w:marRight w:val="0"/>
          <w:marTop w:val="58"/>
          <w:marBottom w:val="0"/>
          <w:divBdr>
            <w:top w:val="none" w:sz="0" w:space="0" w:color="auto"/>
            <w:left w:val="none" w:sz="0" w:space="0" w:color="auto"/>
            <w:bottom w:val="none" w:sz="0" w:space="0" w:color="auto"/>
            <w:right w:val="none" w:sz="0" w:space="0" w:color="auto"/>
          </w:divBdr>
        </w:div>
        <w:div w:id="308174924">
          <w:marLeft w:val="274"/>
          <w:marRight w:val="0"/>
          <w:marTop w:val="58"/>
          <w:marBottom w:val="0"/>
          <w:divBdr>
            <w:top w:val="none" w:sz="0" w:space="0" w:color="auto"/>
            <w:left w:val="none" w:sz="0" w:space="0" w:color="auto"/>
            <w:bottom w:val="none" w:sz="0" w:space="0" w:color="auto"/>
            <w:right w:val="none" w:sz="0" w:space="0" w:color="auto"/>
          </w:divBdr>
        </w:div>
        <w:div w:id="517740553">
          <w:marLeft w:val="274"/>
          <w:marRight w:val="0"/>
          <w:marTop w:val="58"/>
          <w:marBottom w:val="0"/>
          <w:divBdr>
            <w:top w:val="none" w:sz="0" w:space="0" w:color="auto"/>
            <w:left w:val="none" w:sz="0" w:space="0" w:color="auto"/>
            <w:bottom w:val="none" w:sz="0" w:space="0" w:color="auto"/>
            <w:right w:val="none" w:sz="0" w:space="0" w:color="auto"/>
          </w:divBdr>
        </w:div>
        <w:div w:id="1092235670">
          <w:marLeft w:val="274"/>
          <w:marRight w:val="0"/>
          <w:marTop w:val="58"/>
          <w:marBottom w:val="0"/>
          <w:divBdr>
            <w:top w:val="none" w:sz="0" w:space="0" w:color="auto"/>
            <w:left w:val="none" w:sz="0" w:space="0" w:color="auto"/>
            <w:bottom w:val="none" w:sz="0" w:space="0" w:color="auto"/>
            <w:right w:val="none" w:sz="0" w:space="0" w:color="auto"/>
          </w:divBdr>
        </w:div>
        <w:div w:id="2073649298">
          <w:marLeft w:val="274"/>
          <w:marRight w:val="0"/>
          <w:marTop w:val="58"/>
          <w:marBottom w:val="0"/>
          <w:divBdr>
            <w:top w:val="none" w:sz="0" w:space="0" w:color="auto"/>
            <w:left w:val="none" w:sz="0" w:space="0" w:color="auto"/>
            <w:bottom w:val="none" w:sz="0" w:space="0" w:color="auto"/>
            <w:right w:val="none" w:sz="0" w:space="0" w:color="auto"/>
          </w:divBdr>
        </w:div>
        <w:div w:id="2088572013">
          <w:marLeft w:val="274"/>
          <w:marRight w:val="0"/>
          <w:marTop w:val="58"/>
          <w:marBottom w:val="0"/>
          <w:divBdr>
            <w:top w:val="none" w:sz="0" w:space="0" w:color="auto"/>
            <w:left w:val="none" w:sz="0" w:space="0" w:color="auto"/>
            <w:bottom w:val="none" w:sz="0" w:space="0" w:color="auto"/>
            <w:right w:val="none" w:sz="0" w:space="0" w:color="auto"/>
          </w:divBdr>
        </w:div>
      </w:divsChild>
    </w:div>
    <w:div w:id="441803910">
      <w:bodyDiv w:val="1"/>
      <w:marLeft w:val="0"/>
      <w:marRight w:val="0"/>
      <w:marTop w:val="0"/>
      <w:marBottom w:val="0"/>
      <w:divBdr>
        <w:top w:val="none" w:sz="0" w:space="0" w:color="auto"/>
        <w:left w:val="none" w:sz="0" w:space="0" w:color="auto"/>
        <w:bottom w:val="none" w:sz="0" w:space="0" w:color="auto"/>
        <w:right w:val="none" w:sz="0" w:space="0" w:color="auto"/>
      </w:divBdr>
    </w:div>
    <w:div w:id="478697044">
      <w:bodyDiv w:val="1"/>
      <w:marLeft w:val="0"/>
      <w:marRight w:val="0"/>
      <w:marTop w:val="0"/>
      <w:marBottom w:val="0"/>
      <w:divBdr>
        <w:top w:val="none" w:sz="0" w:space="0" w:color="auto"/>
        <w:left w:val="none" w:sz="0" w:space="0" w:color="auto"/>
        <w:bottom w:val="none" w:sz="0" w:space="0" w:color="auto"/>
        <w:right w:val="none" w:sz="0" w:space="0" w:color="auto"/>
      </w:divBdr>
    </w:div>
    <w:div w:id="492533010">
      <w:bodyDiv w:val="1"/>
      <w:marLeft w:val="0"/>
      <w:marRight w:val="0"/>
      <w:marTop w:val="0"/>
      <w:marBottom w:val="0"/>
      <w:divBdr>
        <w:top w:val="none" w:sz="0" w:space="0" w:color="auto"/>
        <w:left w:val="none" w:sz="0" w:space="0" w:color="auto"/>
        <w:bottom w:val="none" w:sz="0" w:space="0" w:color="auto"/>
        <w:right w:val="none" w:sz="0" w:space="0" w:color="auto"/>
      </w:divBdr>
    </w:div>
    <w:div w:id="530190605">
      <w:bodyDiv w:val="1"/>
      <w:marLeft w:val="0"/>
      <w:marRight w:val="0"/>
      <w:marTop w:val="0"/>
      <w:marBottom w:val="0"/>
      <w:divBdr>
        <w:top w:val="none" w:sz="0" w:space="0" w:color="auto"/>
        <w:left w:val="none" w:sz="0" w:space="0" w:color="auto"/>
        <w:bottom w:val="none" w:sz="0" w:space="0" w:color="auto"/>
        <w:right w:val="none" w:sz="0" w:space="0" w:color="auto"/>
      </w:divBdr>
      <w:divsChild>
        <w:div w:id="43870090">
          <w:marLeft w:val="274"/>
          <w:marRight w:val="0"/>
          <w:marTop w:val="58"/>
          <w:marBottom w:val="0"/>
          <w:divBdr>
            <w:top w:val="none" w:sz="0" w:space="0" w:color="auto"/>
            <w:left w:val="none" w:sz="0" w:space="0" w:color="auto"/>
            <w:bottom w:val="none" w:sz="0" w:space="0" w:color="auto"/>
            <w:right w:val="none" w:sz="0" w:space="0" w:color="auto"/>
          </w:divBdr>
        </w:div>
        <w:div w:id="1381905656">
          <w:marLeft w:val="274"/>
          <w:marRight w:val="0"/>
          <w:marTop w:val="58"/>
          <w:marBottom w:val="0"/>
          <w:divBdr>
            <w:top w:val="none" w:sz="0" w:space="0" w:color="auto"/>
            <w:left w:val="none" w:sz="0" w:space="0" w:color="auto"/>
            <w:bottom w:val="none" w:sz="0" w:space="0" w:color="auto"/>
            <w:right w:val="none" w:sz="0" w:space="0" w:color="auto"/>
          </w:divBdr>
        </w:div>
        <w:div w:id="1406799310">
          <w:marLeft w:val="274"/>
          <w:marRight w:val="0"/>
          <w:marTop w:val="58"/>
          <w:marBottom w:val="0"/>
          <w:divBdr>
            <w:top w:val="none" w:sz="0" w:space="0" w:color="auto"/>
            <w:left w:val="none" w:sz="0" w:space="0" w:color="auto"/>
            <w:bottom w:val="none" w:sz="0" w:space="0" w:color="auto"/>
            <w:right w:val="none" w:sz="0" w:space="0" w:color="auto"/>
          </w:divBdr>
        </w:div>
        <w:div w:id="1540390569">
          <w:marLeft w:val="274"/>
          <w:marRight w:val="0"/>
          <w:marTop w:val="58"/>
          <w:marBottom w:val="0"/>
          <w:divBdr>
            <w:top w:val="none" w:sz="0" w:space="0" w:color="auto"/>
            <w:left w:val="none" w:sz="0" w:space="0" w:color="auto"/>
            <w:bottom w:val="none" w:sz="0" w:space="0" w:color="auto"/>
            <w:right w:val="none" w:sz="0" w:space="0" w:color="auto"/>
          </w:divBdr>
        </w:div>
        <w:div w:id="1889680032">
          <w:marLeft w:val="274"/>
          <w:marRight w:val="0"/>
          <w:marTop w:val="58"/>
          <w:marBottom w:val="0"/>
          <w:divBdr>
            <w:top w:val="none" w:sz="0" w:space="0" w:color="auto"/>
            <w:left w:val="none" w:sz="0" w:space="0" w:color="auto"/>
            <w:bottom w:val="none" w:sz="0" w:space="0" w:color="auto"/>
            <w:right w:val="none" w:sz="0" w:space="0" w:color="auto"/>
          </w:divBdr>
        </w:div>
      </w:divsChild>
    </w:div>
    <w:div w:id="554394275">
      <w:bodyDiv w:val="1"/>
      <w:marLeft w:val="0"/>
      <w:marRight w:val="0"/>
      <w:marTop w:val="0"/>
      <w:marBottom w:val="0"/>
      <w:divBdr>
        <w:top w:val="none" w:sz="0" w:space="0" w:color="auto"/>
        <w:left w:val="none" w:sz="0" w:space="0" w:color="auto"/>
        <w:bottom w:val="none" w:sz="0" w:space="0" w:color="auto"/>
        <w:right w:val="none" w:sz="0" w:space="0" w:color="auto"/>
      </w:divBdr>
    </w:div>
    <w:div w:id="564880986">
      <w:bodyDiv w:val="1"/>
      <w:marLeft w:val="0"/>
      <w:marRight w:val="0"/>
      <w:marTop w:val="0"/>
      <w:marBottom w:val="0"/>
      <w:divBdr>
        <w:top w:val="none" w:sz="0" w:space="0" w:color="auto"/>
        <w:left w:val="none" w:sz="0" w:space="0" w:color="auto"/>
        <w:bottom w:val="none" w:sz="0" w:space="0" w:color="auto"/>
        <w:right w:val="none" w:sz="0" w:space="0" w:color="auto"/>
      </w:divBdr>
      <w:divsChild>
        <w:div w:id="154079217">
          <w:marLeft w:val="1080"/>
          <w:marRight w:val="0"/>
          <w:marTop w:val="100"/>
          <w:marBottom w:val="0"/>
          <w:divBdr>
            <w:top w:val="none" w:sz="0" w:space="0" w:color="auto"/>
            <w:left w:val="none" w:sz="0" w:space="0" w:color="auto"/>
            <w:bottom w:val="none" w:sz="0" w:space="0" w:color="auto"/>
            <w:right w:val="none" w:sz="0" w:space="0" w:color="auto"/>
          </w:divBdr>
        </w:div>
        <w:div w:id="1242107344">
          <w:marLeft w:val="1080"/>
          <w:marRight w:val="0"/>
          <w:marTop w:val="100"/>
          <w:marBottom w:val="0"/>
          <w:divBdr>
            <w:top w:val="none" w:sz="0" w:space="0" w:color="auto"/>
            <w:left w:val="none" w:sz="0" w:space="0" w:color="auto"/>
            <w:bottom w:val="none" w:sz="0" w:space="0" w:color="auto"/>
            <w:right w:val="none" w:sz="0" w:space="0" w:color="auto"/>
          </w:divBdr>
        </w:div>
        <w:div w:id="1461531664">
          <w:marLeft w:val="1080"/>
          <w:marRight w:val="0"/>
          <w:marTop w:val="100"/>
          <w:marBottom w:val="0"/>
          <w:divBdr>
            <w:top w:val="none" w:sz="0" w:space="0" w:color="auto"/>
            <w:left w:val="none" w:sz="0" w:space="0" w:color="auto"/>
            <w:bottom w:val="none" w:sz="0" w:space="0" w:color="auto"/>
            <w:right w:val="none" w:sz="0" w:space="0" w:color="auto"/>
          </w:divBdr>
        </w:div>
        <w:div w:id="1637292602">
          <w:marLeft w:val="1080"/>
          <w:marRight w:val="0"/>
          <w:marTop w:val="100"/>
          <w:marBottom w:val="0"/>
          <w:divBdr>
            <w:top w:val="none" w:sz="0" w:space="0" w:color="auto"/>
            <w:left w:val="none" w:sz="0" w:space="0" w:color="auto"/>
            <w:bottom w:val="none" w:sz="0" w:space="0" w:color="auto"/>
            <w:right w:val="none" w:sz="0" w:space="0" w:color="auto"/>
          </w:divBdr>
        </w:div>
        <w:div w:id="1826629612">
          <w:marLeft w:val="1080"/>
          <w:marRight w:val="0"/>
          <w:marTop w:val="100"/>
          <w:marBottom w:val="0"/>
          <w:divBdr>
            <w:top w:val="none" w:sz="0" w:space="0" w:color="auto"/>
            <w:left w:val="none" w:sz="0" w:space="0" w:color="auto"/>
            <w:bottom w:val="none" w:sz="0" w:space="0" w:color="auto"/>
            <w:right w:val="none" w:sz="0" w:space="0" w:color="auto"/>
          </w:divBdr>
        </w:div>
        <w:div w:id="1973945915">
          <w:marLeft w:val="1080"/>
          <w:marRight w:val="0"/>
          <w:marTop w:val="100"/>
          <w:marBottom w:val="0"/>
          <w:divBdr>
            <w:top w:val="none" w:sz="0" w:space="0" w:color="auto"/>
            <w:left w:val="none" w:sz="0" w:space="0" w:color="auto"/>
            <w:bottom w:val="none" w:sz="0" w:space="0" w:color="auto"/>
            <w:right w:val="none" w:sz="0" w:space="0" w:color="auto"/>
          </w:divBdr>
        </w:div>
        <w:div w:id="1999647177">
          <w:marLeft w:val="1080"/>
          <w:marRight w:val="0"/>
          <w:marTop w:val="100"/>
          <w:marBottom w:val="0"/>
          <w:divBdr>
            <w:top w:val="none" w:sz="0" w:space="0" w:color="auto"/>
            <w:left w:val="none" w:sz="0" w:space="0" w:color="auto"/>
            <w:bottom w:val="none" w:sz="0" w:space="0" w:color="auto"/>
            <w:right w:val="none" w:sz="0" w:space="0" w:color="auto"/>
          </w:divBdr>
        </w:div>
      </w:divsChild>
    </w:div>
    <w:div w:id="575165021">
      <w:bodyDiv w:val="1"/>
      <w:marLeft w:val="0"/>
      <w:marRight w:val="0"/>
      <w:marTop w:val="0"/>
      <w:marBottom w:val="0"/>
      <w:divBdr>
        <w:top w:val="none" w:sz="0" w:space="0" w:color="auto"/>
        <w:left w:val="none" w:sz="0" w:space="0" w:color="auto"/>
        <w:bottom w:val="none" w:sz="0" w:space="0" w:color="auto"/>
        <w:right w:val="none" w:sz="0" w:space="0" w:color="auto"/>
      </w:divBdr>
    </w:div>
    <w:div w:id="594479135">
      <w:bodyDiv w:val="1"/>
      <w:marLeft w:val="0"/>
      <w:marRight w:val="0"/>
      <w:marTop w:val="0"/>
      <w:marBottom w:val="0"/>
      <w:divBdr>
        <w:top w:val="none" w:sz="0" w:space="0" w:color="auto"/>
        <w:left w:val="none" w:sz="0" w:space="0" w:color="auto"/>
        <w:bottom w:val="none" w:sz="0" w:space="0" w:color="auto"/>
        <w:right w:val="none" w:sz="0" w:space="0" w:color="auto"/>
      </w:divBdr>
      <w:divsChild>
        <w:div w:id="415172759">
          <w:marLeft w:val="274"/>
          <w:marRight w:val="0"/>
          <w:marTop w:val="58"/>
          <w:marBottom w:val="0"/>
          <w:divBdr>
            <w:top w:val="none" w:sz="0" w:space="0" w:color="auto"/>
            <w:left w:val="none" w:sz="0" w:space="0" w:color="auto"/>
            <w:bottom w:val="none" w:sz="0" w:space="0" w:color="auto"/>
            <w:right w:val="none" w:sz="0" w:space="0" w:color="auto"/>
          </w:divBdr>
        </w:div>
      </w:divsChild>
    </w:div>
    <w:div w:id="611975799">
      <w:bodyDiv w:val="1"/>
      <w:marLeft w:val="0"/>
      <w:marRight w:val="0"/>
      <w:marTop w:val="0"/>
      <w:marBottom w:val="0"/>
      <w:divBdr>
        <w:top w:val="none" w:sz="0" w:space="0" w:color="auto"/>
        <w:left w:val="none" w:sz="0" w:space="0" w:color="auto"/>
        <w:bottom w:val="none" w:sz="0" w:space="0" w:color="auto"/>
        <w:right w:val="none" w:sz="0" w:space="0" w:color="auto"/>
      </w:divBdr>
    </w:div>
    <w:div w:id="643856197">
      <w:bodyDiv w:val="1"/>
      <w:marLeft w:val="0"/>
      <w:marRight w:val="0"/>
      <w:marTop w:val="0"/>
      <w:marBottom w:val="0"/>
      <w:divBdr>
        <w:top w:val="none" w:sz="0" w:space="0" w:color="auto"/>
        <w:left w:val="none" w:sz="0" w:space="0" w:color="auto"/>
        <w:bottom w:val="none" w:sz="0" w:space="0" w:color="auto"/>
        <w:right w:val="none" w:sz="0" w:space="0" w:color="auto"/>
      </w:divBdr>
    </w:div>
    <w:div w:id="644506741">
      <w:bodyDiv w:val="1"/>
      <w:marLeft w:val="0"/>
      <w:marRight w:val="0"/>
      <w:marTop w:val="0"/>
      <w:marBottom w:val="0"/>
      <w:divBdr>
        <w:top w:val="none" w:sz="0" w:space="0" w:color="auto"/>
        <w:left w:val="none" w:sz="0" w:space="0" w:color="auto"/>
        <w:bottom w:val="none" w:sz="0" w:space="0" w:color="auto"/>
        <w:right w:val="none" w:sz="0" w:space="0" w:color="auto"/>
      </w:divBdr>
    </w:div>
    <w:div w:id="646978193">
      <w:bodyDiv w:val="1"/>
      <w:marLeft w:val="0"/>
      <w:marRight w:val="0"/>
      <w:marTop w:val="0"/>
      <w:marBottom w:val="0"/>
      <w:divBdr>
        <w:top w:val="none" w:sz="0" w:space="0" w:color="auto"/>
        <w:left w:val="none" w:sz="0" w:space="0" w:color="auto"/>
        <w:bottom w:val="none" w:sz="0" w:space="0" w:color="auto"/>
        <w:right w:val="none" w:sz="0" w:space="0" w:color="auto"/>
      </w:divBdr>
      <w:divsChild>
        <w:div w:id="1066805372">
          <w:marLeft w:val="547"/>
          <w:marRight w:val="0"/>
          <w:marTop w:val="0"/>
          <w:marBottom w:val="0"/>
          <w:divBdr>
            <w:top w:val="none" w:sz="0" w:space="0" w:color="auto"/>
            <w:left w:val="none" w:sz="0" w:space="0" w:color="auto"/>
            <w:bottom w:val="none" w:sz="0" w:space="0" w:color="auto"/>
            <w:right w:val="none" w:sz="0" w:space="0" w:color="auto"/>
          </w:divBdr>
        </w:div>
      </w:divsChild>
    </w:div>
    <w:div w:id="651835316">
      <w:bodyDiv w:val="1"/>
      <w:marLeft w:val="0"/>
      <w:marRight w:val="0"/>
      <w:marTop w:val="0"/>
      <w:marBottom w:val="0"/>
      <w:divBdr>
        <w:top w:val="none" w:sz="0" w:space="0" w:color="auto"/>
        <w:left w:val="none" w:sz="0" w:space="0" w:color="auto"/>
        <w:bottom w:val="none" w:sz="0" w:space="0" w:color="auto"/>
        <w:right w:val="none" w:sz="0" w:space="0" w:color="auto"/>
      </w:divBdr>
      <w:divsChild>
        <w:div w:id="772822730">
          <w:marLeft w:val="360"/>
          <w:marRight w:val="0"/>
          <w:marTop w:val="200"/>
          <w:marBottom w:val="0"/>
          <w:divBdr>
            <w:top w:val="none" w:sz="0" w:space="0" w:color="auto"/>
            <w:left w:val="none" w:sz="0" w:space="0" w:color="auto"/>
            <w:bottom w:val="none" w:sz="0" w:space="0" w:color="auto"/>
            <w:right w:val="none" w:sz="0" w:space="0" w:color="auto"/>
          </w:divBdr>
        </w:div>
      </w:divsChild>
    </w:div>
    <w:div w:id="652442008">
      <w:bodyDiv w:val="1"/>
      <w:marLeft w:val="0"/>
      <w:marRight w:val="0"/>
      <w:marTop w:val="0"/>
      <w:marBottom w:val="0"/>
      <w:divBdr>
        <w:top w:val="none" w:sz="0" w:space="0" w:color="auto"/>
        <w:left w:val="none" w:sz="0" w:space="0" w:color="auto"/>
        <w:bottom w:val="none" w:sz="0" w:space="0" w:color="auto"/>
        <w:right w:val="none" w:sz="0" w:space="0" w:color="auto"/>
      </w:divBdr>
      <w:divsChild>
        <w:div w:id="291789408">
          <w:marLeft w:val="835"/>
          <w:marRight w:val="0"/>
          <w:marTop w:val="200"/>
          <w:marBottom w:val="0"/>
          <w:divBdr>
            <w:top w:val="none" w:sz="0" w:space="0" w:color="auto"/>
            <w:left w:val="none" w:sz="0" w:space="0" w:color="auto"/>
            <w:bottom w:val="none" w:sz="0" w:space="0" w:color="auto"/>
            <w:right w:val="none" w:sz="0" w:space="0" w:color="auto"/>
          </w:divBdr>
        </w:div>
      </w:divsChild>
    </w:div>
    <w:div w:id="689338396">
      <w:bodyDiv w:val="1"/>
      <w:marLeft w:val="0"/>
      <w:marRight w:val="0"/>
      <w:marTop w:val="0"/>
      <w:marBottom w:val="0"/>
      <w:divBdr>
        <w:top w:val="none" w:sz="0" w:space="0" w:color="auto"/>
        <w:left w:val="none" w:sz="0" w:space="0" w:color="auto"/>
        <w:bottom w:val="none" w:sz="0" w:space="0" w:color="auto"/>
        <w:right w:val="none" w:sz="0" w:space="0" w:color="auto"/>
      </w:divBdr>
      <w:divsChild>
        <w:div w:id="342633833">
          <w:marLeft w:val="274"/>
          <w:marRight w:val="0"/>
          <w:marTop w:val="58"/>
          <w:marBottom w:val="0"/>
          <w:divBdr>
            <w:top w:val="none" w:sz="0" w:space="0" w:color="auto"/>
            <w:left w:val="none" w:sz="0" w:space="0" w:color="auto"/>
            <w:bottom w:val="none" w:sz="0" w:space="0" w:color="auto"/>
            <w:right w:val="none" w:sz="0" w:space="0" w:color="auto"/>
          </w:divBdr>
        </w:div>
        <w:div w:id="966282366">
          <w:marLeft w:val="274"/>
          <w:marRight w:val="0"/>
          <w:marTop w:val="58"/>
          <w:marBottom w:val="0"/>
          <w:divBdr>
            <w:top w:val="none" w:sz="0" w:space="0" w:color="auto"/>
            <w:left w:val="none" w:sz="0" w:space="0" w:color="auto"/>
            <w:bottom w:val="none" w:sz="0" w:space="0" w:color="auto"/>
            <w:right w:val="none" w:sz="0" w:space="0" w:color="auto"/>
          </w:divBdr>
        </w:div>
        <w:div w:id="1127360929">
          <w:marLeft w:val="274"/>
          <w:marRight w:val="0"/>
          <w:marTop w:val="58"/>
          <w:marBottom w:val="0"/>
          <w:divBdr>
            <w:top w:val="none" w:sz="0" w:space="0" w:color="auto"/>
            <w:left w:val="none" w:sz="0" w:space="0" w:color="auto"/>
            <w:bottom w:val="none" w:sz="0" w:space="0" w:color="auto"/>
            <w:right w:val="none" w:sz="0" w:space="0" w:color="auto"/>
          </w:divBdr>
        </w:div>
        <w:div w:id="1382559197">
          <w:marLeft w:val="274"/>
          <w:marRight w:val="0"/>
          <w:marTop w:val="58"/>
          <w:marBottom w:val="0"/>
          <w:divBdr>
            <w:top w:val="none" w:sz="0" w:space="0" w:color="auto"/>
            <w:left w:val="none" w:sz="0" w:space="0" w:color="auto"/>
            <w:bottom w:val="none" w:sz="0" w:space="0" w:color="auto"/>
            <w:right w:val="none" w:sz="0" w:space="0" w:color="auto"/>
          </w:divBdr>
        </w:div>
        <w:div w:id="2078551766">
          <w:marLeft w:val="274"/>
          <w:marRight w:val="0"/>
          <w:marTop w:val="58"/>
          <w:marBottom w:val="0"/>
          <w:divBdr>
            <w:top w:val="none" w:sz="0" w:space="0" w:color="auto"/>
            <w:left w:val="none" w:sz="0" w:space="0" w:color="auto"/>
            <w:bottom w:val="none" w:sz="0" w:space="0" w:color="auto"/>
            <w:right w:val="none" w:sz="0" w:space="0" w:color="auto"/>
          </w:divBdr>
        </w:div>
        <w:div w:id="2085714690">
          <w:marLeft w:val="274"/>
          <w:marRight w:val="0"/>
          <w:marTop w:val="58"/>
          <w:marBottom w:val="0"/>
          <w:divBdr>
            <w:top w:val="none" w:sz="0" w:space="0" w:color="auto"/>
            <w:left w:val="none" w:sz="0" w:space="0" w:color="auto"/>
            <w:bottom w:val="none" w:sz="0" w:space="0" w:color="auto"/>
            <w:right w:val="none" w:sz="0" w:space="0" w:color="auto"/>
          </w:divBdr>
        </w:div>
      </w:divsChild>
    </w:div>
    <w:div w:id="707142969">
      <w:bodyDiv w:val="1"/>
      <w:marLeft w:val="0"/>
      <w:marRight w:val="0"/>
      <w:marTop w:val="0"/>
      <w:marBottom w:val="0"/>
      <w:divBdr>
        <w:top w:val="none" w:sz="0" w:space="0" w:color="auto"/>
        <w:left w:val="none" w:sz="0" w:space="0" w:color="auto"/>
        <w:bottom w:val="none" w:sz="0" w:space="0" w:color="auto"/>
        <w:right w:val="none" w:sz="0" w:space="0" w:color="auto"/>
      </w:divBdr>
    </w:div>
    <w:div w:id="711465349">
      <w:bodyDiv w:val="1"/>
      <w:marLeft w:val="0"/>
      <w:marRight w:val="0"/>
      <w:marTop w:val="0"/>
      <w:marBottom w:val="0"/>
      <w:divBdr>
        <w:top w:val="none" w:sz="0" w:space="0" w:color="auto"/>
        <w:left w:val="none" w:sz="0" w:space="0" w:color="auto"/>
        <w:bottom w:val="none" w:sz="0" w:space="0" w:color="auto"/>
        <w:right w:val="none" w:sz="0" w:space="0" w:color="auto"/>
      </w:divBdr>
      <w:divsChild>
        <w:div w:id="6058800">
          <w:marLeft w:val="547"/>
          <w:marRight w:val="0"/>
          <w:marTop w:val="86"/>
          <w:marBottom w:val="0"/>
          <w:divBdr>
            <w:top w:val="none" w:sz="0" w:space="0" w:color="auto"/>
            <w:left w:val="none" w:sz="0" w:space="0" w:color="auto"/>
            <w:bottom w:val="none" w:sz="0" w:space="0" w:color="auto"/>
            <w:right w:val="none" w:sz="0" w:space="0" w:color="auto"/>
          </w:divBdr>
        </w:div>
        <w:div w:id="23486552">
          <w:marLeft w:val="547"/>
          <w:marRight w:val="0"/>
          <w:marTop w:val="86"/>
          <w:marBottom w:val="0"/>
          <w:divBdr>
            <w:top w:val="none" w:sz="0" w:space="0" w:color="auto"/>
            <w:left w:val="none" w:sz="0" w:space="0" w:color="auto"/>
            <w:bottom w:val="none" w:sz="0" w:space="0" w:color="auto"/>
            <w:right w:val="none" w:sz="0" w:space="0" w:color="auto"/>
          </w:divBdr>
        </w:div>
        <w:div w:id="573854994">
          <w:marLeft w:val="547"/>
          <w:marRight w:val="0"/>
          <w:marTop w:val="86"/>
          <w:marBottom w:val="0"/>
          <w:divBdr>
            <w:top w:val="none" w:sz="0" w:space="0" w:color="auto"/>
            <w:left w:val="none" w:sz="0" w:space="0" w:color="auto"/>
            <w:bottom w:val="none" w:sz="0" w:space="0" w:color="auto"/>
            <w:right w:val="none" w:sz="0" w:space="0" w:color="auto"/>
          </w:divBdr>
        </w:div>
        <w:div w:id="803892189">
          <w:marLeft w:val="547"/>
          <w:marRight w:val="0"/>
          <w:marTop w:val="86"/>
          <w:marBottom w:val="0"/>
          <w:divBdr>
            <w:top w:val="none" w:sz="0" w:space="0" w:color="auto"/>
            <w:left w:val="none" w:sz="0" w:space="0" w:color="auto"/>
            <w:bottom w:val="none" w:sz="0" w:space="0" w:color="auto"/>
            <w:right w:val="none" w:sz="0" w:space="0" w:color="auto"/>
          </w:divBdr>
        </w:div>
        <w:div w:id="1630939695">
          <w:marLeft w:val="547"/>
          <w:marRight w:val="0"/>
          <w:marTop w:val="86"/>
          <w:marBottom w:val="0"/>
          <w:divBdr>
            <w:top w:val="none" w:sz="0" w:space="0" w:color="auto"/>
            <w:left w:val="none" w:sz="0" w:space="0" w:color="auto"/>
            <w:bottom w:val="none" w:sz="0" w:space="0" w:color="auto"/>
            <w:right w:val="none" w:sz="0" w:space="0" w:color="auto"/>
          </w:divBdr>
        </w:div>
        <w:div w:id="2102749783">
          <w:marLeft w:val="547"/>
          <w:marRight w:val="0"/>
          <w:marTop w:val="86"/>
          <w:marBottom w:val="0"/>
          <w:divBdr>
            <w:top w:val="none" w:sz="0" w:space="0" w:color="auto"/>
            <w:left w:val="none" w:sz="0" w:space="0" w:color="auto"/>
            <w:bottom w:val="none" w:sz="0" w:space="0" w:color="auto"/>
            <w:right w:val="none" w:sz="0" w:space="0" w:color="auto"/>
          </w:divBdr>
        </w:div>
      </w:divsChild>
    </w:div>
    <w:div w:id="713967298">
      <w:bodyDiv w:val="1"/>
      <w:marLeft w:val="0"/>
      <w:marRight w:val="0"/>
      <w:marTop w:val="0"/>
      <w:marBottom w:val="0"/>
      <w:divBdr>
        <w:top w:val="none" w:sz="0" w:space="0" w:color="auto"/>
        <w:left w:val="none" w:sz="0" w:space="0" w:color="auto"/>
        <w:bottom w:val="none" w:sz="0" w:space="0" w:color="auto"/>
        <w:right w:val="none" w:sz="0" w:space="0" w:color="auto"/>
      </w:divBdr>
    </w:div>
    <w:div w:id="745348387">
      <w:bodyDiv w:val="1"/>
      <w:marLeft w:val="0"/>
      <w:marRight w:val="0"/>
      <w:marTop w:val="0"/>
      <w:marBottom w:val="0"/>
      <w:divBdr>
        <w:top w:val="none" w:sz="0" w:space="0" w:color="auto"/>
        <w:left w:val="none" w:sz="0" w:space="0" w:color="auto"/>
        <w:bottom w:val="none" w:sz="0" w:space="0" w:color="auto"/>
        <w:right w:val="none" w:sz="0" w:space="0" w:color="auto"/>
      </w:divBdr>
    </w:div>
    <w:div w:id="761804392">
      <w:bodyDiv w:val="1"/>
      <w:marLeft w:val="0"/>
      <w:marRight w:val="0"/>
      <w:marTop w:val="0"/>
      <w:marBottom w:val="0"/>
      <w:divBdr>
        <w:top w:val="none" w:sz="0" w:space="0" w:color="auto"/>
        <w:left w:val="none" w:sz="0" w:space="0" w:color="auto"/>
        <w:bottom w:val="none" w:sz="0" w:space="0" w:color="auto"/>
        <w:right w:val="none" w:sz="0" w:space="0" w:color="auto"/>
      </w:divBdr>
    </w:div>
    <w:div w:id="795828675">
      <w:bodyDiv w:val="1"/>
      <w:marLeft w:val="0"/>
      <w:marRight w:val="0"/>
      <w:marTop w:val="0"/>
      <w:marBottom w:val="0"/>
      <w:divBdr>
        <w:top w:val="none" w:sz="0" w:space="0" w:color="auto"/>
        <w:left w:val="none" w:sz="0" w:space="0" w:color="auto"/>
        <w:bottom w:val="none" w:sz="0" w:space="0" w:color="auto"/>
        <w:right w:val="none" w:sz="0" w:space="0" w:color="auto"/>
      </w:divBdr>
    </w:div>
    <w:div w:id="827523125">
      <w:bodyDiv w:val="1"/>
      <w:marLeft w:val="0"/>
      <w:marRight w:val="0"/>
      <w:marTop w:val="0"/>
      <w:marBottom w:val="0"/>
      <w:divBdr>
        <w:top w:val="none" w:sz="0" w:space="0" w:color="auto"/>
        <w:left w:val="none" w:sz="0" w:space="0" w:color="auto"/>
        <w:bottom w:val="none" w:sz="0" w:space="0" w:color="auto"/>
        <w:right w:val="none" w:sz="0" w:space="0" w:color="auto"/>
      </w:divBdr>
    </w:div>
    <w:div w:id="842546216">
      <w:bodyDiv w:val="1"/>
      <w:marLeft w:val="0"/>
      <w:marRight w:val="0"/>
      <w:marTop w:val="0"/>
      <w:marBottom w:val="0"/>
      <w:divBdr>
        <w:top w:val="none" w:sz="0" w:space="0" w:color="auto"/>
        <w:left w:val="none" w:sz="0" w:space="0" w:color="auto"/>
        <w:bottom w:val="none" w:sz="0" w:space="0" w:color="auto"/>
        <w:right w:val="none" w:sz="0" w:space="0" w:color="auto"/>
      </w:divBdr>
      <w:divsChild>
        <w:div w:id="204175397">
          <w:marLeft w:val="1080"/>
          <w:marRight w:val="0"/>
          <w:marTop w:val="100"/>
          <w:marBottom w:val="0"/>
          <w:divBdr>
            <w:top w:val="none" w:sz="0" w:space="0" w:color="auto"/>
            <w:left w:val="none" w:sz="0" w:space="0" w:color="auto"/>
            <w:bottom w:val="none" w:sz="0" w:space="0" w:color="auto"/>
            <w:right w:val="none" w:sz="0" w:space="0" w:color="auto"/>
          </w:divBdr>
        </w:div>
        <w:div w:id="277757628">
          <w:marLeft w:val="1080"/>
          <w:marRight w:val="0"/>
          <w:marTop w:val="100"/>
          <w:marBottom w:val="0"/>
          <w:divBdr>
            <w:top w:val="none" w:sz="0" w:space="0" w:color="auto"/>
            <w:left w:val="none" w:sz="0" w:space="0" w:color="auto"/>
            <w:bottom w:val="none" w:sz="0" w:space="0" w:color="auto"/>
            <w:right w:val="none" w:sz="0" w:space="0" w:color="auto"/>
          </w:divBdr>
        </w:div>
        <w:div w:id="360252136">
          <w:marLeft w:val="1080"/>
          <w:marRight w:val="0"/>
          <w:marTop w:val="100"/>
          <w:marBottom w:val="0"/>
          <w:divBdr>
            <w:top w:val="none" w:sz="0" w:space="0" w:color="auto"/>
            <w:left w:val="none" w:sz="0" w:space="0" w:color="auto"/>
            <w:bottom w:val="none" w:sz="0" w:space="0" w:color="auto"/>
            <w:right w:val="none" w:sz="0" w:space="0" w:color="auto"/>
          </w:divBdr>
        </w:div>
        <w:div w:id="367607114">
          <w:marLeft w:val="1080"/>
          <w:marRight w:val="0"/>
          <w:marTop w:val="100"/>
          <w:marBottom w:val="0"/>
          <w:divBdr>
            <w:top w:val="none" w:sz="0" w:space="0" w:color="auto"/>
            <w:left w:val="none" w:sz="0" w:space="0" w:color="auto"/>
            <w:bottom w:val="none" w:sz="0" w:space="0" w:color="auto"/>
            <w:right w:val="none" w:sz="0" w:space="0" w:color="auto"/>
          </w:divBdr>
        </w:div>
        <w:div w:id="473454513">
          <w:marLeft w:val="1080"/>
          <w:marRight w:val="0"/>
          <w:marTop w:val="100"/>
          <w:marBottom w:val="0"/>
          <w:divBdr>
            <w:top w:val="none" w:sz="0" w:space="0" w:color="auto"/>
            <w:left w:val="none" w:sz="0" w:space="0" w:color="auto"/>
            <w:bottom w:val="none" w:sz="0" w:space="0" w:color="auto"/>
            <w:right w:val="none" w:sz="0" w:space="0" w:color="auto"/>
          </w:divBdr>
        </w:div>
        <w:div w:id="562759730">
          <w:marLeft w:val="1080"/>
          <w:marRight w:val="0"/>
          <w:marTop w:val="100"/>
          <w:marBottom w:val="0"/>
          <w:divBdr>
            <w:top w:val="none" w:sz="0" w:space="0" w:color="auto"/>
            <w:left w:val="none" w:sz="0" w:space="0" w:color="auto"/>
            <w:bottom w:val="none" w:sz="0" w:space="0" w:color="auto"/>
            <w:right w:val="none" w:sz="0" w:space="0" w:color="auto"/>
          </w:divBdr>
        </w:div>
        <w:div w:id="837227838">
          <w:marLeft w:val="1080"/>
          <w:marRight w:val="0"/>
          <w:marTop w:val="100"/>
          <w:marBottom w:val="0"/>
          <w:divBdr>
            <w:top w:val="none" w:sz="0" w:space="0" w:color="auto"/>
            <w:left w:val="none" w:sz="0" w:space="0" w:color="auto"/>
            <w:bottom w:val="none" w:sz="0" w:space="0" w:color="auto"/>
            <w:right w:val="none" w:sz="0" w:space="0" w:color="auto"/>
          </w:divBdr>
        </w:div>
        <w:div w:id="850803746">
          <w:marLeft w:val="1080"/>
          <w:marRight w:val="0"/>
          <w:marTop w:val="100"/>
          <w:marBottom w:val="0"/>
          <w:divBdr>
            <w:top w:val="none" w:sz="0" w:space="0" w:color="auto"/>
            <w:left w:val="none" w:sz="0" w:space="0" w:color="auto"/>
            <w:bottom w:val="none" w:sz="0" w:space="0" w:color="auto"/>
            <w:right w:val="none" w:sz="0" w:space="0" w:color="auto"/>
          </w:divBdr>
        </w:div>
        <w:div w:id="1271939074">
          <w:marLeft w:val="1080"/>
          <w:marRight w:val="0"/>
          <w:marTop w:val="100"/>
          <w:marBottom w:val="0"/>
          <w:divBdr>
            <w:top w:val="none" w:sz="0" w:space="0" w:color="auto"/>
            <w:left w:val="none" w:sz="0" w:space="0" w:color="auto"/>
            <w:bottom w:val="none" w:sz="0" w:space="0" w:color="auto"/>
            <w:right w:val="none" w:sz="0" w:space="0" w:color="auto"/>
          </w:divBdr>
        </w:div>
        <w:div w:id="1619024196">
          <w:marLeft w:val="1080"/>
          <w:marRight w:val="0"/>
          <w:marTop w:val="100"/>
          <w:marBottom w:val="0"/>
          <w:divBdr>
            <w:top w:val="none" w:sz="0" w:space="0" w:color="auto"/>
            <w:left w:val="none" w:sz="0" w:space="0" w:color="auto"/>
            <w:bottom w:val="none" w:sz="0" w:space="0" w:color="auto"/>
            <w:right w:val="none" w:sz="0" w:space="0" w:color="auto"/>
          </w:divBdr>
        </w:div>
        <w:div w:id="2066828691">
          <w:marLeft w:val="1080"/>
          <w:marRight w:val="0"/>
          <w:marTop w:val="100"/>
          <w:marBottom w:val="0"/>
          <w:divBdr>
            <w:top w:val="none" w:sz="0" w:space="0" w:color="auto"/>
            <w:left w:val="none" w:sz="0" w:space="0" w:color="auto"/>
            <w:bottom w:val="none" w:sz="0" w:space="0" w:color="auto"/>
            <w:right w:val="none" w:sz="0" w:space="0" w:color="auto"/>
          </w:divBdr>
        </w:div>
      </w:divsChild>
    </w:div>
    <w:div w:id="852914642">
      <w:bodyDiv w:val="1"/>
      <w:marLeft w:val="0"/>
      <w:marRight w:val="0"/>
      <w:marTop w:val="0"/>
      <w:marBottom w:val="0"/>
      <w:divBdr>
        <w:top w:val="none" w:sz="0" w:space="0" w:color="auto"/>
        <w:left w:val="none" w:sz="0" w:space="0" w:color="auto"/>
        <w:bottom w:val="none" w:sz="0" w:space="0" w:color="auto"/>
        <w:right w:val="none" w:sz="0" w:space="0" w:color="auto"/>
      </w:divBdr>
      <w:divsChild>
        <w:div w:id="205026507">
          <w:marLeft w:val="1080"/>
          <w:marRight w:val="0"/>
          <w:marTop w:val="100"/>
          <w:marBottom w:val="0"/>
          <w:divBdr>
            <w:top w:val="none" w:sz="0" w:space="0" w:color="auto"/>
            <w:left w:val="none" w:sz="0" w:space="0" w:color="auto"/>
            <w:bottom w:val="none" w:sz="0" w:space="0" w:color="auto"/>
            <w:right w:val="none" w:sz="0" w:space="0" w:color="auto"/>
          </w:divBdr>
        </w:div>
      </w:divsChild>
    </w:div>
    <w:div w:id="866522654">
      <w:bodyDiv w:val="1"/>
      <w:marLeft w:val="0"/>
      <w:marRight w:val="0"/>
      <w:marTop w:val="0"/>
      <w:marBottom w:val="0"/>
      <w:divBdr>
        <w:top w:val="none" w:sz="0" w:space="0" w:color="auto"/>
        <w:left w:val="none" w:sz="0" w:space="0" w:color="auto"/>
        <w:bottom w:val="none" w:sz="0" w:space="0" w:color="auto"/>
        <w:right w:val="none" w:sz="0" w:space="0" w:color="auto"/>
      </w:divBdr>
      <w:divsChild>
        <w:div w:id="28071957">
          <w:marLeft w:val="274"/>
          <w:marRight w:val="0"/>
          <w:marTop w:val="0"/>
          <w:marBottom w:val="0"/>
          <w:divBdr>
            <w:top w:val="none" w:sz="0" w:space="0" w:color="auto"/>
            <w:left w:val="none" w:sz="0" w:space="0" w:color="auto"/>
            <w:bottom w:val="none" w:sz="0" w:space="0" w:color="auto"/>
            <w:right w:val="none" w:sz="0" w:space="0" w:color="auto"/>
          </w:divBdr>
        </w:div>
        <w:div w:id="76557837">
          <w:marLeft w:val="274"/>
          <w:marRight w:val="0"/>
          <w:marTop w:val="0"/>
          <w:marBottom w:val="0"/>
          <w:divBdr>
            <w:top w:val="none" w:sz="0" w:space="0" w:color="auto"/>
            <w:left w:val="none" w:sz="0" w:space="0" w:color="auto"/>
            <w:bottom w:val="none" w:sz="0" w:space="0" w:color="auto"/>
            <w:right w:val="none" w:sz="0" w:space="0" w:color="auto"/>
          </w:divBdr>
        </w:div>
        <w:div w:id="269973753">
          <w:marLeft w:val="274"/>
          <w:marRight w:val="0"/>
          <w:marTop w:val="0"/>
          <w:marBottom w:val="0"/>
          <w:divBdr>
            <w:top w:val="none" w:sz="0" w:space="0" w:color="auto"/>
            <w:left w:val="none" w:sz="0" w:space="0" w:color="auto"/>
            <w:bottom w:val="none" w:sz="0" w:space="0" w:color="auto"/>
            <w:right w:val="none" w:sz="0" w:space="0" w:color="auto"/>
          </w:divBdr>
        </w:div>
        <w:div w:id="421487422">
          <w:marLeft w:val="274"/>
          <w:marRight w:val="0"/>
          <w:marTop w:val="0"/>
          <w:marBottom w:val="0"/>
          <w:divBdr>
            <w:top w:val="none" w:sz="0" w:space="0" w:color="auto"/>
            <w:left w:val="none" w:sz="0" w:space="0" w:color="auto"/>
            <w:bottom w:val="none" w:sz="0" w:space="0" w:color="auto"/>
            <w:right w:val="none" w:sz="0" w:space="0" w:color="auto"/>
          </w:divBdr>
        </w:div>
        <w:div w:id="624120938">
          <w:marLeft w:val="274"/>
          <w:marRight w:val="0"/>
          <w:marTop w:val="0"/>
          <w:marBottom w:val="0"/>
          <w:divBdr>
            <w:top w:val="none" w:sz="0" w:space="0" w:color="auto"/>
            <w:left w:val="none" w:sz="0" w:space="0" w:color="auto"/>
            <w:bottom w:val="none" w:sz="0" w:space="0" w:color="auto"/>
            <w:right w:val="none" w:sz="0" w:space="0" w:color="auto"/>
          </w:divBdr>
        </w:div>
        <w:div w:id="1241907758">
          <w:marLeft w:val="274"/>
          <w:marRight w:val="0"/>
          <w:marTop w:val="0"/>
          <w:marBottom w:val="0"/>
          <w:divBdr>
            <w:top w:val="none" w:sz="0" w:space="0" w:color="auto"/>
            <w:left w:val="none" w:sz="0" w:space="0" w:color="auto"/>
            <w:bottom w:val="none" w:sz="0" w:space="0" w:color="auto"/>
            <w:right w:val="none" w:sz="0" w:space="0" w:color="auto"/>
          </w:divBdr>
        </w:div>
        <w:div w:id="1809976380">
          <w:marLeft w:val="274"/>
          <w:marRight w:val="0"/>
          <w:marTop w:val="0"/>
          <w:marBottom w:val="0"/>
          <w:divBdr>
            <w:top w:val="none" w:sz="0" w:space="0" w:color="auto"/>
            <w:left w:val="none" w:sz="0" w:space="0" w:color="auto"/>
            <w:bottom w:val="none" w:sz="0" w:space="0" w:color="auto"/>
            <w:right w:val="none" w:sz="0" w:space="0" w:color="auto"/>
          </w:divBdr>
        </w:div>
        <w:div w:id="1836459105">
          <w:marLeft w:val="274"/>
          <w:marRight w:val="0"/>
          <w:marTop w:val="0"/>
          <w:marBottom w:val="0"/>
          <w:divBdr>
            <w:top w:val="none" w:sz="0" w:space="0" w:color="auto"/>
            <w:left w:val="none" w:sz="0" w:space="0" w:color="auto"/>
            <w:bottom w:val="none" w:sz="0" w:space="0" w:color="auto"/>
            <w:right w:val="none" w:sz="0" w:space="0" w:color="auto"/>
          </w:divBdr>
        </w:div>
      </w:divsChild>
    </w:div>
    <w:div w:id="913586501">
      <w:bodyDiv w:val="1"/>
      <w:marLeft w:val="0"/>
      <w:marRight w:val="0"/>
      <w:marTop w:val="0"/>
      <w:marBottom w:val="0"/>
      <w:divBdr>
        <w:top w:val="none" w:sz="0" w:space="0" w:color="auto"/>
        <w:left w:val="none" w:sz="0" w:space="0" w:color="auto"/>
        <w:bottom w:val="none" w:sz="0" w:space="0" w:color="auto"/>
        <w:right w:val="none" w:sz="0" w:space="0" w:color="auto"/>
      </w:divBdr>
    </w:div>
    <w:div w:id="977497650">
      <w:bodyDiv w:val="1"/>
      <w:marLeft w:val="0"/>
      <w:marRight w:val="0"/>
      <w:marTop w:val="0"/>
      <w:marBottom w:val="0"/>
      <w:divBdr>
        <w:top w:val="none" w:sz="0" w:space="0" w:color="auto"/>
        <w:left w:val="none" w:sz="0" w:space="0" w:color="auto"/>
        <w:bottom w:val="none" w:sz="0" w:space="0" w:color="auto"/>
        <w:right w:val="none" w:sz="0" w:space="0" w:color="auto"/>
      </w:divBdr>
    </w:div>
    <w:div w:id="1023363498">
      <w:bodyDiv w:val="1"/>
      <w:marLeft w:val="0"/>
      <w:marRight w:val="0"/>
      <w:marTop w:val="0"/>
      <w:marBottom w:val="0"/>
      <w:divBdr>
        <w:top w:val="none" w:sz="0" w:space="0" w:color="auto"/>
        <w:left w:val="none" w:sz="0" w:space="0" w:color="auto"/>
        <w:bottom w:val="none" w:sz="0" w:space="0" w:color="auto"/>
        <w:right w:val="none" w:sz="0" w:space="0" w:color="auto"/>
      </w:divBdr>
      <w:divsChild>
        <w:div w:id="815224528">
          <w:marLeft w:val="1080"/>
          <w:marRight w:val="0"/>
          <w:marTop w:val="100"/>
          <w:marBottom w:val="0"/>
          <w:divBdr>
            <w:top w:val="none" w:sz="0" w:space="0" w:color="auto"/>
            <w:left w:val="none" w:sz="0" w:space="0" w:color="auto"/>
            <w:bottom w:val="none" w:sz="0" w:space="0" w:color="auto"/>
            <w:right w:val="none" w:sz="0" w:space="0" w:color="auto"/>
          </w:divBdr>
        </w:div>
        <w:div w:id="844444118">
          <w:marLeft w:val="835"/>
          <w:marRight w:val="0"/>
          <w:marTop w:val="200"/>
          <w:marBottom w:val="0"/>
          <w:divBdr>
            <w:top w:val="none" w:sz="0" w:space="0" w:color="auto"/>
            <w:left w:val="none" w:sz="0" w:space="0" w:color="auto"/>
            <w:bottom w:val="none" w:sz="0" w:space="0" w:color="auto"/>
            <w:right w:val="none" w:sz="0" w:space="0" w:color="auto"/>
          </w:divBdr>
        </w:div>
        <w:div w:id="1305504216">
          <w:marLeft w:val="1080"/>
          <w:marRight w:val="0"/>
          <w:marTop w:val="100"/>
          <w:marBottom w:val="0"/>
          <w:divBdr>
            <w:top w:val="none" w:sz="0" w:space="0" w:color="auto"/>
            <w:left w:val="none" w:sz="0" w:space="0" w:color="auto"/>
            <w:bottom w:val="none" w:sz="0" w:space="0" w:color="auto"/>
            <w:right w:val="none" w:sz="0" w:space="0" w:color="auto"/>
          </w:divBdr>
        </w:div>
        <w:div w:id="1394546719">
          <w:marLeft w:val="835"/>
          <w:marRight w:val="0"/>
          <w:marTop w:val="200"/>
          <w:marBottom w:val="0"/>
          <w:divBdr>
            <w:top w:val="none" w:sz="0" w:space="0" w:color="auto"/>
            <w:left w:val="none" w:sz="0" w:space="0" w:color="auto"/>
            <w:bottom w:val="none" w:sz="0" w:space="0" w:color="auto"/>
            <w:right w:val="none" w:sz="0" w:space="0" w:color="auto"/>
          </w:divBdr>
        </w:div>
        <w:div w:id="1524635984">
          <w:marLeft w:val="1080"/>
          <w:marRight w:val="0"/>
          <w:marTop w:val="100"/>
          <w:marBottom w:val="0"/>
          <w:divBdr>
            <w:top w:val="none" w:sz="0" w:space="0" w:color="auto"/>
            <w:left w:val="none" w:sz="0" w:space="0" w:color="auto"/>
            <w:bottom w:val="none" w:sz="0" w:space="0" w:color="auto"/>
            <w:right w:val="none" w:sz="0" w:space="0" w:color="auto"/>
          </w:divBdr>
        </w:div>
        <w:div w:id="1666276173">
          <w:marLeft w:val="1080"/>
          <w:marRight w:val="0"/>
          <w:marTop w:val="100"/>
          <w:marBottom w:val="0"/>
          <w:divBdr>
            <w:top w:val="none" w:sz="0" w:space="0" w:color="auto"/>
            <w:left w:val="none" w:sz="0" w:space="0" w:color="auto"/>
            <w:bottom w:val="none" w:sz="0" w:space="0" w:color="auto"/>
            <w:right w:val="none" w:sz="0" w:space="0" w:color="auto"/>
          </w:divBdr>
        </w:div>
        <w:div w:id="1778912259">
          <w:marLeft w:val="835"/>
          <w:marRight w:val="0"/>
          <w:marTop w:val="200"/>
          <w:marBottom w:val="0"/>
          <w:divBdr>
            <w:top w:val="none" w:sz="0" w:space="0" w:color="auto"/>
            <w:left w:val="none" w:sz="0" w:space="0" w:color="auto"/>
            <w:bottom w:val="none" w:sz="0" w:space="0" w:color="auto"/>
            <w:right w:val="none" w:sz="0" w:space="0" w:color="auto"/>
          </w:divBdr>
        </w:div>
      </w:divsChild>
    </w:div>
    <w:div w:id="1038236634">
      <w:bodyDiv w:val="1"/>
      <w:marLeft w:val="0"/>
      <w:marRight w:val="0"/>
      <w:marTop w:val="0"/>
      <w:marBottom w:val="0"/>
      <w:divBdr>
        <w:top w:val="none" w:sz="0" w:space="0" w:color="auto"/>
        <w:left w:val="none" w:sz="0" w:space="0" w:color="auto"/>
        <w:bottom w:val="none" w:sz="0" w:space="0" w:color="auto"/>
        <w:right w:val="none" w:sz="0" w:space="0" w:color="auto"/>
      </w:divBdr>
    </w:div>
    <w:div w:id="1044404440">
      <w:bodyDiv w:val="1"/>
      <w:marLeft w:val="0"/>
      <w:marRight w:val="0"/>
      <w:marTop w:val="0"/>
      <w:marBottom w:val="0"/>
      <w:divBdr>
        <w:top w:val="none" w:sz="0" w:space="0" w:color="auto"/>
        <w:left w:val="none" w:sz="0" w:space="0" w:color="auto"/>
        <w:bottom w:val="none" w:sz="0" w:space="0" w:color="auto"/>
        <w:right w:val="none" w:sz="0" w:space="0" w:color="auto"/>
      </w:divBdr>
    </w:div>
    <w:div w:id="1077441128">
      <w:bodyDiv w:val="1"/>
      <w:marLeft w:val="0"/>
      <w:marRight w:val="0"/>
      <w:marTop w:val="0"/>
      <w:marBottom w:val="0"/>
      <w:divBdr>
        <w:top w:val="none" w:sz="0" w:space="0" w:color="auto"/>
        <w:left w:val="none" w:sz="0" w:space="0" w:color="auto"/>
        <w:bottom w:val="none" w:sz="0" w:space="0" w:color="auto"/>
        <w:right w:val="none" w:sz="0" w:space="0" w:color="auto"/>
      </w:divBdr>
    </w:div>
    <w:div w:id="1079063346">
      <w:bodyDiv w:val="1"/>
      <w:marLeft w:val="0"/>
      <w:marRight w:val="0"/>
      <w:marTop w:val="0"/>
      <w:marBottom w:val="0"/>
      <w:divBdr>
        <w:top w:val="none" w:sz="0" w:space="0" w:color="auto"/>
        <w:left w:val="none" w:sz="0" w:space="0" w:color="auto"/>
        <w:bottom w:val="none" w:sz="0" w:space="0" w:color="auto"/>
        <w:right w:val="none" w:sz="0" w:space="0" w:color="auto"/>
      </w:divBdr>
      <w:divsChild>
        <w:div w:id="158618042">
          <w:marLeft w:val="0"/>
          <w:marRight w:val="0"/>
          <w:marTop w:val="0"/>
          <w:marBottom w:val="0"/>
          <w:divBdr>
            <w:top w:val="none" w:sz="0" w:space="0" w:color="auto"/>
            <w:left w:val="none" w:sz="0" w:space="0" w:color="auto"/>
            <w:bottom w:val="none" w:sz="0" w:space="0" w:color="auto"/>
            <w:right w:val="none" w:sz="0" w:space="0" w:color="auto"/>
          </w:divBdr>
          <w:divsChild>
            <w:div w:id="745372577">
              <w:marLeft w:val="0"/>
              <w:marRight w:val="0"/>
              <w:marTop w:val="0"/>
              <w:marBottom w:val="0"/>
              <w:divBdr>
                <w:top w:val="none" w:sz="0" w:space="0" w:color="auto"/>
                <w:left w:val="none" w:sz="0" w:space="0" w:color="auto"/>
                <w:bottom w:val="none" w:sz="0" w:space="0" w:color="auto"/>
                <w:right w:val="none" w:sz="0" w:space="0" w:color="auto"/>
              </w:divBdr>
            </w:div>
          </w:divsChild>
        </w:div>
        <w:div w:id="294068744">
          <w:marLeft w:val="0"/>
          <w:marRight w:val="0"/>
          <w:marTop w:val="0"/>
          <w:marBottom w:val="0"/>
          <w:divBdr>
            <w:top w:val="none" w:sz="0" w:space="0" w:color="auto"/>
            <w:left w:val="none" w:sz="0" w:space="0" w:color="auto"/>
            <w:bottom w:val="none" w:sz="0" w:space="0" w:color="auto"/>
            <w:right w:val="none" w:sz="0" w:space="0" w:color="auto"/>
          </w:divBdr>
          <w:divsChild>
            <w:div w:id="817575443">
              <w:marLeft w:val="0"/>
              <w:marRight w:val="0"/>
              <w:marTop w:val="0"/>
              <w:marBottom w:val="0"/>
              <w:divBdr>
                <w:top w:val="none" w:sz="0" w:space="0" w:color="auto"/>
                <w:left w:val="none" w:sz="0" w:space="0" w:color="auto"/>
                <w:bottom w:val="none" w:sz="0" w:space="0" w:color="auto"/>
                <w:right w:val="none" w:sz="0" w:space="0" w:color="auto"/>
              </w:divBdr>
            </w:div>
          </w:divsChild>
        </w:div>
        <w:div w:id="399329696">
          <w:marLeft w:val="0"/>
          <w:marRight w:val="0"/>
          <w:marTop w:val="0"/>
          <w:marBottom w:val="0"/>
          <w:divBdr>
            <w:top w:val="none" w:sz="0" w:space="0" w:color="auto"/>
            <w:left w:val="none" w:sz="0" w:space="0" w:color="auto"/>
            <w:bottom w:val="none" w:sz="0" w:space="0" w:color="auto"/>
            <w:right w:val="none" w:sz="0" w:space="0" w:color="auto"/>
          </w:divBdr>
          <w:divsChild>
            <w:div w:id="1497107684">
              <w:marLeft w:val="0"/>
              <w:marRight w:val="0"/>
              <w:marTop w:val="0"/>
              <w:marBottom w:val="0"/>
              <w:divBdr>
                <w:top w:val="none" w:sz="0" w:space="0" w:color="auto"/>
                <w:left w:val="none" w:sz="0" w:space="0" w:color="auto"/>
                <w:bottom w:val="none" w:sz="0" w:space="0" w:color="auto"/>
                <w:right w:val="none" w:sz="0" w:space="0" w:color="auto"/>
              </w:divBdr>
            </w:div>
          </w:divsChild>
        </w:div>
        <w:div w:id="424226531">
          <w:marLeft w:val="0"/>
          <w:marRight w:val="0"/>
          <w:marTop w:val="0"/>
          <w:marBottom w:val="0"/>
          <w:divBdr>
            <w:top w:val="none" w:sz="0" w:space="0" w:color="auto"/>
            <w:left w:val="none" w:sz="0" w:space="0" w:color="auto"/>
            <w:bottom w:val="none" w:sz="0" w:space="0" w:color="auto"/>
            <w:right w:val="none" w:sz="0" w:space="0" w:color="auto"/>
          </w:divBdr>
          <w:divsChild>
            <w:div w:id="1665862083">
              <w:marLeft w:val="0"/>
              <w:marRight w:val="0"/>
              <w:marTop w:val="0"/>
              <w:marBottom w:val="0"/>
              <w:divBdr>
                <w:top w:val="none" w:sz="0" w:space="0" w:color="auto"/>
                <w:left w:val="none" w:sz="0" w:space="0" w:color="auto"/>
                <w:bottom w:val="none" w:sz="0" w:space="0" w:color="auto"/>
                <w:right w:val="none" w:sz="0" w:space="0" w:color="auto"/>
              </w:divBdr>
            </w:div>
          </w:divsChild>
        </w:div>
        <w:div w:id="441339479">
          <w:marLeft w:val="0"/>
          <w:marRight w:val="0"/>
          <w:marTop w:val="0"/>
          <w:marBottom w:val="0"/>
          <w:divBdr>
            <w:top w:val="none" w:sz="0" w:space="0" w:color="auto"/>
            <w:left w:val="none" w:sz="0" w:space="0" w:color="auto"/>
            <w:bottom w:val="none" w:sz="0" w:space="0" w:color="auto"/>
            <w:right w:val="none" w:sz="0" w:space="0" w:color="auto"/>
          </w:divBdr>
          <w:divsChild>
            <w:div w:id="1174614837">
              <w:marLeft w:val="0"/>
              <w:marRight w:val="0"/>
              <w:marTop w:val="0"/>
              <w:marBottom w:val="0"/>
              <w:divBdr>
                <w:top w:val="none" w:sz="0" w:space="0" w:color="auto"/>
                <w:left w:val="none" w:sz="0" w:space="0" w:color="auto"/>
                <w:bottom w:val="none" w:sz="0" w:space="0" w:color="auto"/>
                <w:right w:val="none" w:sz="0" w:space="0" w:color="auto"/>
              </w:divBdr>
            </w:div>
          </w:divsChild>
        </w:div>
        <w:div w:id="468128574">
          <w:marLeft w:val="0"/>
          <w:marRight w:val="0"/>
          <w:marTop w:val="0"/>
          <w:marBottom w:val="0"/>
          <w:divBdr>
            <w:top w:val="none" w:sz="0" w:space="0" w:color="auto"/>
            <w:left w:val="none" w:sz="0" w:space="0" w:color="auto"/>
            <w:bottom w:val="none" w:sz="0" w:space="0" w:color="auto"/>
            <w:right w:val="none" w:sz="0" w:space="0" w:color="auto"/>
          </w:divBdr>
          <w:divsChild>
            <w:div w:id="460002156">
              <w:marLeft w:val="0"/>
              <w:marRight w:val="0"/>
              <w:marTop w:val="0"/>
              <w:marBottom w:val="0"/>
              <w:divBdr>
                <w:top w:val="none" w:sz="0" w:space="0" w:color="auto"/>
                <w:left w:val="none" w:sz="0" w:space="0" w:color="auto"/>
                <w:bottom w:val="none" w:sz="0" w:space="0" w:color="auto"/>
                <w:right w:val="none" w:sz="0" w:space="0" w:color="auto"/>
              </w:divBdr>
            </w:div>
          </w:divsChild>
        </w:div>
        <w:div w:id="554974529">
          <w:marLeft w:val="0"/>
          <w:marRight w:val="0"/>
          <w:marTop w:val="0"/>
          <w:marBottom w:val="0"/>
          <w:divBdr>
            <w:top w:val="none" w:sz="0" w:space="0" w:color="auto"/>
            <w:left w:val="none" w:sz="0" w:space="0" w:color="auto"/>
            <w:bottom w:val="none" w:sz="0" w:space="0" w:color="auto"/>
            <w:right w:val="none" w:sz="0" w:space="0" w:color="auto"/>
          </w:divBdr>
          <w:divsChild>
            <w:div w:id="159854349">
              <w:marLeft w:val="0"/>
              <w:marRight w:val="0"/>
              <w:marTop w:val="0"/>
              <w:marBottom w:val="0"/>
              <w:divBdr>
                <w:top w:val="none" w:sz="0" w:space="0" w:color="auto"/>
                <w:left w:val="none" w:sz="0" w:space="0" w:color="auto"/>
                <w:bottom w:val="none" w:sz="0" w:space="0" w:color="auto"/>
                <w:right w:val="none" w:sz="0" w:space="0" w:color="auto"/>
              </w:divBdr>
            </w:div>
          </w:divsChild>
        </w:div>
        <w:div w:id="994260315">
          <w:marLeft w:val="0"/>
          <w:marRight w:val="0"/>
          <w:marTop w:val="0"/>
          <w:marBottom w:val="0"/>
          <w:divBdr>
            <w:top w:val="none" w:sz="0" w:space="0" w:color="auto"/>
            <w:left w:val="none" w:sz="0" w:space="0" w:color="auto"/>
            <w:bottom w:val="none" w:sz="0" w:space="0" w:color="auto"/>
            <w:right w:val="none" w:sz="0" w:space="0" w:color="auto"/>
          </w:divBdr>
          <w:divsChild>
            <w:div w:id="2052336678">
              <w:marLeft w:val="0"/>
              <w:marRight w:val="0"/>
              <w:marTop w:val="0"/>
              <w:marBottom w:val="0"/>
              <w:divBdr>
                <w:top w:val="none" w:sz="0" w:space="0" w:color="auto"/>
                <w:left w:val="none" w:sz="0" w:space="0" w:color="auto"/>
                <w:bottom w:val="none" w:sz="0" w:space="0" w:color="auto"/>
                <w:right w:val="none" w:sz="0" w:space="0" w:color="auto"/>
              </w:divBdr>
            </w:div>
          </w:divsChild>
        </w:div>
        <w:div w:id="1091120093">
          <w:marLeft w:val="0"/>
          <w:marRight w:val="0"/>
          <w:marTop w:val="0"/>
          <w:marBottom w:val="0"/>
          <w:divBdr>
            <w:top w:val="none" w:sz="0" w:space="0" w:color="auto"/>
            <w:left w:val="none" w:sz="0" w:space="0" w:color="auto"/>
            <w:bottom w:val="none" w:sz="0" w:space="0" w:color="auto"/>
            <w:right w:val="none" w:sz="0" w:space="0" w:color="auto"/>
          </w:divBdr>
          <w:divsChild>
            <w:div w:id="969823643">
              <w:marLeft w:val="0"/>
              <w:marRight w:val="0"/>
              <w:marTop w:val="0"/>
              <w:marBottom w:val="0"/>
              <w:divBdr>
                <w:top w:val="none" w:sz="0" w:space="0" w:color="auto"/>
                <w:left w:val="none" w:sz="0" w:space="0" w:color="auto"/>
                <w:bottom w:val="none" w:sz="0" w:space="0" w:color="auto"/>
                <w:right w:val="none" w:sz="0" w:space="0" w:color="auto"/>
              </w:divBdr>
            </w:div>
          </w:divsChild>
        </w:div>
        <w:div w:id="1130317812">
          <w:marLeft w:val="0"/>
          <w:marRight w:val="0"/>
          <w:marTop w:val="0"/>
          <w:marBottom w:val="0"/>
          <w:divBdr>
            <w:top w:val="none" w:sz="0" w:space="0" w:color="auto"/>
            <w:left w:val="none" w:sz="0" w:space="0" w:color="auto"/>
            <w:bottom w:val="none" w:sz="0" w:space="0" w:color="auto"/>
            <w:right w:val="none" w:sz="0" w:space="0" w:color="auto"/>
          </w:divBdr>
          <w:divsChild>
            <w:div w:id="1446388446">
              <w:marLeft w:val="0"/>
              <w:marRight w:val="0"/>
              <w:marTop w:val="0"/>
              <w:marBottom w:val="0"/>
              <w:divBdr>
                <w:top w:val="none" w:sz="0" w:space="0" w:color="auto"/>
                <w:left w:val="none" w:sz="0" w:space="0" w:color="auto"/>
                <w:bottom w:val="none" w:sz="0" w:space="0" w:color="auto"/>
                <w:right w:val="none" w:sz="0" w:space="0" w:color="auto"/>
              </w:divBdr>
            </w:div>
          </w:divsChild>
        </w:div>
        <w:div w:id="1175460013">
          <w:marLeft w:val="0"/>
          <w:marRight w:val="0"/>
          <w:marTop w:val="0"/>
          <w:marBottom w:val="0"/>
          <w:divBdr>
            <w:top w:val="none" w:sz="0" w:space="0" w:color="auto"/>
            <w:left w:val="none" w:sz="0" w:space="0" w:color="auto"/>
            <w:bottom w:val="none" w:sz="0" w:space="0" w:color="auto"/>
            <w:right w:val="none" w:sz="0" w:space="0" w:color="auto"/>
          </w:divBdr>
          <w:divsChild>
            <w:div w:id="807088834">
              <w:marLeft w:val="0"/>
              <w:marRight w:val="0"/>
              <w:marTop w:val="0"/>
              <w:marBottom w:val="0"/>
              <w:divBdr>
                <w:top w:val="none" w:sz="0" w:space="0" w:color="auto"/>
                <w:left w:val="none" w:sz="0" w:space="0" w:color="auto"/>
                <w:bottom w:val="none" w:sz="0" w:space="0" w:color="auto"/>
                <w:right w:val="none" w:sz="0" w:space="0" w:color="auto"/>
              </w:divBdr>
            </w:div>
          </w:divsChild>
        </w:div>
        <w:div w:id="1356419834">
          <w:marLeft w:val="0"/>
          <w:marRight w:val="0"/>
          <w:marTop w:val="0"/>
          <w:marBottom w:val="0"/>
          <w:divBdr>
            <w:top w:val="none" w:sz="0" w:space="0" w:color="auto"/>
            <w:left w:val="none" w:sz="0" w:space="0" w:color="auto"/>
            <w:bottom w:val="none" w:sz="0" w:space="0" w:color="auto"/>
            <w:right w:val="none" w:sz="0" w:space="0" w:color="auto"/>
          </w:divBdr>
          <w:divsChild>
            <w:div w:id="45186549">
              <w:marLeft w:val="0"/>
              <w:marRight w:val="0"/>
              <w:marTop w:val="0"/>
              <w:marBottom w:val="0"/>
              <w:divBdr>
                <w:top w:val="none" w:sz="0" w:space="0" w:color="auto"/>
                <w:left w:val="none" w:sz="0" w:space="0" w:color="auto"/>
                <w:bottom w:val="none" w:sz="0" w:space="0" w:color="auto"/>
                <w:right w:val="none" w:sz="0" w:space="0" w:color="auto"/>
              </w:divBdr>
            </w:div>
          </w:divsChild>
        </w:div>
        <w:div w:id="1382632721">
          <w:marLeft w:val="0"/>
          <w:marRight w:val="0"/>
          <w:marTop w:val="0"/>
          <w:marBottom w:val="0"/>
          <w:divBdr>
            <w:top w:val="none" w:sz="0" w:space="0" w:color="auto"/>
            <w:left w:val="none" w:sz="0" w:space="0" w:color="auto"/>
            <w:bottom w:val="none" w:sz="0" w:space="0" w:color="auto"/>
            <w:right w:val="none" w:sz="0" w:space="0" w:color="auto"/>
          </w:divBdr>
          <w:divsChild>
            <w:div w:id="1410033290">
              <w:marLeft w:val="0"/>
              <w:marRight w:val="0"/>
              <w:marTop w:val="0"/>
              <w:marBottom w:val="0"/>
              <w:divBdr>
                <w:top w:val="none" w:sz="0" w:space="0" w:color="auto"/>
                <w:left w:val="none" w:sz="0" w:space="0" w:color="auto"/>
                <w:bottom w:val="none" w:sz="0" w:space="0" w:color="auto"/>
                <w:right w:val="none" w:sz="0" w:space="0" w:color="auto"/>
              </w:divBdr>
            </w:div>
          </w:divsChild>
        </w:div>
        <w:div w:id="1514342572">
          <w:marLeft w:val="0"/>
          <w:marRight w:val="0"/>
          <w:marTop w:val="0"/>
          <w:marBottom w:val="0"/>
          <w:divBdr>
            <w:top w:val="none" w:sz="0" w:space="0" w:color="auto"/>
            <w:left w:val="none" w:sz="0" w:space="0" w:color="auto"/>
            <w:bottom w:val="none" w:sz="0" w:space="0" w:color="auto"/>
            <w:right w:val="none" w:sz="0" w:space="0" w:color="auto"/>
          </w:divBdr>
          <w:divsChild>
            <w:div w:id="1380475927">
              <w:marLeft w:val="0"/>
              <w:marRight w:val="0"/>
              <w:marTop w:val="0"/>
              <w:marBottom w:val="0"/>
              <w:divBdr>
                <w:top w:val="none" w:sz="0" w:space="0" w:color="auto"/>
                <w:left w:val="none" w:sz="0" w:space="0" w:color="auto"/>
                <w:bottom w:val="none" w:sz="0" w:space="0" w:color="auto"/>
                <w:right w:val="none" w:sz="0" w:space="0" w:color="auto"/>
              </w:divBdr>
            </w:div>
          </w:divsChild>
        </w:div>
        <w:div w:id="1689333029">
          <w:marLeft w:val="0"/>
          <w:marRight w:val="0"/>
          <w:marTop w:val="0"/>
          <w:marBottom w:val="0"/>
          <w:divBdr>
            <w:top w:val="none" w:sz="0" w:space="0" w:color="auto"/>
            <w:left w:val="none" w:sz="0" w:space="0" w:color="auto"/>
            <w:bottom w:val="none" w:sz="0" w:space="0" w:color="auto"/>
            <w:right w:val="none" w:sz="0" w:space="0" w:color="auto"/>
          </w:divBdr>
          <w:divsChild>
            <w:div w:id="335351208">
              <w:marLeft w:val="0"/>
              <w:marRight w:val="0"/>
              <w:marTop w:val="0"/>
              <w:marBottom w:val="0"/>
              <w:divBdr>
                <w:top w:val="none" w:sz="0" w:space="0" w:color="auto"/>
                <w:left w:val="none" w:sz="0" w:space="0" w:color="auto"/>
                <w:bottom w:val="none" w:sz="0" w:space="0" w:color="auto"/>
                <w:right w:val="none" w:sz="0" w:space="0" w:color="auto"/>
              </w:divBdr>
            </w:div>
          </w:divsChild>
        </w:div>
        <w:div w:id="1935506344">
          <w:marLeft w:val="0"/>
          <w:marRight w:val="0"/>
          <w:marTop w:val="0"/>
          <w:marBottom w:val="0"/>
          <w:divBdr>
            <w:top w:val="none" w:sz="0" w:space="0" w:color="auto"/>
            <w:left w:val="none" w:sz="0" w:space="0" w:color="auto"/>
            <w:bottom w:val="none" w:sz="0" w:space="0" w:color="auto"/>
            <w:right w:val="none" w:sz="0" w:space="0" w:color="auto"/>
          </w:divBdr>
          <w:divsChild>
            <w:div w:id="253444450">
              <w:marLeft w:val="0"/>
              <w:marRight w:val="0"/>
              <w:marTop w:val="0"/>
              <w:marBottom w:val="0"/>
              <w:divBdr>
                <w:top w:val="none" w:sz="0" w:space="0" w:color="auto"/>
                <w:left w:val="none" w:sz="0" w:space="0" w:color="auto"/>
                <w:bottom w:val="none" w:sz="0" w:space="0" w:color="auto"/>
                <w:right w:val="none" w:sz="0" w:space="0" w:color="auto"/>
              </w:divBdr>
            </w:div>
          </w:divsChild>
        </w:div>
        <w:div w:id="2060207718">
          <w:marLeft w:val="0"/>
          <w:marRight w:val="0"/>
          <w:marTop w:val="0"/>
          <w:marBottom w:val="0"/>
          <w:divBdr>
            <w:top w:val="none" w:sz="0" w:space="0" w:color="auto"/>
            <w:left w:val="none" w:sz="0" w:space="0" w:color="auto"/>
            <w:bottom w:val="none" w:sz="0" w:space="0" w:color="auto"/>
            <w:right w:val="none" w:sz="0" w:space="0" w:color="auto"/>
          </w:divBdr>
          <w:divsChild>
            <w:div w:id="287511113">
              <w:marLeft w:val="0"/>
              <w:marRight w:val="0"/>
              <w:marTop w:val="0"/>
              <w:marBottom w:val="0"/>
              <w:divBdr>
                <w:top w:val="none" w:sz="0" w:space="0" w:color="auto"/>
                <w:left w:val="none" w:sz="0" w:space="0" w:color="auto"/>
                <w:bottom w:val="none" w:sz="0" w:space="0" w:color="auto"/>
                <w:right w:val="none" w:sz="0" w:space="0" w:color="auto"/>
              </w:divBdr>
            </w:div>
          </w:divsChild>
        </w:div>
        <w:div w:id="2135782703">
          <w:marLeft w:val="0"/>
          <w:marRight w:val="0"/>
          <w:marTop w:val="0"/>
          <w:marBottom w:val="0"/>
          <w:divBdr>
            <w:top w:val="none" w:sz="0" w:space="0" w:color="auto"/>
            <w:left w:val="none" w:sz="0" w:space="0" w:color="auto"/>
            <w:bottom w:val="none" w:sz="0" w:space="0" w:color="auto"/>
            <w:right w:val="none" w:sz="0" w:space="0" w:color="auto"/>
          </w:divBdr>
          <w:divsChild>
            <w:div w:id="185043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222757">
      <w:bodyDiv w:val="1"/>
      <w:marLeft w:val="0"/>
      <w:marRight w:val="0"/>
      <w:marTop w:val="0"/>
      <w:marBottom w:val="0"/>
      <w:divBdr>
        <w:top w:val="none" w:sz="0" w:space="0" w:color="auto"/>
        <w:left w:val="none" w:sz="0" w:space="0" w:color="auto"/>
        <w:bottom w:val="none" w:sz="0" w:space="0" w:color="auto"/>
        <w:right w:val="none" w:sz="0" w:space="0" w:color="auto"/>
      </w:divBdr>
    </w:div>
    <w:div w:id="1092436653">
      <w:bodyDiv w:val="1"/>
      <w:marLeft w:val="0"/>
      <w:marRight w:val="0"/>
      <w:marTop w:val="0"/>
      <w:marBottom w:val="0"/>
      <w:divBdr>
        <w:top w:val="none" w:sz="0" w:space="0" w:color="auto"/>
        <w:left w:val="none" w:sz="0" w:space="0" w:color="auto"/>
        <w:bottom w:val="none" w:sz="0" w:space="0" w:color="auto"/>
        <w:right w:val="none" w:sz="0" w:space="0" w:color="auto"/>
      </w:divBdr>
      <w:divsChild>
        <w:div w:id="250550679">
          <w:marLeft w:val="0"/>
          <w:marRight w:val="0"/>
          <w:marTop w:val="0"/>
          <w:marBottom w:val="0"/>
          <w:divBdr>
            <w:top w:val="none" w:sz="0" w:space="0" w:color="auto"/>
            <w:left w:val="none" w:sz="0" w:space="0" w:color="auto"/>
            <w:bottom w:val="none" w:sz="0" w:space="0" w:color="auto"/>
            <w:right w:val="none" w:sz="0" w:space="0" w:color="auto"/>
          </w:divBdr>
        </w:div>
        <w:div w:id="728116948">
          <w:marLeft w:val="0"/>
          <w:marRight w:val="0"/>
          <w:marTop w:val="0"/>
          <w:marBottom w:val="0"/>
          <w:divBdr>
            <w:top w:val="none" w:sz="0" w:space="0" w:color="auto"/>
            <w:left w:val="none" w:sz="0" w:space="0" w:color="auto"/>
            <w:bottom w:val="none" w:sz="0" w:space="0" w:color="auto"/>
            <w:right w:val="none" w:sz="0" w:space="0" w:color="auto"/>
          </w:divBdr>
        </w:div>
      </w:divsChild>
    </w:div>
    <w:div w:id="1119225351">
      <w:bodyDiv w:val="1"/>
      <w:marLeft w:val="0"/>
      <w:marRight w:val="0"/>
      <w:marTop w:val="0"/>
      <w:marBottom w:val="0"/>
      <w:divBdr>
        <w:top w:val="none" w:sz="0" w:space="0" w:color="auto"/>
        <w:left w:val="none" w:sz="0" w:space="0" w:color="auto"/>
        <w:bottom w:val="none" w:sz="0" w:space="0" w:color="auto"/>
        <w:right w:val="none" w:sz="0" w:space="0" w:color="auto"/>
      </w:divBdr>
    </w:div>
    <w:div w:id="1127815132">
      <w:bodyDiv w:val="1"/>
      <w:marLeft w:val="0"/>
      <w:marRight w:val="0"/>
      <w:marTop w:val="0"/>
      <w:marBottom w:val="0"/>
      <w:divBdr>
        <w:top w:val="none" w:sz="0" w:space="0" w:color="auto"/>
        <w:left w:val="none" w:sz="0" w:space="0" w:color="auto"/>
        <w:bottom w:val="none" w:sz="0" w:space="0" w:color="auto"/>
        <w:right w:val="none" w:sz="0" w:space="0" w:color="auto"/>
      </w:divBdr>
    </w:div>
    <w:div w:id="1133327560">
      <w:bodyDiv w:val="1"/>
      <w:marLeft w:val="0"/>
      <w:marRight w:val="0"/>
      <w:marTop w:val="0"/>
      <w:marBottom w:val="0"/>
      <w:divBdr>
        <w:top w:val="none" w:sz="0" w:space="0" w:color="auto"/>
        <w:left w:val="none" w:sz="0" w:space="0" w:color="auto"/>
        <w:bottom w:val="none" w:sz="0" w:space="0" w:color="auto"/>
        <w:right w:val="none" w:sz="0" w:space="0" w:color="auto"/>
      </w:divBdr>
    </w:div>
    <w:div w:id="1152482400">
      <w:bodyDiv w:val="1"/>
      <w:marLeft w:val="0"/>
      <w:marRight w:val="0"/>
      <w:marTop w:val="0"/>
      <w:marBottom w:val="0"/>
      <w:divBdr>
        <w:top w:val="none" w:sz="0" w:space="0" w:color="auto"/>
        <w:left w:val="none" w:sz="0" w:space="0" w:color="auto"/>
        <w:bottom w:val="none" w:sz="0" w:space="0" w:color="auto"/>
        <w:right w:val="none" w:sz="0" w:space="0" w:color="auto"/>
      </w:divBdr>
    </w:div>
    <w:div w:id="1199003221">
      <w:bodyDiv w:val="1"/>
      <w:marLeft w:val="0"/>
      <w:marRight w:val="0"/>
      <w:marTop w:val="0"/>
      <w:marBottom w:val="0"/>
      <w:divBdr>
        <w:top w:val="none" w:sz="0" w:space="0" w:color="auto"/>
        <w:left w:val="none" w:sz="0" w:space="0" w:color="auto"/>
        <w:bottom w:val="none" w:sz="0" w:space="0" w:color="auto"/>
        <w:right w:val="none" w:sz="0" w:space="0" w:color="auto"/>
      </w:divBdr>
    </w:div>
    <w:div w:id="1203790927">
      <w:bodyDiv w:val="1"/>
      <w:marLeft w:val="0"/>
      <w:marRight w:val="0"/>
      <w:marTop w:val="0"/>
      <w:marBottom w:val="0"/>
      <w:divBdr>
        <w:top w:val="none" w:sz="0" w:space="0" w:color="auto"/>
        <w:left w:val="none" w:sz="0" w:space="0" w:color="auto"/>
        <w:bottom w:val="none" w:sz="0" w:space="0" w:color="auto"/>
        <w:right w:val="none" w:sz="0" w:space="0" w:color="auto"/>
      </w:divBdr>
    </w:div>
    <w:div w:id="1225985830">
      <w:bodyDiv w:val="1"/>
      <w:marLeft w:val="0"/>
      <w:marRight w:val="0"/>
      <w:marTop w:val="0"/>
      <w:marBottom w:val="0"/>
      <w:divBdr>
        <w:top w:val="none" w:sz="0" w:space="0" w:color="auto"/>
        <w:left w:val="none" w:sz="0" w:space="0" w:color="auto"/>
        <w:bottom w:val="none" w:sz="0" w:space="0" w:color="auto"/>
        <w:right w:val="none" w:sz="0" w:space="0" w:color="auto"/>
      </w:divBdr>
    </w:div>
    <w:div w:id="1230001869">
      <w:bodyDiv w:val="1"/>
      <w:marLeft w:val="0"/>
      <w:marRight w:val="0"/>
      <w:marTop w:val="0"/>
      <w:marBottom w:val="0"/>
      <w:divBdr>
        <w:top w:val="none" w:sz="0" w:space="0" w:color="auto"/>
        <w:left w:val="none" w:sz="0" w:space="0" w:color="auto"/>
        <w:bottom w:val="none" w:sz="0" w:space="0" w:color="auto"/>
        <w:right w:val="none" w:sz="0" w:space="0" w:color="auto"/>
      </w:divBdr>
    </w:div>
    <w:div w:id="1246888761">
      <w:bodyDiv w:val="1"/>
      <w:marLeft w:val="0"/>
      <w:marRight w:val="0"/>
      <w:marTop w:val="0"/>
      <w:marBottom w:val="0"/>
      <w:divBdr>
        <w:top w:val="none" w:sz="0" w:space="0" w:color="auto"/>
        <w:left w:val="none" w:sz="0" w:space="0" w:color="auto"/>
        <w:bottom w:val="none" w:sz="0" w:space="0" w:color="auto"/>
        <w:right w:val="none" w:sz="0" w:space="0" w:color="auto"/>
      </w:divBdr>
    </w:div>
    <w:div w:id="1279339120">
      <w:bodyDiv w:val="1"/>
      <w:marLeft w:val="0"/>
      <w:marRight w:val="0"/>
      <w:marTop w:val="0"/>
      <w:marBottom w:val="0"/>
      <w:divBdr>
        <w:top w:val="none" w:sz="0" w:space="0" w:color="auto"/>
        <w:left w:val="none" w:sz="0" w:space="0" w:color="auto"/>
        <w:bottom w:val="none" w:sz="0" w:space="0" w:color="auto"/>
        <w:right w:val="none" w:sz="0" w:space="0" w:color="auto"/>
      </w:divBdr>
    </w:div>
    <w:div w:id="1282296689">
      <w:bodyDiv w:val="1"/>
      <w:marLeft w:val="0"/>
      <w:marRight w:val="0"/>
      <w:marTop w:val="0"/>
      <w:marBottom w:val="0"/>
      <w:divBdr>
        <w:top w:val="none" w:sz="0" w:space="0" w:color="auto"/>
        <w:left w:val="none" w:sz="0" w:space="0" w:color="auto"/>
        <w:bottom w:val="none" w:sz="0" w:space="0" w:color="auto"/>
        <w:right w:val="none" w:sz="0" w:space="0" w:color="auto"/>
      </w:divBdr>
      <w:divsChild>
        <w:div w:id="646786033">
          <w:marLeft w:val="835"/>
          <w:marRight w:val="0"/>
          <w:marTop w:val="200"/>
          <w:marBottom w:val="0"/>
          <w:divBdr>
            <w:top w:val="none" w:sz="0" w:space="0" w:color="auto"/>
            <w:left w:val="none" w:sz="0" w:space="0" w:color="auto"/>
            <w:bottom w:val="none" w:sz="0" w:space="0" w:color="auto"/>
            <w:right w:val="none" w:sz="0" w:space="0" w:color="auto"/>
          </w:divBdr>
        </w:div>
      </w:divsChild>
    </w:div>
    <w:div w:id="1339192450">
      <w:bodyDiv w:val="1"/>
      <w:marLeft w:val="0"/>
      <w:marRight w:val="0"/>
      <w:marTop w:val="0"/>
      <w:marBottom w:val="0"/>
      <w:divBdr>
        <w:top w:val="none" w:sz="0" w:space="0" w:color="auto"/>
        <w:left w:val="none" w:sz="0" w:space="0" w:color="auto"/>
        <w:bottom w:val="none" w:sz="0" w:space="0" w:color="auto"/>
        <w:right w:val="none" w:sz="0" w:space="0" w:color="auto"/>
      </w:divBdr>
    </w:div>
    <w:div w:id="1358389829">
      <w:bodyDiv w:val="1"/>
      <w:marLeft w:val="0"/>
      <w:marRight w:val="0"/>
      <w:marTop w:val="0"/>
      <w:marBottom w:val="0"/>
      <w:divBdr>
        <w:top w:val="none" w:sz="0" w:space="0" w:color="auto"/>
        <w:left w:val="none" w:sz="0" w:space="0" w:color="auto"/>
        <w:bottom w:val="none" w:sz="0" w:space="0" w:color="auto"/>
        <w:right w:val="none" w:sz="0" w:space="0" w:color="auto"/>
      </w:divBdr>
    </w:div>
    <w:div w:id="1359548831">
      <w:bodyDiv w:val="1"/>
      <w:marLeft w:val="0"/>
      <w:marRight w:val="0"/>
      <w:marTop w:val="0"/>
      <w:marBottom w:val="0"/>
      <w:divBdr>
        <w:top w:val="none" w:sz="0" w:space="0" w:color="auto"/>
        <w:left w:val="none" w:sz="0" w:space="0" w:color="auto"/>
        <w:bottom w:val="none" w:sz="0" w:space="0" w:color="auto"/>
        <w:right w:val="none" w:sz="0" w:space="0" w:color="auto"/>
      </w:divBdr>
      <w:divsChild>
        <w:div w:id="153423398">
          <w:marLeft w:val="547"/>
          <w:marRight w:val="0"/>
          <w:marTop w:val="0"/>
          <w:marBottom w:val="0"/>
          <w:divBdr>
            <w:top w:val="none" w:sz="0" w:space="0" w:color="auto"/>
            <w:left w:val="none" w:sz="0" w:space="0" w:color="auto"/>
            <w:bottom w:val="none" w:sz="0" w:space="0" w:color="auto"/>
            <w:right w:val="none" w:sz="0" w:space="0" w:color="auto"/>
          </w:divBdr>
        </w:div>
      </w:divsChild>
    </w:div>
    <w:div w:id="1375809393">
      <w:bodyDiv w:val="1"/>
      <w:marLeft w:val="0"/>
      <w:marRight w:val="0"/>
      <w:marTop w:val="0"/>
      <w:marBottom w:val="0"/>
      <w:divBdr>
        <w:top w:val="none" w:sz="0" w:space="0" w:color="auto"/>
        <w:left w:val="none" w:sz="0" w:space="0" w:color="auto"/>
        <w:bottom w:val="none" w:sz="0" w:space="0" w:color="auto"/>
        <w:right w:val="none" w:sz="0" w:space="0" w:color="auto"/>
      </w:divBdr>
    </w:div>
    <w:div w:id="1406226534">
      <w:bodyDiv w:val="1"/>
      <w:marLeft w:val="0"/>
      <w:marRight w:val="0"/>
      <w:marTop w:val="0"/>
      <w:marBottom w:val="0"/>
      <w:divBdr>
        <w:top w:val="none" w:sz="0" w:space="0" w:color="auto"/>
        <w:left w:val="none" w:sz="0" w:space="0" w:color="auto"/>
        <w:bottom w:val="none" w:sz="0" w:space="0" w:color="auto"/>
        <w:right w:val="none" w:sz="0" w:space="0" w:color="auto"/>
      </w:divBdr>
    </w:div>
    <w:div w:id="1410614384">
      <w:bodyDiv w:val="1"/>
      <w:marLeft w:val="0"/>
      <w:marRight w:val="0"/>
      <w:marTop w:val="0"/>
      <w:marBottom w:val="0"/>
      <w:divBdr>
        <w:top w:val="none" w:sz="0" w:space="0" w:color="auto"/>
        <w:left w:val="none" w:sz="0" w:space="0" w:color="auto"/>
        <w:bottom w:val="none" w:sz="0" w:space="0" w:color="auto"/>
        <w:right w:val="none" w:sz="0" w:space="0" w:color="auto"/>
      </w:divBdr>
    </w:div>
    <w:div w:id="1412850436">
      <w:bodyDiv w:val="1"/>
      <w:marLeft w:val="0"/>
      <w:marRight w:val="0"/>
      <w:marTop w:val="0"/>
      <w:marBottom w:val="0"/>
      <w:divBdr>
        <w:top w:val="none" w:sz="0" w:space="0" w:color="auto"/>
        <w:left w:val="none" w:sz="0" w:space="0" w:color="auto"/>
        <w:bottom w:val="none" w:sz="0" w:space="0" w:color="auto"/>
        <w:right w:val="none" w:sz="0" w:space="0" w:color="auto"/>
      </w:divBdr>
      <w:divsChild>
        <w:div w:id="828860551">
          <w:marLeft w:val="1080"/>
          <w:marRight w:val="0"/>
          <w:marTop w:val="100"/>
          <w:marBottom w:val="0"/>
          <w:divBdr>
            <w:top w:val="none" w:sz="0" w:space="0" w:color="auto"/>
            <w:left w:val="none" w:sz="0" w:space="0" w:color="auto"/>
            <w:bottom w:val="none" w:sz="0" w:space="0" w:color="auto"/>
            <w:right w:val="none" w:sz="0" w:space="0" w:color="auto"/>
          </w:divBdr>
        </w:div>
        <w:div w:id="892469869">
          <w:marLeft w:val="1080"/>
          <w:marRight w:val="0"/>
          <w:marTop w:val="100"/>
          <w:marBottom w:val="0"/>
          <w:divBdr>
            <w:top w:val="none" w:sz="0" w:space="0" w:color="auto"/>
            <w:left w:val="none" w:sz="0" w:space="0" w:color="auto"/>
            <w:bottom w:val="none" w:sz="0" w:space="0" w:color="auto"/>
            <w:right w:val="none" w:sz="0" w:space="0" w:color="auto"/>
          </w:divBdr>
        </w:div>
        <w:div w:id="989796633">
          <w:marLeft w:val="1080"/>
          <w:marRight w:val="0"/>
          <w:marTop w:val="100"/>
          <w:marBottom w:val="0"/>
          <w:divBdr>
            <w:top w:val="none" w:sz="0" w:space="0" w:color="auto"/>
            <w:left w:val="none" w:sz="0" w:space="0" w:color="auto"/>
            <w:bottom w:val="none" w:sz="0" w:space="0" w:color="auto"/>
            <w:right w:val="none" w:sz="0" w:space="0" w:color="auto"/>
          </w:divBdr>
        </w:div>
        <w:div w:id="1279485294">
          <w:marLeft w:val="1080"/>
          <w:marRight w:val="0"/>
          <w:marTop w:val="100"/>
          <w:marBottom w:val="0"/>
          <w:divBdr>
            <w:top w:val="none" w:sz="0" w:space="0" w:color="auto"/>
            <w:left w:val="none" w:sz="0" w:space="0" w:color="auto"/>
            <w:bottom w:val="none" w:sz="0" w:space="0" w:color="auto"/>
            <w:right w:val="none" w:sz="0" w:space="0" w:color="auto"/>
          </w:divBdr>
        </w:div>
        <w:div w:id="1506704677">
          <w:marLeft w:val="1080"/>
          <w:marRight w:val="0"/>
          <w:marTop w:val="100"/>
          <w:marBottom w:val="0"/>
          <w:divBdr>
            <w:top w:val="none" w:sz="0" w:space="0" w:color="auto"/>
            <w:left w:val="none" w:sz="0" w:space="0" w:color="auto"/>
            <w:bottom w:val="none" w:sz="0" w:space="0" w:color="auto"/>
            <w:right w:val="none" w:sz="0" w:space="0" w:color="auto"/>
          </w:divBdr>
        </w:div>
        <w:div w:id="1717662374">
          <w:marLeft w:val="1080"/>
          <w:marRight w:val="0"/>
          <w:marTop w:val="100"/>
          <w:marBottom w:val="0"/>
          <w:divBdr>
            <w:top w:val="none" w:sz="0" w:space="0" w:color="auto"/>
            <w:left w:val="none" w:sz="0" w:space="0" w:color="auto"/>
            <w:bottom w:val="none" w:sz="0" w:space="0" w:color="auto"/>
            <w:right w:val="none" w:sz="0" w:space="0" w:color="auto"/>
          </w:divBdr>
        </w:div>
        <w:div w:id="1770853901">
          <w:marLeft w:val="1080"/>
          <w:marRight w:val="0"/>
          <w:marTop w:val="100"/>
          <w:marBottom w:val="0"/>
          <w:divBdr>
            <w:top w:val="none" w:sz="0" w:space="0" w:color="auto"/>
            <w:left w:val="none" w:sz="0" w:space="0" w:color="auto"/>
            <w:bottom w:val="none" w:sz="0" w:space="0" w:color="auto"/>
            <w:right w:val="none" w:sz="0" w:space="0" w:color="auto"/>
          </w:divBdr>
        </w:div>
        <w:div w:id="1995865043">
          <w:marLeft w:val="1080"/>
          <w:marRight w:val="0"/>
          <w:marTop w:val="100"/>
          <w:marBottom w:val="0"/>
          <w:divBdr>
            <w:top w:val="none" w:sz="0" w:space="0" w:color="auto"/>
            <w:left w:val="none" w:sz="0" w:space="0" w:color="auto"/>
            <w:bottom w:val="none" w:sz="0" w:space="0" w:color="auto"/>
            <w:right w:val="none" w:sz="0" w:space="0" w:color="auto"/>
          </w:divBdr>
        </w:div>
        <w:div w:id="2061437871">
          <w:marLeft w:val="1080"/>
          <w:marRight w:val="0"/>
          <w:marTop w:val="100"/>
          <w:marBottom w:val="0"/>
          <w:divBdr>
            <w:top w:val="none" w:sz="0" w:space="0" w:color="auto"/>
            <w:left w:val="none" w:sz="0" w:space="0" w:color="auto"/>
            <w:bottom w:val="none" w:sz="0" w:space="0" w:color="auto"/>
            <w:right w:val="none" w:sz="0" w:space="0" w:color="auto"/>
          </w:divBdr>
        </w:div>
      </w:divsChild>
    </w:div>
    <w:div w:id="1414282963">
      <w:bodyDiv w:val="1"/>
      <w:marLeft w:val="0"/>
      <w:marRight w:val="0"/>
      <w:marTop w:val="0"/>
      <w:marBottom w:val="0"/>
      <w:divBdr>
        <w:top w:val="none" w:sz="0" w:space="0" w:color="auto"/>
        <w:left w:val="none" w:sz="0" w:space="0" w:color="auto"/>
        <w:bottom w:val="none" w:sz="0" w:space="0" w:color="auto"/>
        <w:right w:val="none" w:sz="0" w:space="0" w:color="auto"/>
      </w:divBdr>
    </w:div>
    <w:div w:id="1415589426">
      <w:bodyDiv w:val="1"/>
      <w:marLeft w:val="0"/>
      <w:marRight w:val="0"/>
      <w:marTop w:val="0"/>
      <w:marBottom w:val="0"/>
      <w:divBdr>
        <w:top w:val="none" w:sz="0" w:space="0" w:color="auto"/>
        <w:left w:val="none" w:sz="0" w:space="0" w:color="auto"/>
        <w:bottom w:val="none" w:sz="0" w:space="0" w:color="auto"/>
        <w:right w:val="none" w:sz="0" w:space="0" w:color="auto"/>
      </w:divBdr>
    </w:div>
    <w:div w:id="1421947485">
      <w:bodyDiv w:val="1"/>
      <w:marLeft w:val="0"/>
      <w:marRight w:val="0"/>
      <w:marTop w:val="0"/>
      <w:marBottom w:val="0"/>
      <w:divBdr>
        <w:top w:val="none" w:sz="0" w:space="0" w:color="auto"/>
        <w:left w:val="none" w:sz="0" w:space="0" w:color="auto"/>
        <w:bottom w:val="none" w:sz="0" w:space="0" w:color="auto"/>
        <w:right w:val="none" w:sz="0" w:space="0" w:color="auto"/>
      </w:divBdr>
      <w:divsChild>
        <w:div w:id="129058759">
          <w:marLeft w:val="274"/>
          <w:marRight w:val="0"/>
          <w:marTop w:val="58"/>
          <w:marBottom w:val="0"/>
          <w:divBdr>
            <w:top w:val="none" w:sz="0" w:space="0" w:color="auto"/>
            <w:left w:val="none" w:sz="0" w:space="0" w:color="auto"/>
            <w:bottom w:val="none" w:sz="0" w:space="0" w:color="auto"/>
            <w:right w:val="none" w:sz="0" w:space="0" w:color="auto"/>
          </w:divBdr>
        </w:div>
        <w:div w:id="1069036265">
          <w:marLeft w:val="274"/>
          <w:marRight w:val="0"/>
          <w:marTop w:val="58"/>
          <w:marBottom w:val="0"/>
          <w:divBdr>
            <w:top w:val="none" w:sz="0" w:space="0" w:color="auto"/>
            <w:left w:val="none" w:sz="0" w:space="0" w:color="auto"/>
            <w:bottom w:val="none" w:sz="0" w:space="0" w:color="auto"/>
            <w:right w:val="none" w:sz="0" w:space="0" w:color="auto"/>
          </w:divBdr>
        </w:div>
        <w:div w:id="1167404937">
          <w:marLeft w:val="274"/>
          <w:marRight w:val="0"/>
          <w:marTop w:val="58"/>
          <w:marBottom w:val="0"/>
          <w:divBdr>
            <w:top w:val="none" w:sz="0" w:space="0" w:color="auto"/>
            <w:left w:val="none" w:sz="0" w:space="0" w:color="auto"/>
            <w:bottom w:val="none" w:sz="0" w:space="0" w:color="auto"/>
            <w:right w:val="none" w:sz="0" w:space="0" w:color="auto"/>
          </w:divBdr>
        </w:div>
        <w:div w:id="1256013420">
          <w:marLeft w:val="274"/>
          <w:marRight w:val="0"/>
          <w:marTop w:val="58"/>
          <w:marBottom w:val="0"/>
          <w:divBdr>
            <w:top w:val="none" w:sz="0" w:space="0" w:color="auto"/>
            <w:left w:val="none" w:sz="0" w:space="0" w:color="auto"/>
            <w:bottom w:val="none" w:sz="0" w:space="0" w:color="auto"/>
            <w:right w:val="none" w:sz="0" w:space="0" w:color="auto"/>
          </w:divBdr>
        </w:div>
        <w:div w:id="1724788773">
          <w:marLeft w:val="274"/>
          <w:marRight w:val="0"/>
          <w:marTop w:val="58"/>
          <w:marBottom w:val="0"/>
          <w:divBdr>
            <w:top w:val="none" w:sz="0" w:space="0" w:color="auto"/>
            <w:left w:val="none" w:sz="0" w:space="0" w:color="auto"/>
            <w:bottom w:val="none" w:sz="0" w:space="0" w:color="auto"/>
            <w:right w:val="none" w:sz="0" w:space="0" w:color="auto"/>
          </w:divBdr>
        </w:div>
      </w:divsChild>
    </w:div>
    <w:div w:id="1463844627">
      <w:bodyDiv w:val="1"/>
      <w:marLeft w:val="0"/>
      <w:marRight w:val="0"/>
      <w:marTop w:val="0"/>
      <w:marBottom w:val="0"/>
      <w:divBdr>
        <w:top w:val="none" w:sz="0" w:space="0" w:color="auto"/>
        <w:left w:val="none" w:sz="0" w:space="0" w:color="auto"/>
        <w:bottom w:val="none" w:sz="0" w:space="0" w:color="auto"/>
        <w:right w:val="none" w:sz="0" w:space="0" w:color="auto"/>
      </w:divBdr>
    </w:div>
    <w:div w:id="1470977705">
      <w:bodyDiv w:val="1"/>
      <w:marLeft w:val="0"/>
      <w:marRight w:val="0"/>
      <w:marTop w:val="0"/>
      <w:marBottom w:val="0"/>
      <w:divBdr>
        <w:top w:val="none" w:sz="0" w:space="0" w:color="auto"/>
        <w:left w:val="none" w:sz="0" w:space="0" w:color="auto"/>
        <w:bottom w:val="none" w:sz="0" w:space="0" w:color="auto"/>
        <w:right w:val="none" w:sz="0" w:space="0" w:color="auto"/>
      </w:divBdr>
      <w:divsChild>
        <w:div w:id="316614391">
          <w:marLeft w:val="547"/>
          <w:marRight w:val="0"/>
          <w:marTop w:val="67"/>
          <w:marBottom w:val="0"/>
          <w:divBdr>
            <w:top w:val="none" w:sz="0" w:space="0" w:color="auto"/>
            <w:left w:val="none" w:sz="0" w:space="0" w:color="auto"/>
            <w:bottom w:val="none" w:sz="0" w:space="0" w:color="auto"/>
            <w:right w:val="none" w:sz="0" w:space="0" w:color="auto"/>
          </w:divBdr>
        </w:div>
        <w:div w:id="610940907">
          <w:marLeft w:val="547"/>
          <w:marRight w:val="0"/>
          <w:marTop w:val="67"/>
          <w:marBottom w:val="0"/>
          <w:divBdr>
            <w:top w:val="none" w:sz="0" w:space="0" w:color="auto"/>
            <w:left w:val="none" w:sz="0" w:space="0" w:color="auto"/>
            <w:bottom w:val="none" w:sz="0" w:space="0" w:color="auto"/>
            <w:right w:val="none" w:sz="0" w:space="0" w:color="auto"/>
          </w:divBdr>
        </w:div>
        <w:div w:id="725834257">
          <w:marLeft w:val="547"/>
          <w:marRight w:val="0"/>
          <w:marTop w:val="67"/>
          <w:marBottom w:val="0"/>
          <w:divBdr>
            <w:top w:val="none" w:sz="0" w:space="0" w:color="auto"/>
            <w:left w:val="none" w:sz="0" w:space="0" w:color="auto"/>
            <w:bottom w:val="none" w:sz="0" w:space="0" w:color="auto"/>
            <w:right w:val="none" w:sz="0" w:space="0" w:color="auto"/>
          </w:divBdr>
        </w:div>
        <w:div w:id="1393578872">
          <w:marLeft w:val="547"/>
          <w:marRight w:val="0"/>
          <w:marTop w:val="67"/>
          <w:marBottom w:val="0"/>
          <w:divBdr>
            <w:top w:val="none" w:sz="0" w:space="0" w:color="auto"/>
            <w:left w:val="none" w:sz="0" w:space="0" w:color="auto"/>
            <w:bottom w:val="none" w:sz="0" w:space="0" w:color="auto"/>
            <w:right w:val="none" w:sz="0" w:space="0" w:color="auto"/>
          </w:divBdr>
        </w:div>
        <w:div w:id="1592348087">
          <w:marLeft w:val="547"/>
          <w:marRight w:val="0"/>
          <w:marTop w:val="67"/>
          <w:marBottom w:val="0"/>
          <w:divBdr>
            <w:top w:val="none" w:sz="0" w:space="0" w:color="auto"/>
            <w:left w:val="none" w:sz="0" w:space="0" w:color="auto"/>
            <w:bottom w:val="none" w:sz="0" w:space="0" w:color="auto"/>
            <w:right w:val="none" w:sz="0" w:space="0" w:color="auto"/>
          </w:divBdr>
        </w:div>
        <w:div w:id="2009093189">
          <w:marLeft w:val="547"/>
          <w:marRight w:val="0"/>
          <w:marTop w:val="67"/>
          <w:marBottom w:val="0"/>
          <w:divBdr>
            <w:top w:val="none" w:sz="0" w:space="0" w:color="auto"/>
            <w:left w:val="none" w:sz="0" w:space="0" w:color="auto"/>
            <w:bottom w:val="none" w:sz="0" w:space="0" w:color="auto"/>
            <w:right w:val="none" w:sz="0" w:space="0" w:color="auto"/>
          </w:divBdr>
        </w:div>
      </w:divsChild>
    </w:div>
    <w:div w:id="1493791376">
      <w:bodyDiv w:val="1"/>
      <w:marLeft w:val="0"/>
      <w:marRight w:val="0"/>
      <w:marTop w:val="0"/>
      <w:marBottom w:val="0"/>
      <w:divBdr>
        <w:top w:val="none" w:sz="0" w:space="0" w:color="auto"/>
        <w:left w:val="none" w:sz="0" w:space="0" w:color="auto"/>
        <w:bottom w:val="none" w:sz="0" w:space="0" w:color="auto"/>
        <w:right w:val="none" w:sz="0" w:space="0" w:color="auto"/>
      </w:divBdr>
      <w:divsChild>
        <w:div w:id="341249244">
          <w:marLeft w:val="1080"/>
          <w:marRight w:val="0"/>
          <w:marTop w:val="100"/>
          <w:marBottom w:val="0"/>
          <w:divBdr>
            <w:top w:val="none" w:sz="0" w:space="0" w:color="auto"/>
            <w:left w:val="none" w:sz="0" w:space="0" w:color="auto"/>
            <w:bottom w:val="none" w:sz="0" w:space="0" w:color="auto"/>
            <w:right w:val="none" w:sz="0" w:space="0" w:color="auto"/>
          </w:divBdr>
        </w:div>
      </w:divsChild>
    </w:div>
    <w:div w:id="1514763700">
      <w:bodyDiv w:val="1"/>
      <w:marLeft w:val="0"/>
      <w:marRight w:val="0"/>
      <w:marTop w:val="0"/>
      <w:marBottom w:val="0"/>
      <w:divBdr>
        <w:top w:val="none" w:sz="0" w:space="0" w:color="auto"/>
        <w:left w:val="none" w:sz="0" w:space="0" w:color="auto"/>
        <w:bottom w:val="none" w:sz="0" w:space="0" w:color="auto"/>
        <w:right w:val="none" w:sz="0" w:space="0" w:color="auto"/>
      </w:divBdr>
    </w:div>
    <w:div w:id="1579166221">
      <w:bodyDiv w:val="1"/>
      <w:marLeft w:val="0"/>
      <w:marRight w:val="0"/>
      <w:marTop w:val="0"/>
      <w:marBottom w:val="0"/>
      <w:divBdr>
        <w:top w:val="none" w:sz="0" w:space="0" w:color="auto"/>
        <w:left w:val="none" w:sz="0" w:space="0" w:color="auto"/>
        <w:bottom w:val="none" w:sz="0" w:space="0" w:color="auto"/>
        <w:right w:val="none" w:sz="0" w:space="0" w:color="auto"/>
      </w:divBdr>
      <w:divsChild>
        <w:div w:id="469984404">
          <w:marLeft w:val="274"/>
          <w:marRight w:val="0"/>
          <w:marTop w:val="0"/>
          <w:marBottom w:val="0"/>
          <w:divBdr>
            <w:top w:val="none" w:sz="0" w:space="0" w:color="auto"/>
            <w:left w:val="none" w:sz="0" w:space="0" w:color="auto"/>
            <w:bottom w:val="none" w:sz="0" w:space="0" w:color="auto"/>
            <w:right w:val="none" w:sz="0" w:space="0" w:color="auto"/>
          </w:divBdr>
        </w:div>
        <w:div w:id="867255305">
          <w:marLeft w:val="274"/>
          <w:marRight w:val="0"/>
          <w:marTop w:val="0"/>
          <w:marBottom w:val="0"/>
          <w:divBdr>
            <w:top w:val="none" w:sz="0" w:space="0" w:color="auto"/>
            <w:left w:val="none" w:sz="0" w:space="0" w:color="auto"/>
            <w:bottom w:val="none" w:sz="0" w:space="0" w:color="auto"/>
            <w:right w:val="none" w:sz="0" w:space="0" w:color="auto"/>
          </w:divBdr>
        </w:div>
        <w:div w:id="1134057012">
          <w:marLeft w:val="274"/>
          <w:marRight w:val="0"/>
          <w:marTop w:val="0"/>
          <w:marBottom w:val="0"/>
          <w:divBdr>
            <w:top w:val="none" w:sz="0" w:space="0" w:color="auto"/>
            <w:left w:val="none" w:sz="0" w:space="0" w:color="auto"/>
            <w:bottom w:val="none" w:sz="0" w:space="0" w:color="auto"/>
            <w:right w:val="none" w:sz="0" w:space="0" w:color="auto"/>
          </w:divBdr>
        </w:div>
        <w:div w:id="1503231588">
          <w:marLeft w:val="274"/>
          <w:marRight w:val="0"/>
          <w:marTop w:val="0"/>
          <w:marBottom w:val="0"/>
          <w:divBdr>
            <w:top w:val="none" w:sz="0" w:space="0" w:color="auto"/>
            <w:left w:val="none" w:sz="0" w:space="0" w:color="auto"/>
            <w:bottom w:val="none" w:sz="0" w:space="0" w:color="auto"/>
            <w:right w:val="none" w:sz="0" w:space="0" w:color="auto"/>
          </w:divBdr>
        </w:div>
        <w:div w:id="1620603278">
          <w:marLeft w:val="274"/>
          <w:marRight w:val="0"/>
          <w:marTop w:val="0"/>
          <w:marBottom w:val="0"/>
          <w:divBdr>
            <w:top w:val="none" w:sz="0" w:space="0" w:color="auto"/>
            <w:left w:val="none" w:sz="0" w:space="0" w:color="auto"/>
            <w:bottom w:val="none" w:sz="0" w:space="0" w:color="auto"/>
            <w:right w:val="none" w:sz="0" w:space="0" w:color="auto"/>
          </w:divBdr>
        </w:div>
        <w:div w:id="1846439285">
          <w:marLeft w:val="274"/>
          <w:marRight w:val="0"/>
          <w:marTop w:val="0"/>
          <w:marBottom w:val="0"/>
          <w:divBdr>
            <w:top w:val="none" w:sz="0" w:space="0" w:color="auto"/>
            <w:left w:val="none" w:sz="0" w:space="0" w:color="auto"/>
            <w:bottom w:val="none" w:sz="0" w:space="0" w:color="auto"/>
            <w:right w:val="none" w:sz="0" w:space="0" w:color="auto"/>
          </w:divBdr>
        </w:div>
        <w:div w:id="1985163520">
          <w:marLeft w:val="274"/>
          <w:marRight w:val="0"/>
          <w:marTop w:val="0"/>
          <w:marBottom w:val="0"/>
          <w:divBdr>
            <w:top w:val="none" w:sz="0" w:space="0" w:color="auto"/>
            <w:left w:val="none" w:sz="0" w:space="0" w:color="auto"/>
            <w:bottom w:val="none" w:sz="0" w:space="0" w:color="auto"/>
            <w:right w:val="none" w:sz="0" w:space="0" w:color="auto"/>
          </w:divBdr>
        </w:div>
      </w:divsChild>
    </w:div>
    <w:div w:id="1588464624">
      <w:bodyDiv w:val="1"/>
      <w:marLeft w:val="0"/>
      <w:marRight w:val="0"/>
      <w:marTop w:val="0"/>
      <w:marBottom w:val="0"/>
      <w:divBdr>
        <w:top w:val="none" w:sz="0" w:space="0" w:color="auto"/>
        <w:left w:val="none" w:sz="0" w:space="0" w:color="auto"/>
        <w:bottom w:val="none" w:sz="0" w:space="0" w:color="auto"/>
        <w:right w:val="none" w:sz="0" w:space="0" w:color="auto"/>
      </w:divBdr>
    </w:div>
    <w:div w:id="1632904874">
      <w:bodyDiv w:val="1"/>
      <w:marLeft w:val="0"/>
      <w:marRight w:val="0"/>
      <w:marTop w:val="0"/>
      <w:marBottom w:val="0"/>
      <w:divBdr>
        <w:top w:val="none" w:sz="0" w:space="0" w:color="auto"/>
        <w:left w:val="none" w:sz="0" w:space="0" w:color="auto"/>
        <w:bottom w:val="none" w:sz="0" w:space="0" w:color="auto"/>
        <w:right w:val="none" w:sz="0" w:space="0" w:color="auto"/>
      </w:divBdr>
    </w:div>
    <w:div w:id="1637950214">
      <w:bodyDiv w:val="1"/>
      <w:marLeft w:val="0"/>
      <w:marRight w:val="0"/>
      <w:marTop w:val="0"/>
      <w:marBottom w:val="0"/>
      <w:divBdr>
        <w:top w:val="none" w:sz="0" w:space="0" w:color="auto"/>
        <w:left w:val="none" w:sz="0" w:space="0" w:color="auto"/>
        <w:bottom w:val="none" w:sz="0" w:space="0" w:color="auto"/>
        <w:right w:val="none" w:sz="0" w:space="0" w:color="auto"/>
      </w:divBdr>
    </w:div>
    <w:div w:id="1649628743">
      <w:bodyDiv w:val="1"/>
      <w:marLeft w:val="0"/>
      <w:marRight w:val="0"/>
      <w:marTop w:val="0"/>
      <w:marBottom w:val="0"/>
      <w:divBdr>
        <w:top w:val="none" w:sz="0" w:space="0" w:color="auto"/>
        <w:left w:val="none" w:sz="0" w:space="0" w:color="auto"/>
        <w:bottom w:val="none" w:sz="0" w:space="0" w:color="auto"/>
        <w:right w:val="none" w:sz="0" w:space="0" w:color="auto"/>
      </w:divBdr>
      <w:divsChild>
        <w:div w:id="840775972">
          <w:marLeft w:val="835"/>
          <w:marRight w:val="0"/>
          <w:marTop w:val="200"/>
          <w:marBottom w:val="0"/>
          <w:divBdr>
            <w:top w:val="none" w:sz="0" w:space="0" w:color="auto"/>
            <w:left w:val="none" w:sz="0" w:space="0" w:color="auto"/>
            <w:bottom w:val="none" w:sz="0" w:space="0" w:color="auto"/>
            <w:right w:val="none" w:sz="0" w:space="0" w:color="auto"/>
          </w:divBdr>
        </w:div>
        <w:div w:id="1082678771">
          <w:marLeft w:val="835"/>
          <w:marRight w:val="0"/>
          <w:marTop w:val="200"/>
          <w:marBottom w:val="0"/>
          <w:divBdr>
            <w:top w:val="none" w:sz="0" w:space="0" w:color="auto"/>
            <w:left w:val="none" w:sz="0" w:space="0" w:color="auto"/>
            <w:bottom w:val="none" w:sz="0" w:space="0" w:color="auto"/>
            <w:right w:val="none" w:sz="0" w:space="0" w:color="auto"/>
          </w:divBdr>
        </w:div>
        <w:div w:id="1150441420">
          <w:marLeft w:val="835"/>
          <w:marRight w:val="0"/>
          <w:marTop w:val="200"/>
          <w:marBottom w:val="0"/>
          <w:divBdr>
            <w:top w:val="none" w:sz="0" w:space="0" w:color="auto"/>
            <w:left w:val="none" w:sz="0" w:space="0" w:color="auto"/>
            <w:bottom w:val="none" w:sz="0" w:space="0" w:color="auto"/>
            <w:right w:val="none" w:sz="0" w:space="0" w:color="auto"/>
          </w:divBdr>
        </w:div>
        <w:div w:id="1555431563">
          <w:marLeft w:val="835"/>
          <w:marRight w:val="0"/>
          <w:marTop w:val="200"/>
          <w:marBottom w:val="0"/>
          <w:divBdr>
            <w:top w:val="none" w:sz="0" w:space="0" w:color="auto"/>
            <w:left w:val="none" w:sz="0" w:space="0" w:color="auto"/>
            <w:bottom w:val="none" w:sz="0" w:space="0" w:color="auto"/>
            <w:right w:val="none" w:sz="0" w:space="0" w:color="auto"/>
          </w:divBdr>
        </w:div>
      </w:divsChild>
    </w:div>
    <w:div w:id="1679231513">
      <w:bodyDiv w:val="1"/>
      <w:marLeft w:val="0"/>
      <w:marRight w:val="0"/>
      <w:marTop w:val="0"/>
      <w:marBottom w:val="0"/>
      <w:divBdr>
        <w:top w:val="none" w:sz="0" w:space="0" w:color="auto"/>
        <w:left w:val="none" w:sz="0" w:space="0" w:color="auto"/>
        <w:bottom w:val="none" w:sz="0" w:space="0" w:color="auto"/>
        <w:right w:val="none" w:sz="0" w:space="0" w:color="auto"/>
      </w:divBdr>
      <w:divsChild>
        <w:div w:id="1240017639">
          <w:marLeft w:val="835"/>
          <w:marRight w:val="0"/>
          <w:marTop w:val="200"/>
          <w:marBottom w:val="0"/>
          <w:divBdr>
            <w:top w:val="none" w:sz="0" w:space="0" w:color="auto"/>
            <w:left w:val="none" w:sz="0" w:space="0" w:color="auto"/>
            <w:bottom w:val="none" w:sz="0" w:space="0" w:color="auto"/>
            <w:right w:val="none" w:sz="0" w:space="0" w:color="auto"/>
          </w:divBdr>
        </w:div>
      </w:divsChild>
    </w:div>
    <w:div w:id="1686057123">
      <w:bodyDiv w:val="1"/>
      <w:marLeft w:val="0"/>
      <w:marRight w:val="0"/>
      <w:marTop w:val="0"/>
      <w:marBottom w:val="0"/>
      <w:divBdr>
        <w:top w:val="none" w:sz="0" w:space="0" w:color="auto"/>
        <w:left w:val="none" w:sz="0" w:space="0" w:color="auto"/>
        <w:bottom w:val="none" w:sz="0" w:space="0" w:color="auto"/>
        <w:right w:val="none" w:sz="0" w:space="0" w:color="auto"/>
      </w:divBdr>
      <w:divsChild>
        <w:div w:id="520094336">
          <w:marLeft w:val="0"/>
          <w:marRight w:val="0"/>
          <w:marTop w:val="0"/>
          <w:marBottom w:val="0"/>
          <w:divBdr>
            <w:top w:val="none" w:sz="0" w:space="0" w:color="auto"/>
            <w:left w:val="none" w:sz="0" w:space="0" w:color="auto"/>
            <w:bottom w:val="none" w:sz="0" w:space="0" w:color="auto"/>
            <w:right w:val="none" w:sz="0" w:space="0" w:color="auto"/>
          </w:divBdr>
        </w:div>
        <w:div w:id="927428350">
          <w:marLeft w:val="0"/>
          <w:marRight w:val="0"/>
          <w:marTop w:val="0"/>
          <w:marBottom w:val="0"/>
          <w:divBdr>
            <w:top w:val="none" w:sz="0" w:space="0" w:color="auto"/>
            <w:left w:val="none" w:sz="0" w:space="0" w:color="auto"/>
            <w:bottom w:val="none" w:sz="0" w:space="0" w:color="auto"/>
            <w:right w:val="none" w:sz="0" w:space="0" w:color="auto"/>
          </w:divBdr>
        </w:div>
      </w:divsChild>
    </w:div>
    <w:div w:id="1699702237">
      <w:bodyDiv w:val="1"/>
      <w:marLeft w:val="0"/>
      <w:marRight w:val="0"/>
      <w:marTop w:val="0"/>
      <w:marBottom w:val="0"/>
      <w:divBdr>
        <w:top w:val="none" w:sz="0" w:space="0" w:color="auto"/>
        <w:left w:val="none" w:sz="0" w:space="0" w:color="auto"/>
        <w:bottom w:val="none" w:sz="0" w:space="0" w:color="auto"/>
        <w:right w:val="none" w:sz="0" w:space="0" w:color="auto"/>
      </w:divBdr>
    </w:div>
    <w:div w:id="1730765554">
      <w:bodyDiv w:val="1"/>
      <w:marLeft w:val="0"/>
      <w:marRight w:val="0"/>
      <w:marTop w:val="0"/>
      <w:marBottom w:val="0"/>
      <w:divBdr>
        <w:top w:val="none" w:sz="0" w:space="0" w:color="auto"/>
        <w:left w:val="none" w:sz="0" w:space="0" w:color="auto"/>
        <w:bottom w:val="none" w:sz="0" w:space="0" w:color="auto"/>
        <w:right w:val="none" w:sz="0" w:space="0" w:color="auto"/>
      </w:divBdr>
    </w:div>
    <w:div w:id="1731683741">
      <w:bodyDiv w:val="1"/>
      <w:marLeft w:val="0"/>
      <w:marRight w:val="0"/>
      <w:marTop w:val="0"/>
      <w:marBottom w:val="0"/>
      <w:divBdr>
        <w:top w:val="none" w:sz="0" w:space="0" w:color="auto"/>
        <w:left w:val="none" w:sz="0" w:space="0" w:color="auto"/>
        <w:bottom w:val="none" w:sz="0" w:space="0" w:color="auto"/>
        <w:right w:val="none" w:sz="0" w:space="0" w:color="auto"/>
      </w:divBdr>
      <w:divsChild>
        <w:div w:id="155416856">
          <w:marLeft w:val="835"/>
          <w:marRight w:val="0"/>
          <w:marTop w:val="200"/>
          <w:marBottom w:val="0"/>
          <w:divBdr>
            <w:top w:val="none" w:sz="0" w:space="0" w:color="auto"/>
            <w:left w:val="none" w:sz="0" w:space="0" w:color="auto"/>
            <w:bottom w:val="none" w:sz="0" w:space="0" w:color="auto"/>
            <w:right w:val="none" w:sz="0" w:space="0" w:color="auto"/>
          </w:divBdr>
        </w:div>
        <w:div w:id="639070896">
          <w:marLeft w:val="835"/>
          <w:marRight w:val="0"/>
          <w:marTop w:val="200"/>
          <w:marBottom w:val="0"/>
          <w:divBdr>
            <w:top w:val="none" w:sz="0" w:space="0" w:color="auto"/>
            <w:left w:val="none" w:sz="0" w:space="0" w:color="auto"/>
            <w:bottom w:val="none" w:sz="0" w:space="0" w:color="auto"/>
            <w:right w:val="none" w:sz="0" w:space="0" w:color="auto"/>
          </w:divBdr>
        </w:div>
        <w:div w:id="660501470">
          <w:marLeft w:val="835"/>
          <w:marRight w:val="0"/>
          <w:marTop w:val="200"/>
          <w:marBottom w:val="0"/>
          <w:divBdr>
            <w:top w:val="none" w:sz="0" w:space="0" w:color="auto"/>
            <w:left w:val="none" w:sz="0" w:space="0" w:color="auto"/>
            <w:bottom w:val="none" w:sz="0" w:space="0" w:color="auto"/>
            <w:right w:val="none" w:sz="0" w:space="0" w:color="auto"/>
          </w:divBdr>
        </w:div>
        <w:div w:id="931819939">
          <w:marLeft w:val="835"/>
          <w:marRight w:val="0"/>
          <w:marTop w:val="200"/>
          <w:marBottom w:val="0"/>
          <w:divBdr>
            <w:top w:val="none" w:sz="0" w:space="0" w:color="auto"/>
            <w:left w:val="none" w:sz="0" w:space="0" w:color="auto"/>
            <w:bottom w:val="none" w:sz="0" w:space="0" w:color="auto"/>
            <w:right w:val="none" w:sz="0" w:space="0" w:color="auto"/>
          </w:divBdr>
        </w:div>
        <w:div w:id="1052583293">
          <w:marLeft w:val="835"/>
          <w:marRight w:val="0"/>
          <w:marTop w:val="200"/>
          <w:marBottom w:val="0"/>
          <w:divBdr>
            <w:top w:val="none" w:sz="0" w:space="0" w:color="auto"/>
            <w:left w:val="none" w:sz="0" w:space="0" w:color="auto"/>
            <w:bottom w:val="none" w:sz="0" w:space="0" w:color="auto"/>
            <w:right w:val="none" w:sz="0" w:space="0" w:color="auto"/>
          </w:divBdr>
        </w:div>
        <w:div w:id="1174148595">
          <w:marLeft w:val="835"/>
          <w:marRight w:val="0"/>
          <w:marTop w:val="200"/>
          <w:marBottom w:val="0"/>
          <w:divBdr>
            <w:top w:val="none" w:sz="0" w:space="0" w:color="auto"/>
            <w:left w:val="none" w:sz="0" w:space="0" w:color="auto"/>
            <w:bottom w:val="none" w:sz="0" w:space="0" w:color="auto"/>
            <w:right w:val="none" w:sz="0" w:space="0" w:color="auto"/>
          </w:divBdr>
        </w:div>
        <w:div w:id="1378046251">
          <w:marLeft w:val="835"/>
          <w:marRight w:val="0"/>
          <w:marTop w:val="200"/>
          <w:marBottom w:val="0"/>
          <w:divBdr>
            <w:top w:val="none" w:sz="0" w:space="0" w:color="auto"/>
            <w:left w:val="none" w:sz="0" w:space="0" w:color="auto"/>
            <w:bottom w:val="none" w:sz="0" w:space="0" w:color="auto"/>
            <w:right w:val="none" w:sz="0" w:space="0" w:color="auto"/>
          </w:divBdr>
        </w:div>
        <w:div w:id="1848589775">
          <w:marLeft w:val="835"/>
          <w:marRight w:val="0"/>
          <w:marTop w:val="200"/>
          <w:marBottom w:val="0"/>
          <w:divBdr>
            <w:top w:val="none" w:sz="0" w:space="0" w:color="auto"/>
            <w:left w:val="none" w:sz="0" w:space="0" w:color="auto"/>
            <w:bottom w:val="none" w:sz="0" w:space="0" w:color="auto"/>
            <w:right w:val="none" w:sz="0" w:space="0" w:color="auto"/>
          </w:divBdr>
        </w:div>
        <w:div w:id="2051105492">
          <w:marLeft w:val="835"/>
          <w:marRight w:val="0"/>
          <w:marTop w:val="200"/>
          <w:marBottom w:val="0"/>
          <w:divBdr>
            <w:top w:val="none" w:sz="0" w:space="0" w:color="auto"/>
            <w:left w:val="none" w:sz="0" w:space="0" w:color="auto"/>
            <w:bottom w:val="none" w:sz="0" w:space="0" w:color="auto"/>
            <w:right w:val="none" w:sz="0" w:space="0" w:color="auto"/>
          </w:divBdr>
        </w:div>
      </w:divsChild>
    </w:div>
    <w:div w:id="1765416425">
      <w:bodyDiv w:val="1"/>
      <w:marLeft w:val="0"/>
      <w:marRight w:val="0"/>
      <w:marTop w:val="0"/>
      <w:marBottom w:val="0"/>
      <w:divBdr>
        <w:top w:val="none" w:sz="0" w:space="0" w:color="auto"/>
        <w:left w:val="none" w:sz="0" w:space="0" w:color="auto"/>
        <w:bottom w:val="none" w:sz="0" w:space="0" w:color="auto"/>
        <w:right w:val="none" w:sz="0" w:space="0" w:color="auto"/>
      </w:divBdr>
      <w:divsChild>
        <w:div w:id="335960640">
          <w:marLeft w:val="274"/>
          <w:marRight w:val="0"/>
          <w:marTop w:val="0"/>
          <w:marBottom w:val="0"/>
          <w:divBdr>
            <w:top w:val="none" w:sz="0" w:space="0" w:color="auto"/>
            <w:left w:val="none" w:sz="0" w:space="0" w:color="auto"/>
            <w:bottom w:val="none" w:sz="0" w:space="0" w:color="auto"/>
            <w:right w:val="none" w:sz="0" w:space="0" w:color="auto"/>
          </w:divBdr>
        </w:div>
        <w:div w:id="399408221">
          <w:marLeft w:val="274"/>
          <w:marRight w:val="0"/>
          <w:marTop w:val="0"/>
          <w:marBottom w:val="0"/>
          <w:divBdr>
            <w:top w:val="none" w:sz="0" w:space="0" w:color="auto"/>
            <w:left w:val="none" w:sz="0" w:space="0" w:color="auto"/>
            <w:bottom w:val="none" w:sz="0" w:space="0" w:color="auto"/>
            <w:right w:val="none" w:sz="0" w:space="0" w:color="auto"/>
          </w:divBdr>
        </w:div>
        <w:div w:id="1094936659">
          <w:marLeft w:val="274"/>
          <w:marRight w:val="0"/>
          <w:marTop w:val="0"/>
          <w:marBottom w:val="0"/>
          <w:divBdr>
            <w:top w:val="none" w:sz="0" w:space="0" w:color="auto"/>
            <w:left w:val="none" w:sz="0" w:space="0" w:color="auto"/>
            <w:bottom w:val="none" w:sz="0" w:space="0" w:color="auto"/>
            <w:right w:val="none" w:sz="0" w:space="0" w:color="auto"/>
          </w:divBdr>
        </w:div>
        <w:div w:id="1218934970">
          <w:marLeft w:val="274"/>
          <w:marRight w:val="0"/>
          <w:marTop w:val="0"/>
          <w:marBottom w:val="0"/>
          <w:divBdr>
            <w:top w:val="none" w:sz="0" w:space="0" w:color="auto"/>
            <w:left w:val="none" w:sz="0" w:space="0" w:color="auto"/>
            <w:bottom w:val="none" w:sz="0" w:space="0" w:color="auto"/>
            <w:right w:val="none" w:sz="0" w:space="0" w:color="auto"/>
          </w:divBdr>
        </w:div>
        <w:div w:id="1296133145">
          <w:marLeft w:val="274"/>
          <w:marRight w:val="0"/>
          <w:marTop w:val="0"/>
          <w:marBottom w:val="0"/>
          <w:divBdr>
            <w:top w:val="none" w:sz="0" w:space="0" w:color="auto"/>
            <w:left w:val="none" w:sz="0" w:space="0" w:color="auto"/>
            <w:bottom w:val="none" w:sz="0" w:space="0" w:color="auto"/>
            <w:right w:val="none" w:sz="0" w:space="0" w:color="auto"/>
          </w:divBdr>
        </w:div>
        <w:div w:id="1369527997">
          <w:marLeft w:val="274"/>
          <w:marRight w:val="0"/>
          <w:marTop w:val="0"/>
          <w:marBottom w:val="0"/>
          <w:divBdr>
            <w:top w:val="none" w:sz="0" w:space="0" w:color="auto"/>
            <w:left w:val="none" w:sz="0" w:space="0" w:color="auto"/>
            <w:bottom w:val="none" w:sz="0" w:space="0" w:color="auto"/>
            <w:right w:val="none" w:sz="0" w:space="0" w:color="auto"/>
          </w:divBdr>
        </w:div>
        <w:div w:id="1537309310">
          <w:marLeft w:val="274"/>
          <w:marRight w:val="0"/>
          <w:marTop w:val="0"/>
          <w:marBottom w:val="0"/>
          <w:divBdr>
            <w:top w:val="none" w:sz="0" w:space="0" w:color="auto"/>
            <w:left w:val="none" w:sz="0" w:space="0" w:color="auto"/>
            <w:bottom w:val="none" w:sz="0" w:space="0" w:color="auto"/>
            <w:right w:val="none" w:sz="0" w:space="0" w:color="auto"/>
          </w:divBdr>
        </w:div>
        <w:div w:id="1796824366">
          <w:marLeft w:val="274"/>
          <w:marRight w:val="0"/>
          <w:marTop w:val="0"/>
          <w:marBottom w:val="0"/>
          <w:divBdr>
            <w:top w:val="none" w:sz="0" w:space="0" w:color="auto"/>
            <w:left w:val="none" w:sz="0" w:space="0" w:color="auto"/>
            <w:bottom w:val="none" w:sz="0" w:space="0" w:color="auto"/>
            <w:right w:val="none" w:sz="0" w:space="0" w:color="auto"/>
          </w:divBdr>
        </w:div>
        <w:div w:id="1845124452">
          <w:marLeft w:val="274"/>
          <w:marRight w:val="0"/>
          <w:marTop w:val="0"/>
          <w:marBottom w:val="0"/>
          <w:divBdr>
            <w:top w:val="none" w:sz="0" w:space="0" w:color="auto"/>
            <w:left w:val="none" w:sz="0" w:space="0" w:color="auto"/>
            <w:bottom w:val="none" w:sz="0" w:space="0" w:color="auto"/>
            <w:right w:val="none" w:sz="0" w:space="0" w:color="auto"/>
          </w:divBdr>
        </w:div>
        <w:div w:id="1877034999">
          <w:marLeft w:val="274"/>
          <w:marRight w:val="0"/>
          <w:marTop w:val="0"/>
          <w:marBottom w:val="0"/>
          <w:divBdr>
            <w:top w:val="none" w:sz="0" w:space="0" w:color="auto"/>
            <w:left w:val="none" w:sz="0" w:space="0" w:color="auto"/>
            <w:bottom w:val="none" w:sz="0" w:space="0" w:color="auto"/>
            <w:right w:val="none" w:sz="0" w:space="0" w:color="auto"/>
          </w:divBdr>
        </w:div>
        <w:div w:id="2057200307">
          <w:marLeft w:val="274"/>
          <w:marRight w:val="0"/>
          <w:marTop w:val="0"/>
          <w:marBottom w:val="0"/>
          <w:divBdr>
            <w:top w:val="none" w:sz="0" w:space="0" w:color="auto"/>
            <w:left w:val="none" w:sz="0" w:space="0" w:color="auto"/>
            <w:bottom w:val="none" w:sz="0" w:space="0" w:color="auto"/>
            <w:right w:val="none" w:sz="0" w:space="0" w:color="auto"/>
          </w:divBdr>
        </w:div>
      </w:divsChild>
    </w:div>
    <w:div w:id="1775318748">
      <w:bodyDiv w:val="1"/>
      <w:marLeft w:val="0"/>
      <w:marRight w:val="0"/>
      <w:marTop w:val="0"/>
      <w:marBottom w:val="0"/>
      <w:divBdr>
        <w:top w:val="none" w:sz="0" w:space="0" w:color="auto"/>
        <w:left w:val="none" w:sz="0" w:space="0" w:color="auto"/>
        <w:bottom w:val="none" w:sz="0" w:space="0" w:color="auto"/>
        <w:right w:val="none" w:sz="0" w:space="0" w:color="auto"/>
      </w:divBdr>
    </w:div>
    <w:div w:id="1801679000">
      <w:bodyDiv w:val="1"/>
      <w:marLeft w:val="0"/>
      <w:marRight w:val="0"/>
      <w:marTop w:val="0"/>
      <w:marBottom w:val="0"/>
      <w:divBdr>
        <w:top w:val="none" w:sz="0" w:space="0" w:color="auto"/>
        <w:left w:val="none" w:sz="0" w:space="0" w:color="auto"/>
        <w:bottom w:val="none" w:sz="0" w:space="0" w:color="auto"/>
        <w:right w:val="none" w:sz="0" w:space="0" w:color="auto"/>
      </w:divBdr>
    </w:div>
    <w:div w:id="1849715381">
      <w:bodyDiv w:val="1"/>
      <w:marLeft w:val="0"/>
      <w:marRight w:val="0"/>
      <w:marTop w:val="0"/>
      <w:marBottom w:val="0"/>
      <w:divBdr>
        <w:top w:val="none" w:sz="0" w:space="0" w:color="auto"/>
        <w:left w:val="none" w:sz="0" w:space="0" w:color="auto"/>
        <w:bottom w:val="none" w:sz="0" w:space="0" w:color="auto"/>
        <w:right w:val="none" w:sz="0" w:space="0" w:color="auto"/>
      </w:divBdr>
    </w:div>
    <w:div w:id="1858039299">
      <w:bodyDiv w:val="1"/>
      <w:marLeft w:val="0"/>
      <w:marRight w:val="0"/>
      <w:marTop w:val="0"/>
      <w:marBottom w:val="0"/>
      <w:divBdr>
        <w:top w:val="none" w:sz="0" w:space="0" w:color="auto"/>
        <w:left w:val="none" w:sz="0" w:space="0" w:color="auto"/>
        <w:bottom w:val="none" w:sz="0" w:space="0" w:color="auto"/>
        <w:right w:val="none" w:sz="0" w:space="0" w:color="auto"/>
      </w:divBdr>
    </w:div>
    <w:div w:id="1861428712">
      <w:bodyDiv w:val="1"/>
      <w:marLeft w:val="0"/>
      <w:marRight w:val="0"/>
      <w:marTop w:val="0"/>
      <w:marBottom w:val="0"/>
      <w:divBdr>
        <w:top w:val="none" w:sz="0" w:space="0" w:color="auto"/>
        <w:left w:val="none" w:sz="0" w:space="0" w:color="auto"/>
        <w:bottom w:val="none" w:sz="0" w:space="0" w:color="auto"/>
        <w:right w:val="none" w:sz="0" w:space="0" w:color="auto"/>
      </w:divBdr>
    </w:div>
    <w:div w:id="1882093251">
      <w:bodyDiv w:val="1"/>
      <w:marLeft w:val="0"/>
      <w:marRight w:val="0"/>
      <w:marTop w:val="0"/>
      <w:marBottom w:val="0"/>
      <w:divBdr>
        <w:top w:val="none" w:sz="0" w:space="0" w:color="auto"/>
        <w:left w:val="none" w:sz="0" w:space="0" w:color="auto"/>
        <w:bottom w:val="none" w:sz="0" w:space="0" w:color="auto"/>
        <w:right w:val="none" w:sz="0" w:space="0" w:color="auto"/>
      </w:divBdr>
      <w:divsChild>
        <w:div w:id="1289702271">
          <w:marLeft w:val="274"/>
          <w:marRight w:val="0"/>
          <w:marTop w:val="0"/>
          <w:marBottom w:val="0"/>
          <w:divBdr>
            <w:top w:val="none" w:sz="0" w:space="0" w:color="auto"/>
            <w:left w:val="none" w:sz="0" w:space="0" w:color="auto"/>
            <w:bottom w:val="none" w:sz="0" w:space="0" w:color="auto"/>
            <w:right w:val="none" w:sz="0" w:space="0" w:color="auto"/>
          </w:divBdr>
        </w:div>
        <w:div w:id="1618634639">
          <w:marLeft w:val="274"/>
          <w:marRight w:val="0"/>
          <w:marTop w:val="0"/>
          <w:marBottom w:val="0"/>
          <w:divBdr>
            <w:top w:val="none" w:sz="0" w:space="0" w:color="auto"/>
            <w:left w:val="none" w:sz="0" w:space="0" w:color="auto"/>
            <w:bottom w:val="none" w:sz="0" w:space="0" w:color="auto"/>
            <w:right w:val="none" w:sz="0" w:space="0" w:color="auto"/>
          </w:divBdr>
        </w:div>
        <w:div w:id="1626764723">
          <w:marLeft w:val="274"/>
          <w:marRight w:val="0"/>
          <w:marTop w:val="0"/>
          <w:marBottom w:val="0"/>
          <w:divBdr>
            <w:top w:val="none" w:sz="0" w:space="0" w:color="auto"/>
            <w:left w:val="none" w:sz="0" w:space="0" w:color="auto"/>
            <w:bottom w:val="none" w:sz="0" w:space="0" w:color="auto"/>
            <w:right w:val="none" w:sz="0" w:space="0" w:color="auto"/>
          </w:divBdr>
        </w:div>
        <w:div w:id="1951546983">
          <w:marLeft w:val="274"/>
          <w:marRight w:val="0"/>
          <w:marTop w:val="0"/>
          <w:marBottom w:val="0"/>
          <w:divBdr>
            <w:top w:val="none" w:sz="0" w:space="0" w:color="auto"/>
            <w:left w:val="none" w:sz="0" w:space="0" w:color="auto"/>
            <w:bottom w:val="none" w:sz="0" w:space="0" w:color="auto"/>
            <w:right w:val="none" w:sz="0" w:space="0" w:color="auto"/>
          </w:divBdr>
        </w:div>
        <w:div w:id="2016414787">
          <w:marLeft w:val="274"/>
          <w:marRight w:val="0"/>
          <w:marTop w:val="0"/>
          <w:marBottom w:val="0"/>
          <w:divBdr>
            <w:top w:val="none" w:sz="0" w:space="0" w:color="auto"/>
            <w:left w:val="none" w:sz="0" w:space="0" w:color="auto"/>
            <w:bottom w:val="none" w:sz="0" w:space="0" w:color="auto"/>
            <w:right w:val="none" w:sz="0" w:space="0" w:color="auto"/>
          </w:divBdr>
        </w:div>
        <w:div w:id="2073310998">
          <w:marLeft w:val="274"/>
          <w:marRight w:val="0"/>
          <w:marTop w:val="0"/>
          <w:marBottom w:val="0"/>
          <w:divBdr>
            <w:top w:val="none" w:sz="0" w:space="0" w:color="auto"/>
            <w:left w:val="none" w:sz="0" w:space="0" w:color="auto"/>
            <w:bottom w:val="none" w:sz="0" w:space="0" w:color="auto"/>
            <w:right w:val="none" w:sz="0" w:space="0" w:color="auto"/>
          </w:divBdr>
        </w:div>
        <w:div w:id="2141341988">
          <w:marLeft w:val="274"/>
          <w:marRight w:val="0"/>
          <w:marTop w:val="0"/>
          <w:marBottom w:val="0"/>
          <w:divBdr>
            <w:top w:val="none" w:sz="0" w:space="0" w:color="auto"/>
            <w:left w:val="none" w:sz="0" w:space="0" w:color="auto"/>
            <w:bottom w:val="none" w:sz="0" w:space="0" w:color="auto"/>
            <w:right w:val="none" w:sz="0" w:space="0" w:color="auto"/>
          </w:divBdr>
        </w:div>
      </w:divsChild>
    </w:div>
    <w:div w:id="1907373173">
      <w:bodyDiv w:val="1"/>
      <w:marLeft w:val="0"/>
      <w:marRight w:val="0"/>
      <w:marTop w:val="0"/>
      <w:marBottom w:val="0"/>
      <w:divBdr>
        <w:top w:val="none" w:sz="0" w:space="0" w:color="auto"/>
        <w:left w:val="none" w:sz="0" w:space="0" w:color="auto"/>
        <w:bottom w:val="none" w:sz="0" w:space="0" w:color="auto"/>
        <w:right w:val="none" w:sz="0" w:space="0" w:color="auto"/>
      </w:divBdr>
    </w:div>
    <w:div w:id="1912345691">
      <w:bodyDiv w:val="1"/>
      <w:marLeft w:val="0"/>
      <w:marRight w:val="0"/>
      <w:marTop w:val="0"/>
      <w:marBottom w:val="0"/>
      <w:divBdr>
        <w:top w:val="none" w:sz="0" w:space="0" w:color="auto"/>
        <w:left w:val="none" w:sz="0" w:space="0" w:color="auto"/>
        <w:bottom w:val="none" w:sz="0" w:space="0" w:color="auto"/>
        <w:right w:val="none" w:sz="0" w:space="0" w:color="auto"/>
      </w:divBdr>
    </w:div>
    <w:div w:id="1919750030">
      <w:bodyDiv w:val="1"/>
      <w:marLeft w:val="0"/>
      <w:marRight w:val="0"/>
      <w:marTop w:val="0"/>
      <w:marBottom w:val="0"/>
      <w:divBdr>
        <w:top w:val="none" w:sz="0" w:space="0" w:color="auto"/>
        <w:left w:val="none" w:sz="0" w:space="0" w:color="auto"/>
        <w:bottom w:val="none" w:sz="0" w:space="0" w:color="auto"/>
        <w:right w:val="none" w:sz="0" w:space="0" w:color="auto"/>
      </w:divBdr>
    </w:div>
    <w:div w:id="1971010675">
      <w:bodyDiv w:val="1"/>
      <w:marLeft w:val="0"/>
      <w:marRight w:val="0"/>
      <w:marTop w:val="0"/>
      <w:marBottom w:val="0"/>
      <w:divBdr>
        <w:top w:val="none" w:sz="0" w:space="0" w:color="auto"/>
        <w:left w:val="none" w:sz="0" w:space="0" w:color="auto"/>
        <w:bottom w:val="none" w:sz="0" w:space="0" w:color="auto"/>
        <w:right w:val="none" w:sz="0" w:space="0" w:color="auto"/>
      </w:divBdr>
      <w:divsChild>
        <w:div w:id="264386967">
          <w:marLeft w:val="547"/>
          <w:marRight w:val="0"/>
          <w:marTop w:val="0"/>
          <w:marBottom w:val="0"/>
          <w:divBdr>
            <w:top w:val="none" w:sz="0" w:space="0" w:color="auto"/>
            <w:left w:val="none" w:sz="0" w:space="0" w:color="auto"/>
            <w:bottom w:val="none" w:sz="0" w:space="0" w:color="auto"/>
            <w:right w:val="none" w:sz="0" w:space="0" w:color="auto"/>
          </w:divBdr>
        </w:div>
      </w:divsChild>
    </w:div>
    <w:div w:id="1977055592">
      <w:bodyDiv w:val="1"/>
      <w:marLeft w:val="0"/>
      <w:marRight w:val="0"/>
      <w:marTop w:val="0"/>
      <w:marBottom w:val="0"/>
      <w:divBdr>
        <w:top w:val="none" w:sz="0" w:space="0" w:color="auto"/>
        <w:left w:val="none" w:sz="0" w:space="0" w:color="auto"/>
        <w:bottom w:val="none" w:sz="0" w:space="0" w:color="auto"/>
        <w:right w:val="none" w:sz="0" w:space="0" w:color="auto"/>
      </w:divBdr>
      <w:divsChild>
        <w:div w:id="2079668051">
          <w:marLeft w:val="1080"/>
          <w:marRight w:val="0"/>
          <w:marTop w:val="100"/>
          <w:marBottom w:val="0"/>
          <w:divBdr>
            <w:top w:val="none" w:sz="0" w:space="0" w:color="auto"/>
            <w:left w:val="none" w:sz="0" w:space="0" w:color="auto"/>
            <w:bottom w:val="none" w:sz="0" w:space="0" w:color="auto"/>
            <w:right w:val="none" w:sz="0" w:space="0" w:color="auto"/>
          </w:divBdr>
        </w:div>
      </w:divsChild>
    </w:div>
    <w:div w:id="1999573195">
      <w:bodyDiv w:val="1"/>
      <w:marLeft w:val="0"/>
      <w:marRight w:val="0"/>
      <w:marTop w:val="0"/>
      <w:marBottom w:val="0"/>
      <w:divBdr>
        <w:top w:val="none" w:sz="0" w:space="0" w:color="auto"/>
        <w:left w:val="none" w:sz="0" w:space="0" w:color="auto"/>
        <w:bottom w:val="none" w:sz="0" w:space="0" w:color="auto"/>
        <w:right w:val="none" w:sz="0" w:space="0" w:color="auto"/>
      </w:divBdr>
    </w:div>
    <w:div w:id="2009558856">
      <w:bodyDiv w:val="1"/>
      <w:marLeft w:val="0"/>
      <w:marRight w:val="0"/>
      <w:marTop w:val="0"/>
      <w:marBottom w:val="0"/>
      <w:divBdr>
        <w:top w:val="none" w:sz="0" w:space="0" w:color="auto"/>
        <w:left w:val="none" w:sz="0" w:space="0" w:color="auto"/>
        <w:bottom w:val="none" w:sz="0" w:space="0" w:color="auto"/>
        <w:right w:val="none" w:sz="0" w:space="0" w:color="auto"/>
      </w:divBdr>
      <w:divsChild>
        <w:div w:id="383455670">
          <w:marLeft w:val="1080"/>
          <w:marRight w:val="0"/>
          <w:marTop w:val="100"/>
          <w:marBottom w:val="0"/>
          <w:divBdr>
            <w:top w:val="none" w:sz="0" w:space="0" w:color="auto"/>
            <w:left w:val="none" w:sz="0" w:space="0" w:color="auto"/>
            <w:bottom w:val="none" w:sz="0" w:space="0" w:color="auto"/>
            <w:right w:val="none" w:sz="0" w:space="0" w:color="auto"/>
          </w:divBdr>
        </w:div>
        <w:div w:id="495532105">
          <w:marLeft w:val="1080"/>
          <w:marRight w:val="0"/>
          <w:marTop w:val="100"/>
          <w:marBottom w:val="0"/>
          <w:divBdr>
            <w:top w:val="none" w:sz="0" w:space="0" w:color="auto"/>
            <w:left w:val="none" w:sz="0" w:space="0" w:color="auto"/>
            <w:bottom w:val="none" w:sz="0" w:space="0" w:color="auto"/>
            <w:right w:val="none" w:sz="0" w:space="0" w:color="auto"/>
          </w:divBdr>
        </w:div>
        <w:div w:id="644241903">
          <w:marLeft w:val="1080"/>
          <w:marRight w:val="0"/>
          <w:marTop w:val="100"/>
          <w:marBottom w:val="0"/>
          <w:divBdr>
            <w:top w:val="none" w:sz="0" w:space="0" w:color="auto"/>
            <w:left w:val="none" w:sz="0" w:space="0" w:color="auto"/>
            <w:bottom w:val="none" w:sz="0" w:space="0" w:color="auto"/>
            <w:right w:val="none" w:sz="0" w:space="0" w:color="auto"/>
          </w:divBdr>
        </w:div>
        <w:div w:id="1047611419">
          <w:marLeft w:val="1080"/>
          <w:marRight w:val="0"/>
          <w:marTop w:val="100"/>
          <w:marBottom w:val="0"/>
          <w:divBdr>
            <w:top w:val="none" w:sz="0" w:space="0" w:color="auto"/>
            <w:left w:val="none" w:sz="0" w:space="0" w:color="auto"/>
            <w:bottom w:val="none" w:sz="0" w:space="0" w:color="auto"/>
            <w:right w:val="none" w:sz="0" w:space="0" w:color="auto"/>
          </w:divBdr>
        </w:div>
        <w:div w:id="1081944911">
          <w:marLeft w:val="1080"/>
          <w:marRight w:val="0"/>
          <w:marTop w:val="100"/>
          <w:marBottom w:val="0"/>
          <w:divBdr>
            <w:top w:val="none" w:sz="0" w:space="0" w:color="auto"/>
            <w:left w:val="none" w:sz="0" w:space="0" w:color="auto"/>
            <w:bottom w:val="none" w:sz="0" w:space="0" w:color="auto"/>
            <w:right w:val="none" w:sz="0" w:space="0" w:color="auto"/>
          </w:divBdr>
        </w:div>
        <w:div w:id="1097628532">
          <w:marLeft w:val="1080"/>
          <w:marRight w:val="0"/>
          <w:marTop w:val="100"/>
          <w:marBottom w:val="0"/>
          <w:divBdr>
            <w:top w:val="none" w:sz="0" w:space="0" w:color="auto"/>
            <w:left w:val="none" w:sz="0" w:space="0" w:color="auto"/>
            <w:bottom w:val="none" w:sz="0" w:space="0" w:color="auto"/>
            <w:right w:val="none" w:sz="0" w:space="0" w:color="auto"/>
          </w:divBdr>
        </w:div>
        <w:div w:id="1481726307">
          <w:marLeft w:val="1080"/>
          <w:marRight w:val="0"/>
          <w:marTop w:val="100"/>
          <w:marBottom w:val="0"/>
          <w:divBdr>
            <w:top w:val="none" w:sz="0" w:space="0" w:color="auto"/>
            <w:left w:val="none" w:sz="0" w:space="0" w:color="auto"/>
            <w:bottom w:val="none" w:sz="0" w:space="0" w:color="auto"/>
            <w:right w:val="none" w:sz="0" w:space="0" w:color="auto"/>
          </w:divBdr>
        </w:div>
        <w:div w:id="1662418439">
          <w:marLeft w:val="1080"/>
          <w:marRight w:val="0"/>
          <w:marTop w:val="100"/>
          <w:marBottom w:val="0"/>
          <w:divBdr>
            <w:top w:val="none" w:sz="0" w:space="0" w:color="auto"/>
            <w:left w:val="none" w:sz="0" w:space="0" w:color="auto"/>
            <w:bottom w:val="none" w:sz="0" w:space="0" w:color="auto"/>
            <w:right w:val="none" w:sz="0" w:space="0" w:color="auto"/>
          </w:divBdr>
        </w:div>
        <w:div w:id="1893685421">
          <w:marLeft w:val="1080"/>
          <w:marRight w:val="0"/>
          <w:marTop w:val="100"/>
          <w:marBottom w:val="0"/>
          <w:divBdr>
            <w:top w:val="none" w:sz="0" w:space="0" w:color="auto"/>
            <w:left w:val="none" w:sz="0" w:space="0" w:color="auto"/>
            <w:bottom w:val="none" w:sz="0" w:space="0" w:color="auto"/>
            <w:right w:val="none" w:sz="0" w:space="0" w:color="auto"/>
          </w:divBdr>
        </w:div>
      </w:divsChild>
    </w:div>
    <w:div w:id="2016226619">
      <w:bodyDiv w:val="1"/>
      <w:marLeft w:val="0"/>
      <w:marRight w:val="0"/>
      <w:marTop w:val="0"/>
      <w:marBottom w:val="0"/>
      <w:divBdr>
        <w:top w:val="none" w:sz="0" w:space="0" w:color="auto"/>
        <w:left w:val="none" w:sz="0" w:space="0" w:color="auto"/>
        <w:bottom w:val="none" w:sz="0" w:space="0" w:color="auto"/>
        <w:right w:val="none" w:sz="0" w:space="0" w:color="auto"/>
      </w:divBdr>
    </w:div>
    <w:div w:id="2025591090">
      <w:bodyDiv w:val="1"/>
      <w:marLeft w:val="0"/>
      <w:marRight w:val="0"/>
      <w:marTop w:val="0"/>
      <w:marBottom w:val="0"/>
      <w:divBdr>
        <w:top w:val="none" w:sz="0" w:space="0" w:color="auto"/>
        <w:left w:val="none" w:sz="0" w:space="0" w:color="auto"/>
        <w:bottom w:val="none" w:sz="0" w:space="0" w:color="auto"/>
        <w:right w:val="none" w:sz="0" w:space="0" w:color="auto"/>
      </w:divBdr>
    </w:div>
    <w:div w:id="2028168444">
      <w:bodyDiv w:val="1"/>
      <w:marLeft w:val="0"/>
      <w:marRight w:val="0"/>
      <w:marTop w:val="0"/>
      <w:marBottom w:val="0"/>
      <w:divBdr>
        <w:top w:val="none" w:sz="0" w:space="0" w:color="auto"/>
        <w:left w:val="none" w:sz="0" w:space="0" w:color="auto"/>
        <w:bottom w:val="none" w:sz="0" w:space="0" w:color="auto"/>
        <w:right w:val="none" w:sz="0" w:space="0" w:color="auto"/>
      </w:divBdr>
      <w:divsChild>
        <w:div w:id="20278459">
          <w:marLeft w:val="1080"/>
          <w:marRight w:val="0"/>
          <w:marTop w:val="100"/>
          <w:marBottom w:val="0"/>
          <w:divBdr>
            <w:top w:val="none" w:sz="0" w:space="0" w:color="auto"/>
            <w:left w:val="none" w:sz="0" w:space="0" w:color="auto"/>
            <w:bottom w:val="none" w:sz="0" w:space="0" w:color="auto"/>
            <w:right w:val="none" w:sz="0" w:space="0" w:color="auto"/>
          </w:divBdr>
        </w:div>
        <w:div w:id="346172512">
          <w:marLeft w:val="1080"/>
          <w:marRight w:val="0"/>
          <w:marTop w:val="100"/>
          <w:marBottom w:val="0"/>
          <w:divBdr>
            <w:top w:val="none" w:sz="0" w:space="0" w:color="auto"/>
            <w:left w:val="none" w:sz="0" w:space="0" w:color="auto"/>
            <w:bottom w:val="none" w:sz="0" w:space="0" w:color="auto"/>
            <w:right w:val="none" w:sz="0" w:space="0" w:color="auto"/>
          </w:divBdr>
        </w:div>
        <w:div w:id="781654795">
          <w:marLeft w:val="1080"/>
          <w:marRight w:val="0"/>
          <w:marTop w:val="100"/>
          <w:marBottom w:val="0"/>
          <w:divBdr>
            <w:top w:val="none" w:sz="0" w:space="0" w:color="auto"/>
            <w:left w:val="none" w:sz="0" w:space="0" w:color="auto"/>
            <w:bottom w:val="none" w:sz="0" w:space="0" w:color="auto"/>
            <w:right w:val="none" w:sz="0" w:space="0" w:color="auto"/>
          </w:divBdr>
        </w:div>
        <w:div w:id="1301426718">
          <w:marLeft w:val="1080"/>
          <w:marRight w:val="0"/>
          <w:marTop w:val="100"/>
          <w:marBottom w:val="0"/>
          <w:divBdr>
            <w:top w:val="none" w:sz="0" w:space="0" w:color="auto"/>
            <w:left w:val="none" w:sz="0" w:space="0" w:color="auto"/>
            <w:bottom w:val="none" w:sz="0" w:space="0" w:color="auto"/>
            <w:right w:val="none" w:sz="0" w:space="0" w:color="auto"/>
          </w:divBdr>
        </w:div>
        <w:div w:id="2120634649">
          <w:marLeft w:val="1080"/>
          <w:marRight w:val="0"/>
          <w:marTop w:val="100"/>
          <w:marBottom w:val="0"/>
          <w:divBdr>
            <w:top w:val="none" w:sz="0" w:space="0" w:color="auto"/>
            <w:left w:val="none" w:sz="0" w:space="0" w:color="auto"/>
            <w:bottom w:val="none" w:sz="0" w:space="0" w:color="auto"/>
            <w:right w:val="none" w:sz="0" w:space="0" w:color="auto"/>
          </w:divBdr>
        </w:div>
      </w:divsChild>
    </w:div>
    <w:div w:id="2060543930">
      <w:bodyDiv w:val="1"/>
      <w:marLeft w:val="0"/>
      <w:marRight w:val="0"/>
      <w:marTop w:val="0"/>
      <w:marBottom w:val="0"/>
      <w:divBdr>
        <w:top w:val="none" w:sz="0" w:space="0" w:color="auto"/>
        <w:left w:val="none" w:sz="0" w:space="0" w:color="auto"/>
        <w:bottom w:val="none" w:sz="0" w:space="0" w:color="auto"/>
        <w:right w:val="none" w:sz="0" w:space="0" w:color="auto"/>
      </w:divBdr>
    </w:div>
    <w:div w:id="2061589026">
      <w:bodyDiv w:val="1"/>
      <w:marLeft w:val="0"/>
      <w:marRight w:val="0"/>
      <w:marTop w:val="0"/>
      <w:marBottom w:val="0"/>
      <w:divBdr>
        <w:top w:val="none" w:sz="0" w:space="0" w:color="auto"/>
        <w:left w:val="none" w:sz="0" w:space="0" w:color="auto"/>
        <w:bottom w:val="none" w:sz="0" w:space="0" w:color="auto"/>
        <w:right w:val="none" w:sz="0" w:space="0" w:color="auto"/>
      </w:divBdr>
    </w:div>
    <w:div w:id="2079478780">
      <w:bodyDiv w:val="1"/>
      <w:marLeft w:val="0"/>
      <w:marRight w:val="0"/>
      <w:marTop w:val="0"/>
      <w:marBottom w:val="0"/>
      <w:divBdr>
        <w:top w:val="none" w:sz="0" w:space="0" w:color="auto"/>
        <w:left w:val="none" w:sz="0" w:space="0" w:color="auto"/>
        <w:bottom w:val="none" w:sz="0" w:space="0" w:color="auto"/>
        <w:right w:val="none" w:sz="0" w:space="0" w:color="auto"/>
      </w:divBdr>
      <w:divsChild>
        <w:div w:id="86925170">
          <w:marLeft w:val="835"/>
          <w:marRight w:val="0"/>
          <w:marTop w:val="200"/>
          <w:marBottom w:val="0"/>
          <w:divBdr>
            <w:top w:val="none" w:sz="0" w:space="0" w:color="auto"/>
            <w:left w:val="none" w:sz="0" w:space="0" w:color="auto"/>
            <w:bottom w:val="none" w:sz="0" w:space="0" w:color="auto"/>
            <w:right w:val="none" w:sz="0" w:space="0" w:color="auto"/>
          </w:divBdr>
        </w:div>
        <w:div w:id="325204007">
          <w:marLeft w:val="835"/>
          <w:marRight w:val="0"/>
          <w:marTop w:val="200"/>
          <w:marBottom w:val="0"/>
          <w:divBdr>
            <w:top w:val="none" w:sz="0" w:space="0" w:color="auto"/>
            <w:left w:val="none" w:sz="0" w:space="0" w:color="auto"/>
            <w:bottom w:val="none" w:sz="0" w:space="0" w:color="auto"/>
            <w:right w:val="none" w:sz="0" w:space="0" w:color="auto"/>
          </w:divBdr>
        </w:div>
        <w:div w:id="471412271">
          <w:marLeft w:val="835"/>
          <w:marRight w:val="0"/>
          <w:marTop w:val="200"/>
          <w:marBottom w:val="0"/>
          <w:divBdr>
            <w:top w:val="none" w:sz="0" w:space="0" w:color="auto"/>
            <w:left w:val="none" w:sz="0" w:space="0" w:color="auto"/>
            <w:bottom w:val="none" w:sz="0" w:space="0" w:color="auto"/>
            <w:right w:val="none" w:sz="0" w:space="0" w:color="auto"/>
          </w:divBdr>
        </w:div>
        <w:div w:id="684331546">
          <w:marLeft w:val="835"/>
          <w:marRight w:val="0"/>
          <w:marTop w:val="200"/>
          <w:marBottom w:val="0"/>
          <w:divBdr>
            <w:top w:val="none" w:sz="0" w:space="0" w:color="auto"/>
            <w:left w:val="none" w:sz="0" w:space="0" w:color="auto"/>
            <w:bottom w:val="none" w:sz="0" w:space="0" w:color="auto"/>
            <w:right w:val="none" w:sz="0" w:space="0" w:color="auto"/>
          </w:divBdr>
        </w:div>
        <w:div w:id="708189559">
          <w:marLeft w:val="835"/>
          <w:marRight w:val="0"/>
          <w:marTop w:val="200"/>
          <w:marBottom w:val="0"/>
          <w:divBdr>
            <w:top w:val="none" w:sz="0" w:space="0" w:color="auto"/>
            <w:left w:val="none" w:sz="0" w:space="0" w:color="auto"/>
            <w:bottom w:val="none" w:sz="0" w:space="0" w:color="auto"/>
            <w:right w:val="none" w:sz="0" w:space="0" w:color="auto"/>
          </w:divBdr>
        </w:div>
        <w:div w:id="1205480415">
          <w:marLeft w:val="835"/>
          <w:marRight w:val="0"/>
          <w:marTop w:val="200"/>
          <w:marBottom w:val="0"/>
          <w:divBdr>
            <w:top w:val="none" w:sz="0" w:space="0" w:color="auto"/>
            <w:left w:val="none" w:sz="0" w:space="0" w:color="auto"/>
            <w:bottom w:val="none" w:sz="0" w:space="0" w:color="auto"/>
            <w:right w:val="none" w:sz="0" w:space="0" w:color="auto"/>
          </w:divBdr>
        </w:div>
        <w:div w:id="1265958962">
          <w:marLeft w:val="835"/>
          <w:marRight w:val="0"/>
          <w:marTop w:val="200"/>
          <w:marBottom w:val="0"/>
          <w:divBdr>
            <w:top w:val="none" w:sz="0" w:space="0" w:color="auto"/>
            <w:left w:val="none" w:sz="0" w:space="0" w:color="auto"/>
            <w:bottom w:val="none" w:sz="0" w:space="0" w:color="auto"/>
            <w:right w:val="none" w:sz="0" w:space="0" w:color="auto"/>
          </w:divBdr>
        </w:div>
      </w:divsChild>
    </w:div>
    <w:div w:id="2084839391">
      <w:bodyDiv w:val="1"/>
      <w:marLeft w:val="0"/>
      <w:marRight w:val="0"/>
      <w:marTop w:val="0"/>
      <w:marBottom w:val="0"/>
      <w:divBdr>
        <w:top w:val="none" w:sz="0" w:space="0" w:color="auto"/>
        <w:left w:val="none" w:sz="0" w:space="0" w:color="auto"/>
        <w:bottom w:val="none" w:sz="0" w:space="0" w:color="auto"/>
        <w:right w:val="none" w:sz="0" w:space="0" w:color="auto"/>
      </w:divBdr>
      <w:divsChild>
        <w:div w:id="99961352">
          <w:marLeft w:val="0"/>
          <w:marRight w:val="0"/>
          <w:marTop w:val="0"/>
          <w:marBottom w:val="0"/>
          <w:divBdr>
            <w:top w:val="none" w:sz="0" w:space="0" w:color="auto"/>
            <w:left w:val="none" w:sz="0" w:space="0" w:color="auto"/>
            <w:bottom w:val="none" w:sz="0" w:space="0" w:color="auto"/>
            <w:right w:val="none" w:sz="0" w:space="0" w:color="auto"/>
          </w:divBdr>
          <w:divsChild>
            <w:div w:id="547382342">
              <w:marLeft w:val="0"/>
              <w:marRight w:val="0"/>
              <w:marTop w:val="0"/>
              <w:marBottom w:val="0"/>
              <w:divBdr>
                <w:top w:val="none" w:sz="0" w:space="0" w:color="auto"/>
                <w:left w:val="none" w:sz="0" w:space="0" w:color="auto"/>
                <w:bottom w:val="none" w:sz="0" w:space="0" w:color="auto"/>
                <w:right w:val="none" w:sz="0" w:space="0" w:color="auto"/>
              </w:divBdr>
            </w:div>
          </w:divsChild>
        </w:div>
        <w:div w:id="235089417">
          <w:marLeft w:val="0"/>
          <w:marRight w:val="0"/>
          <w:marTop w:val="0"/>
          <w:marBottom w:val="0"/>
          <w:divBdr>
            <w:top w:val="none" w:sz="0" w:space="0" w:color="auto"/>
            <w:left w:val="none" w:sz="0" w:space="0" w:color="auto"/>
            <w:bottom w:val="none" w:sz="0" w:space="0" w:color="auto"/>
            <w:right w:val="none" w:sz="0" w:space="0" w:color="auto"/>
          </w:divBdr>
          <w:divsChild>
            <w:div w:id="22102398">
              <w:marLeft w:val="0"/>
              <w:marRight w:val="0"/>
              <w:marTop w:val="0"/>
              <w:marBottom w:val="0"/>
              <w:divBdr>
                <w:top w:val="none" w:sz="0" w:space="0" w:color="auto"/>
                <w:left w:val="none" w:sz="0" w:space="0" w:color="auto"/>
                <w:bottom w:val="none" w:sz="0" w:space="0" w:color="auto"/>
                <w:right w:val="none" w:sz="0" w:space="0" w:color="auto"/>
              </w:divBdr>
            </w:div>
          </w:divsChild>
        </w:div>
        <w:div w:id="394089480">
          <w:marLeft w:val="0"/>
          <w:marRight w:val="0"/>
          <w:marTop w:val="0"/>
          <w:marBottom w:val="0"/>
          <w:divBdr>
            <w:top w:val="none" w:sz="0" w:space="0" w:color="auto"/>
            <w:left w:val="none" w:sz="0" w:space="0" w:color="auto"/>
            <w:bottom w:val="none" w:sz="0" w:space="0" w:color="auto"/>
            <w:right w:val="none" w:sz="0" w:space="0" w:color="auto"/>
          </w:divBdr>
          <w:divsChild>
            <w:div w:id="1773741266">
              <w:marLeft w:val="0"/>
              <w:marRight w:val="0"/>
              <w:marTop w:val="0"/>
              <w:marBottom w:val="0"/>
              <w:divBdr>
                <w:top w:val="none" w:sz="0" w:space="0" w:color="auto"/>
                <w:left w:val="none" w:sz="0" w:space="0" w:color="auto"/>
                <w:bottom w:val="none" w:sz="0" w:space="0" w:color="auto"/>
                <w:right w:val="none" w:sz="0" w:space="0" w:color="auto"/>
              </w:divBdr>
            </w:div>
          </w:divsChild>
        </w:div>
        <w:div w:id="515777100">
          <w:marLeft w:val="0"/>
          <w:marRight w:val="0"/>
          <w:marTop w:val="0"/>
          <w:marBottom w:val="0"/>
          <w:divBdr>
            <w:top w:val="none" w:sz="0" w:space="0" w:color="auto"/>
            <w:left w:val="none" w:sz="0" w:space="0" w:color="auto"/>
            <w:bottom w:val="none" w:sz="0" w:space="0" w:color="auto"/>
            <w:right w:val="none" w:sz="0" w:space="0" w:color="auto"/>
          </w:divBdr>
          <w:divsChild>
            <w:div w:id="1403329799">
              <w:marLeft w:val="0"/>
              <w:marRight w:val="0"/>
              <w:marTop w:val="0"/>
              <w:marBottom w:val="0"/>
              <w:divBdr>
                <w:top w:val="none" w:sz="0" w:space="0" w:color="auto"/>
                <w:left w:val="none" w:sz="0" w:space="0" w:color="auto"/>
                <w:bottom w:val="none" w:sz="0" w:space="0" w:color="auto"/>
                <w:right w:val="none" w:sz="0" w:space="0" w:color="auto"/>
              </w:divBdr>
            </w:div>
          </w:divsChild>
        </w:div>
        <w:div w:id="693650540">
          <w:marLeft w:val="0"/>
          <w:marRight w:val="0"/>
          <w:marTop w:val="0"/>
          <w:marBottom w:val="0"/>
          <w:divBdr>
            <w:top w:val="none" w:sz="0" w:space="0" w:color="auto"/>
            <w:left w:val="none" w:sz="0" w:space="0" w:color="auto"/>
            <w:bottom w:val="none" w:sz="0" w:space="0" w:color="auto"/>
            <w:right w:val="none" w:sz="0" w:space="0" w:color="auto"/>
          </w:divBdr>
          <w:divsChild>
            <w:div w:id="1469276415">
              <w:marLeft w:val="0"/>
              <w:marRight w:val="0"/>
              <w:marTop w:val="0"/>
              <w:marBottom w:val="0"/>
              <w:divBdr>
                <w:top w:val="none" w:sz="0" w:space="0" w:color="auto"/>
                <w:left w:val="none" w:sz="0" w:space="0" w:color="auto"/>
                <w:bottom w:val="none" w:sz="0" w:space="0" w:color="auto"/>
                <w:right w:val="none" w:sz="0" w:space="0" w:color="auto"/>
              </w:divBdr>
            </w:div>
          </w:divsChild>
        </w:div>
        <w:div w:id="774252884">
          <w:marLeft w:val="0"/>
          <w:marRight w:val="0"/>
          <w:marTop w:val="0"/>
          <w:marBottom w:val="0"/>
          <w:divBdr>
            <w:top w:val="none" w:sz="0" w:space="0" w:color="auto"/>
            <w:left w:val="none" w:sz="0" w:space="0" w:color="auto"/>
            <w:bottom w:val="none" w:sz="0" w:space="0" w:color="auto"/>
            <w:right w:val="none" w:sz="0" w:space="0" w:color="auto"/>
          </w:divBdr>
          <w:divsChild>
            <w:div w:id="643660329">
              <w:marLeft w:val="0"/>
              <w:marRight w:val="0"/>
              <w:marTop w:val="0"/>
              <w:marBottom w:val="0"/>
              <w:divBdr>
                <w:top w:val="none" w:sz="0" w:space="0" w:color="auto"/>
                <w:left w:val="none" w:sz="0" w:space="0" w:color="auto"/>
                <w:bottom w:val="none" w:sz="0" w:space="0" w:color="auto"/>
                <w:right w:val="none" w:sz="0" w:space="0" w:color="auto"/>
              </w:divBdr>
            </w:div>
          </w:divsChild>
        </w:div>
        <w:div w:id="879051844">
          <w:marLeft w:val="0"/>
          <w:marRight w:val="0"/>
          <w:marTop w:val="0"/>
          <w:marBottom w:val="0"/>
          <w:divBdr>
            <w:top w:val="none" w:sz="0" w:space="0" w:color="auto"/>
            <w:left w:val="none" w:sz="0" w:space="0" w:color="auto"/>
            <w:bottom w:val="none" w:sz="0" w:space="0" w:color="auto"/>
            <w:right w:val="none" w:sz="0" w:space="0" w:color="auto"/>
          </w:divBdr>
          <w:divsChild>
            <w:div w:id="1740663813">
              <w:marLeft w:val="0"/>
              <w:marRight w:val="0"/>
              <w:marTop w:val="0"/>
              <w:marBottom w:val="0"/>
              <w:divBdr>
                <w:top w:val="none" w:sz="0" w:space="0" w:color="auto"/>
                <w:left w:val="none" w:sz="0" w:space="0" w:color="auto"/>
                <w:bottom w:val="none" w:sz="0" w:space="0" w:color="auto"/>
                <w:right w:val="none" w:sz="0" w:space="0" w:color="auto"/>
              </w:divBdr>
            </w:div>
          </w:divsChild>
        </w:div>
        <w:div w:id="894661285">
          <w:marLeft w:val="0"/>
          <w:marRight w:val="0"/>
          <w:marTop w:val="0"/>
          <w:marBottom w:val="0"/>
          <w:divBdr>
            <w:top w:val="none" w:sz="0" w:space="0" w:color="auto"/>
            <w:left w:val="none" w:sz="0" w:space="0" w:color="auto"/>
            <w:bottom w:val="none" w:sz="0" w:space="0" w:color="auto"/>
            <w:right w:val="none" w:sz="0" w:space="0" w:color="auto"/>
          </w:divBdr>
          <w:divsChild>
            <w:div w:id="2067793842">
              <w:marLeft w:val="0"/>
              <w:marRight w:val="0"/>
              <w:marTop w:val="0"/>
              <w:marBottom w:val="0"/>
              <w:divBdr>
                <w:top w:val="none" w:sz="0" w:space="0" w:color="auto"/>
                <w:left w:val="none" w:sz="0" w:space="0" w:color="auto"/>
                <w:bottom w:val="none" w:sz="0" w:space="0" w:color="auto"/>
                <w:right w:val="none" w:sz="0" w:space="0" w:color="auto"/>
              </w:divBdr>
            </w:div>
          </w:divsChild>
        </w:div>
        <w:div w:id="1024404236">
          <w:marLeft w:val="0"/>
          <w:marRight w:val="0"/>
          <w:marTop w:val="0"/>
          <w:marBottom w:val="0"/>
          <w:divBdr>
            <w:top w:val="none" w:sz="0" w:space="0" w:color="auto"/>
            <w:left w:val="none" w:sz="0" w:space="0" w:color="auto"/>
            <w:bottom w:val="none" w:sz="0" w:space="0" w:color="auto"/>
            <w:right w:val="none" w:sz="0" w:space="0" w:color="auto"/>
          </w:divBdr>
          <w:divsChild>
            <w:div w:id="1231889802">
              <w:marLeft w:val="0"/>
              <w:marRight w:val="0"/>
              <w:marTop w:val="0"/>
              <w:marBottom w:val="0"/>
              <w:divBdr>
                <w:top w:val="none" w:sz="0" w:space="0" w:color="auto"/>
                <w:left w:val="none" w:sz="0" w:space="0" w:color="auto"/>
                <w:bottom w:val="none" w:sz="0" w:space="0" w:color="auto"/>
                <w:right w:val="none" w:sz="0" w:space="0" w:color="auto"/>
              </w:divBdr>
            </w:div>
          </w:divsChild>
        </w:div>
        <w:div w:id="1429739000">
          <w:marLeft w:val="0"/>
          <w:marRight w:val="0"/>
          <w:marTop w:val="0"/>
          <w:marBottom w:val="0"/>
          <w:divBdr>
            <w:top w:val="none" w:sz="0" w:space="0" w:color="auto"/>
            <w:left w:val="none" w:sz="0" w:space="0" w:color="auto"/>
            <w:bottom w:val="none" w:sz="0" w:space="0" w:color="auto"/>
            <w:right w:val="none" w:sz="0" w:space="0" w:color="auto"/>
          </w:divBdr>
          <w:divsChild>
            <w:div w:id="2006860513">
              <w:marLeft w:val="0"/>
              <w:marRight w:val="0"/>
              <w:marTop w:val="0"/>
              <w:marBottom w:val="0"/>
              <w:divBdr>
                <w:top w:val="none" w:sz="0" w:space="0" w:color="auto"/>
                <w:left w:val="none" w:sz="0" w:space="0" w:color="auto"/>
                <w:bottom w:val="none" w:sz="0" w:space="0" w:color="auto"/>
                <w:right w:val="none" w:sz="0" w:space="0" w:color="auto"/>
              </w:divBdr>
            </w:div>
          </w:divsChild>
        </w:div>
        <w:div w:id="1492913774">
          <w:marLeft w:val="0"/>
          <w:marRight w:val="0"/>
          <w:marTop w:val="0"/>
          <w:marBottom w:val="0"/>
          <w:divBdr>
            <w:top w:val="none" w:sz="0" w:space="0" w:color="auto"/>
            <w:left w:val="none" w:sz="0" w:space="0" w:color="auto"/>
            <w:bottom w:val="none" w:sz="0" w:space="0" w:color="auto"/>
            <w:right w:val="none" w:sz="0" w:space="0" w:color="auto"/>
          </w:divBdr>
          <w:divsChild>
            <w:div w:id="907959255">
              <w:marLeft w:val="0"/>
              <w:marRight w:val="0"/>
              <w:marTop w:val="0"/>
              <w:marBottom w:val="0"/>
              <w:divBdr>
                <w:top w:val="none" w:sz="0" w:space="0" w:color="auto"/>
                <w:left w:val="none" w:sz="0" w:space="0" w:color="auto"/>
                <w:bottom w:val="none" w:sz="0" w:space="0" w:color="auto"/>
                <w:right w:val="none" w:sz="0" w:space="0" w:color="auto"/>
              </w:divBdr>
            </w:div>
          </w:divsChild>
        </w:div>
        <w:div w:id="1574586039">
          <w:marLeft w:val="0"/>
          <w:marRight w:val="0"/>
          <w:marTop w:val="0"/>
          <w:marBottom w:val="0"/>
          <w:divBdr>
            <w:top w:val="none" w:sz="0" w:space="0" w:color="auto"/>
            <w:left w:val="none" w:sz="0" w:space="0" w:color="auto"/>
            <w:bottom w:val="none" w:sz="0" w:space="0" w:color="auto"/>
            <w:right w:val="none" w:sz="0" w:space="0" w:color="auto"/>
          </w:divBdr>
          <w:divsChild>
            <w:div w:id="586503146">
              <w:marLeft w:val="0"/>
              <w:marRight w:val="0"/>
              <w:marTop w:val="0"/>
              <w:marBottom w:val="0"/>
              <w:divBdr>
                <w:top w:val="none" w:sz="0" w:space="0" w:color="auto"/>
                <w:left w:val="none" w:sz="0" w:space="0" w:color="auto"/>
                <w:bottom w:val="none" w:sz="0" w:space="0" w:color="auto"/>
                <w:right w:val="none" w:sz="0" w:space="0" w:color="auto"/>
              </w:divBdr>
            </w:div>
          </w:divsChild>
        </w:div>
        <w:div w:id="1927759613">
          <w:marLeft w:val="0"/>
          <w:marRight w:val="0"/>
          <w:marTop w:val="0"/>
          <w:marBottom w:val="0"/>
          <w:divBdr>
            <w:top w:val="none" w:sz="0" w:space="0" w:color="auto"/>
            <w:left w:val="none" w:sz="0" w:space="0" w:color="auto"/>
            <w:bottom w:val="none" w:sz="0" w:space="0" w:color="auto"/>
            <w:right w:val="none" w:sz="0" w:space="0" w:color="auto"/>
          </w:divBdr>
          <w:divsChild>
            <w:div w:id="751699244">
              <w:marLeft w:val="0"/>
              <w:marRight w:val="0"/>
              <w:marTop w:val="0"/>
              <w:marBottom w:val="0"/>
              <w:divBdr>
                <w:top w:val="none" w:sz="0" w:space="0" w:color="auto"/>
                <w:left w:val="none" w:sz="0" w:space="0" w:color="auto"/>
                <w:bottom w:val="none" w:sz="0" w:space="0" w:color="auto"/>
                <w:right w:val="none" w:sz="0" w:space="0" w:color="auto"/>
              </w:divBdr>
            </w:div>
          </w:divsChild>
        </w:div>
        <w:div w:id="1940093507">
          <w:marLeft w:val="0"/>
          <w:marRight w:val="0"/>
          <w:marTop w:val="0"/>
          <w:marBottom w:val="0"/>
          <w:divBdr>
            <w:top w:val="none" w:sz="0" w:space="0" w:color="auto"/>
            <w:left w:val="none" w:sz="0" w:space="0" w:color="auto"/>
            <w:bottom w:val="none" w:sz="0" w:space="0" w:color="auto"/>
            <w:right w:val="none" w:sz="0" w:space="0" w:color="auto"/>
          </w:divBdr>
          <w:divsChild>
            <w:div w:id="1555896862">
              <w:marLeft w:val="0"/>
              <w:marRight w:val="0"/>
              <w:marTop w:val="0"/>
              <w:marBottom w:val="0"/>
              <w:divBdr>
                <w:top w:val="none" w:sz="0" w:space="0" w:color="auto"/>
                <w:left w:val="none" w:sz="0" w:space="0" w:color="auto"/>
                <w:bottom w:val="none" w:sz="0" w:space="0" w:color="auto"/>
                <w:right w:val="none" w:sz="0" w:space="0" w:color="auto"/>
              </w:divBdr>
            </w:div>
          </w:divsChild>
        </w:div>
        <w:div w:id="1950771155">
          <w:marLeft w:val="0"/>
          <w:marRight w:val="0"/>
          <w:marTop w:val="0"/>
          <w:marBottom w:val="0"/>
          <w:divBdr>
            <w:top w:val="none" w:sz="0" w:space="0" w:color="auto"/>
            <w:left w:val="none" w:sz="0" w:space="0" w:color="auto"/>
            <w:bottom w:val="none" w:sz="0" w:space="0" w:color="auto"/>
            <w:right w:val="none" w:sz="0" w:space="0" w:color="auto"/>
          </w:divBdr>
          <w:divsChild>
            <w:div w:id="3170187">
              <w:marLeft w:val="0"/>
              <w:marRight w:val="0"/>
              <w:marTop w:val="0"/>
              <w:marBottom w:val="0"/>
              <w:divBdr>
                <w:top w:val="none" w:sz="0" w:space="0" w:color="auto"/>
                <w:left w:val="none" w:sz="0" w:space="0" w:color="auto"/>
                <w:bottom w:val="none" w:sz="0" w:space="0" w:color="auto"/>
                <w:right w:val="none" w:sz="0" w:space="0" w:color="auto"/>
              </w:divBdr>
            </w:div>
          </w:divsChild>
        </w:div>
        <w:div w:id="2101171438">
          <w:marLeft w:val="0"/>
          <w:marRight w:val="0"/>
          <w:marTop w:val="0"/>
          <w:marBottom w:val="0"/>
          <w:divBdr>
            <w:top w:val="none" w:sz="0" w:space="0" w:color="auto"/>
            <w:left w:val="none" w:sz="0" w:space="0" w:color="auto"/>
            <w:bottom w:val="none" w:sz="0" w:space="0" w:color="auto"/>
            <w:right w:val="none" w:sz="0" w:space="0" w:color="auto"/>
          </w:divBdr>
          <w:divsChild>
            <w:div w:id="1394888719">
              <w:marLeft w:val="0"/>
              <w:marRight w:val="0"/>
              <w:marTop w:val="0"/>
              <w:marBottom w:val="0"/>
              <w:divBdr>
                <w:top w:val="none" w:sz="0" w:space="0" w:color="auto"/>
                <w:left w:val="none" w:sz="0" w:space="0" w:color="auto"/>
                <w:bottom w:val="none" w:sz="0" w:space="0" w:color="auto"/>
                <w:right w:val="none" w:sz="0" w:space="0" w:color="auto"/>
              </w:divBdr>
            </w:div>
          </w:divsChild>
        </w:div>
        <w:div w:id="2112120403">
          <w:marLeft w:val="0"/>
          <w:marRight w:val="0"/>
          <w:marTop w:val="0"/>
          <w:marBottom w:val="0"/>
          <w:divBdr>
            <w:top w:val="none" w:sz="0" w:space="0" w:color="auto"/>
            <w:left w:val="none" w:sz="0" w:space="0" w:color="auto"/>
            <w:bottom w:val="none" w:sz="0" w:space="0" w:color="auto"/>
            <w:right w:val="none" w:sz="0" w:space="0" w:color="auto"/>
          </w:divBdr>
          <w:divsChild>
            <w:div w:id="1552957768">
              <w:marLeft w:val="0"/>
              <w:marRight w:val="0"/>
              <w:marTop w:val="0"/>
              <w:marBottom w:val="0"/>
              <w:divBdr>
                <w:top w:val="none" w:sz="0" w:space="0" w:color="auto"/>
                <w:left w:val="none" w:sz="0" w:space="0" w:color="auto"/>
                <w:bottom w:val="none" w:sz="0" w:space="0" w:color="auto"/>
                <w:right w:val="none" w:sz="0" w:space="0" w:color="auto"/>
              </w:divBdr>
            </w:div>
          </w:divsChild>
        </w:div>
        <w:div w:id="2133746017">
          <w:marLeft w:val="0"/>
          <w:marRight w:val="0"/>
          <w:marTop w:val="0"/>
          <w:marBottom w:val="0"/>
          <w:divBdr>
            <w:top w:val="none" w:sz="0" w:space="0" w:color="auto"/>
            <w:left w:val="none" w:sz="0" w:space="0" w:color="auto"/>
            <w:bottom w:val="none" w:sz="0" w:space="0" w:color="auto"/>
            <w:right w:val="none" w:sz="0" w:space="0" w:color="auto"/>
          </w:divBdr>
          <w:divsChild>
            <w:div w:id="18534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6386">
      <w:bodyDiv w:val="1"/>
      <w:marLeft w:val="0"/>
      <w:marRight w:val="0"/>
      <w:marTop w:val="0"/>
      <w:marBottom w:val="0"/>
      <w:divBdr>
        <w:top w:val="none" w:sz="0" w:space="0" w:color="auto"/>
        <w:left w:val="none" w:sz="0" w:space="0" w:color="auto"/>
        <w:bottom w:val="none" w:sz="0" w:space="0" w:color="auto"/>
        <w:right w:val="none" w:sz="0" w:space="0" w:color="auto"/>
      </w:divBdr>
    </w:div>
    <w:div w:id="2141727481">
      <w:bodyDiv w:val="1"/>
      <w:marLeft w:val="0"/>
      <w:marRight w:val="0"/>
      <w:marTop w:val="0"/>
      <w:marBottom w:val="0"/>
      <w:divBdr>
        <w:top w:val="none" w:sz="0" w:space="0" w:color="auto"/>
        <w:left w:val="none" w:sz="0" w:space="0" w:color="auto"/>
        <w:bottom w:val="none" w:sz="0" w:space="0" w:color="auto"/>
        <w:right w:val="none" w:sz="0" w:space="0" w:color="auto"/>
      </w:divBdr>
      <w:divsChild>
        <w:div w:id="2044086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brighton-hove.gov.uk/sites/default/files/2025-04/SEND%20and%20intersectionality%20in%20children%20and%20young%20people.pdf" TargetMode="External"/><Relationship Id="rId21" Type="http://schemas.openxmlformats.org/officeDocument/2006/relationships/diagramQuickStyle" Target="diagrams/quickStyle1.xml"/><Relationship Id="rId42" Type="http://schemas.openxmlformats.org/officeDocument/2006/relationships/diagramColors" Target="diagrams/colors5.xml"/><Relationship Id="rId47" Type="http://schemas.openxmlformats.org/officeDocument/2006/relationships/image" Target="media/image3.png"/><Relationship Id="rId63" Type="http://schemas.openxmlformats.org/officeDocument/2006/relationships/image" Target="media/image8.png"/><Relationship Id="rId68" Type="http://schemas.openxmlformats.org/officeDocument/2006/relationships/image" Target="media/image12.png"/><Relationship Id="rId84" Type="http://schemas.microsoft.com/office/2007/relationships/diagramDrawing" Target="diagrams/drawing8.xml"/><Relationship Id="rId89" Type="http://schemas.microsoft.com/office/2007/relationships/diagramDrawing" Target="diagrams/drawing9.xml"/><Relationship Id="rId112" Type="http://schemas.microsoft.com/office/2007/relationships/diagramDrawing" Target="diagrams/drawing13.xml"/><Relationship Id="rId16" Type="http://schemas.openxmlformats.org/officeDocument/2006/relationships/hyperlink" Target="https://www.brighton-hove.gov.uk/special-educational-needs-and-disabilities" TargetMode="External"/><Relationship Id="rId107" Type="http://schemas.microsoft.com/office/2007/relationships/diagramDrawing" Target="diagrams/drawing12.xml"/><Relationship Id="rId11" Type="http://schemas.openxmlformats.org/officeDocument/2006/relationships/image" Target="media/image1.png"/><Relationship Id="rId32" Type="http://schemas.openxmlformats.org/officeDocument/2006/relationships/diagramColors" Target="diagrams/colors3.xml"/><Relationship Id="rId37" Type="http://schemas.openxmlformats.org/officeDocument/2006/relationships/diagramColors" Target="diagrams/colors4.xml"/><Relationship Id="rId53" Type="http://schemas.openxmlformats.org/officeDocument/2006/relationships/diagramColors" Target="diagrams/colors6.xml"/><Relationship Id="rId58" Type="http://schemas.openxmlformats.org/officeDocument/2006/relationships/header" Target="header2.xml"/><Relationship Id="rId74" Type="http://schemas.openxmlformats.org/officeDocument/2006/relationships/image" Target="media/image18.png"/><Relationship Id="rId79" Type="http://schemas.microsoft.com/office/2007/relationships/diagramDrawing" Target="diagrams/drawing7.xml"/><Relationship Id="rId102" Type="http://schemas.openxmlformats.org/officeDocument/2006/relationships/image" Target="media/image21.png"/><Relationship Id="rId123" Type="http://schemas.openxmlformats.org/officeDocument/2006/relationships/hyperlink" Target="https://www.mind.org.uk/information-support/types-of-mental-health-problems/" TargetMode="External"/><Relationship Id="rId128" Type="http://schemas.microsoft.com/office/2019/05/relationships/documenttasks" Target="documenttasks/documenttasks1.xml"/><Relationship Id="rId5" Type="http://schemas.openxmlformats.org/officeDocument/2006/relationships/numbering" Target="numbering.xml"/><Relationship Id="rId90" Type="http://schemas.openxmlformats.org/officeDocument/2006/relationships/diagramData" Target="diagrams/data10.xml"/><Relationship Id="rId95" Type="http://schemas.openxmlformats.org/officeDocument/2006/relationships/image" Target="media/image19.png"/><Relationship Id="rId22" Type="http://schemas.openxmlformats.org/officeDocument/2006/relationships/diagramColors" Target="diagrams/colors1.xml"/><Relationship Id="rId27" Type="http://schemas.openxmlformats.org/officeDocument/2006/relationships/diagramColors" Target="diagrams/colors2.xml"/><Relationship Id="rId43" Type="http://schemas.microsoft.com/office/2007/relationships/diagramDrawing" Target="diagrams/drawing5.xml"/><Relationship Id="rId48" Type="http://schemas.openxmlformats.org/officeDocument/2006/relationships/hyperlink" Target="https://www.brighton-hove.gov.uk/directory-entry/brighton-hove-inclusion-support-service-bhiss" TargetMode="External"/><Relationship Id="rId64" Type="http://schemas.openxmlformats.org/officeDocument/2006/relationships/header" Target="header4.xml"/><Relationship Id="rId69" Type="http://schemas.openxmlformats.org/officeDocument/2006/relationships/image" Target="media/image13.png"/><Relationship Id="rId113" Type="http://schemas.openxmlformats.org/officeDocument/2006/relationships/image" Target="media/image22.png"/><Relationship Id="rId118" Type="http://schemas.openxmlformats.org/officeDocument/2006/relationships/diagramData" Target="diagrams/data14.xml"/><Relationship Id="rId80" Type="http://schemas.openxmlformats.org/officeDocument/2006/relationships/diagramData" Target="diagrams/data8.xml"/><Relationship Id="rId85" Type="http://schemas.openxmlformats.org/officeDocument/2006/relationships/diagramData" Target="diagrams/data9.xml"/><Relationship Id="rId12" Type="http://schemas.openxmlformats.org/officeDocument/2006/relationships/footer" Target="footer1.xml"/><Relationship Id="rId17" Type="http://schemas.openxmlformats.org/officeDocument/2006/relationships/image" Target="media/image2.png"/><Relationship Id="rId33" Type="http://schemas.microsoft.com/office/2007/relationships/diagramDrawing" Target="diagrams/drawing3.xml"/><Relationship Id="rId38" Type="http://schemas.microsoft.com/office/2007/relationships/diagramDrawing" Target="diagrams/drawing4.xml"/><Relationship Id="rId59" Type="http://schemas.openxmlformats.org/officeDocument/2006/relationships/hyperlink" Target="https://explore-education-statistics.service.gov.uk/find-statistics/education-health-and-care-plans/2025" TargetMode="External"/><Relationship Id="rId103" Type="http://schemas.openxmlformats.org/officeDocument/2006/relationships/diagramData" Target="diagrams/data12.xml"/><Relationship Id="rId108" Type="http://schemas.openxmlformats.org/officeDocument/2006/relationships/diagramData" Target="diagrams/data13.xml"/><Relationship Id="rId124" Type="http://schemas.openxmlformats.org/officeDocument/2006/relationships/header" Target="header5.xml"/><Relationship Id="rId129" Type="http://schemas.microsoft.com/office/2020/10/relationships/intelligence" Target="intelligence2.xml"/><Relationship Id="rId54" Type="http://schemas.microsoft.com/office/2007/relationships/diagramDrawing" Target="diagrams/drawing6.xml"/><Relationship Id="rId70" Type="http://schemas.openxmlformats.org/officeDocument/2006/relationships/image" Target="media/image14.png"/><Relationship Id="rId75" Type="http://schemas.openxmlformats.org/officeDocument/2006/relationships/diagramData" Target="diagrams/data7.xml"/><Relationship Id="rId91" Type="http://schemas.openxmlformats.org/officeDocument/2006/relationships/diagramLayout" Target="diagrams/layout10.xml"/><Relationship Id="rId96" Type="http://schemas.openxmlformats.org/officeDocument/2006/relationships/diagramData" Target="diagrams/data11.xml"/><Relationship Id="rId1" Type="http://schemas.openxmlformats.org/officeDocument/2006/relationships/customXml" Target="../customXml/item1.xml"/><Relationship Id="rId6" Type="http://schemas.openxmlformats.org/officeDocument/2006/relationships/styles" Target="styles.xml"/><Relationship Id="rId23" Type="http://schemas.microsoft.com/office/2007/relationships/diagramDrawing" Target="diagrams/drawing1.xml"/><Relationship Id="rId28" Type="http://schemas.microsoft.com/office/2007/relationships/diagramDrawing" Target="diagrams/drawing2.xml"/><Relationship Id="rId49" Type="http://schemas.openxmlformats.org/officeDocument/2006/relationships/hyperlink" Target="https://www.brighton-hove.gov.uk/directory-entry/brighton-hove-inclusion-support-service-bhiss" TargetMode="External"/><Relationship Id="rId114" Type="http://schemas.openxmlformats.org/officeDocument/2006/relationships/image" Target="media/image23.png"/><Relationship Id="rId119" Type="http://schemas.openxmlformats.org/officeDocument/2006/relationships/diagramLayout" Target="diagrams/layout14.xml"/><Relationship Id="rId44" Type="http://schemas.openxmlformats.org/officeDocument/2006/relationships/hyperlink" Target="https://ncb.us9.list-manage.com/track/click?u=93ca41ab24380caf57761bd37&amp;id=1e3ff83c46&amp;e=56aaa75c84" TargetMode="External"/><Relationship Id="rId60" Type="http://schemas.openxmlformats.org/officeDocument/2006/relationships/image" Target="media/image6.png"/><Relationship Id="rId65" Type="http://schemas.openxmlformats.org/officeDocument/2006/relationships/image" Target="media/image9.png"/><Relationship Id="rId81" Type="http://schemas.openxmlformats.org/officeDocument/2006/relationships/diagramLayout" Target="diagrams/layout8.xml"/><Relationship Id="rId86" Type="http://schemas.openxmlformats.org/officeDocument/2006/relationships/diagramLayout" Target="diagrams/layout9.xml"/><Relationship Id="rId13" Type="http://schemas.openxmlformats.org/officeDocument/2006/relationships/footer" Target="footer2.xml"/><Relationship Id="rId18" Type="http://schemas.openxmlformats.org/officeDocument/2006/relationships/hyperlink" Target="https://www.gov.uk/government/publications/10-year-health-plan-for-england-fit-for-the-future" TargetMode="External"/><Relationship Id="rId39" Type="http://schemas.openxmlformats.org/officeDocument/2006/relationships/diagramData" Target="diagrams/data5.xml"/><Relationship Id="rId109" Type="http://schemas.openxmlformats.org/officeDocument/2006/relationships/diagramLayout" Target="diagrams/layout13.xml"/><Relationship Id="rId34" Type="http://schemas.openxmlformats.org/officeDocument/2006/relationships/diagramData" Target="diagrams/data4.xml"/><Relationship Id="rId50" Type="http://schemas.openxmlformats.org/officeDocument/2006/relationships/diagramData" Target="diagrams/data6.xml"/><Relationship Id="rId55" Type="http://schemas.openxmlformats.org/officeDocument/2006/relationships/image" Target="media/image4.png"/><Relationship Id="rId76" Type="http://schemas.openxmlformats.org/officeDocument/2006/relationships/diagramLayout" Target="diagrams/layout7.xml"/><Relationship Id="rId97" Type="http://schemas.openxmlformats.org/officeDocument/2006/relationships/diagramLayout" Target="diagrams/layout11.xml"/><Relationship Id="rId104" Type="http://schemas.openxmlformats.org/officeDocument/2006/relationships/diagramLayout" Target="diagrams/layout12.xml"/><Relationship Id="rId120" Type="http://schemas.openxmlformats.org/officeDocument/2006/relationships/diagramQuickStyle" Target="diagrams/quickStyle14.xml"/><Relationship Id="rId125" Type="http://schemas.openxmlformats.org/officeDocument/2006/relationships/header" Target="header6.xml"/><Relationship Id="rId7" Type="http://schemas.openxmlformats.org/officeDocument/2006/relationships/settings" Target="settings.xml"/><Relationship Id="rId71" Type="http://schemas.openxmlformats.org/officeDocument/2006/relationships/image" Target="media/image15.png"/><Relationship Id="rId92" Type="http://schemas.openxmlformats.org/officeDocument/2006/relationships/diagramQuickStyle" Target="diagrams/quickStyle10.xml"/><Relationship Id="rId2" Type="http://schemas.openxmlformats.org/officeDocument/2006/relationships/customXml" Target="../customXml/item2.xml"/><Relationship Id="rId29" Type="http://schemas.openxmlformats.org/officeDocument/2006/relationships/diagramData" Target="diagrams/data3.xml"/><Relationship Id="rId24" Type="http://schemas.openxmlformats.org/officeDocument/2006/relationships/diagramData" Target="diagrams/data2.xml"/><Relationship Id="rId40" Type="http://schemas.openxmlformats.org/officeDocument/2006/relationships/diagramLayout" Target="diagrams/layout5.xml"/><Relationship Id="rId45" Type="http://schemas.openxmlformats.org/officeDocument/2006/relationships/hyperlink" Target="https://brightonandhovecc.sharepoint.com/sites/PublicHealthDocuments/Shared%20Documents/Intelligence/JSNA/In%20depth%20NAs/SEND%20LD%20ND%200to25%20years/3%20draft%20report/Find%20out%20about%20Best%20Start%20Family%20Hubs" TargetMode="External"/><Relationship Id="rId66" Type="http://schemas.openxmlformats.org/officeDocument/2006/relationships/image" Target="media/image10.png"/><Relationship Id="rId87" Type="http://schemas.openxmlformats.org/officeDocument/2006/relationships/diagramQuickStyle" Target="diagrams/quickStyle9.xml"/><Relationship Id="rId110" Type="http://schemas.openxmlformats.org/officeDocument/2006/relationships/diagramQuickStyle" Target="diagrams/quickStyle13.xml"/><Relationship Id="rId115" Type="http://schemas.openxmlformats.org/officeDocument/2006/relationships/image" Target="media/image24.png"/><Relationship Id="rId61" Type="http://schemas.openxmlformats.org/officeDocument/2006/relationships/image" Target="media/image7.png"/><Relationship Id="rId82" Type="http://schemas.openxmlformats.org/officeDocument/2006/relationships/diagramQuickStyle" Target="diagrams/quickStyle8.xml"/><Relationship Id="rId19" Type="http://schemas.openxmlformats.org/officeDocument/2006/relationships/diagramData" Target="diagrams/data1.xml"/><Relationship Id="rId14" Type="http://schemas.openxmlformats.org/officeDocument/2006/relationships/hyperlink" Target="https://democracy.brighton-hove.gov.uk/documents/s191709/Joint%20Strategic%20Needs%20Assessment%20JSNA%20Review.pdf" TargetMode="External"/><Relationship Id="rId30" Type="http://schemas.openxmlformats.org/officeDocument/2006/relationships/diagramLayout" Target="diagrams/layout3.xml"/><Relationship Id="rId35" Type="http://schemas.openxmlformats.org/officeDocument/2006/relationships/diagramLayout" Target="diagrams/layout4.xml"/><Relationship Id="rId56" Type="http://schemas.openxmlformats.org/officeDocument/2006/relationships/image" Target="media/image5.png"/><Relationship Id="rId77" Type="http://schemas.openxmlformats.org/officeDocument/2006/relationships/diagramQuickStyle" Target="diagrams/quickStyle7.xml"/><Relationship Id="rId100" Type="http://schemas.microsoft.com/office/2007/relationships/diagramDrawing" Target="diagrams/drawing11.xml"/><Relationship Id="rId105" Type="http://schemas.openxmlformats.org/officeDocument/2006/relationships/diagramQuickStyle" Target="diagrams/quickStyle12.xml"/><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diagramLayout" Target="diagrams/layout6.xml"/><Relationship Id="rId72" Type="http://schemas.openxmlformats.org/officeDocument/2006/relationships/image" Target="media/image16.png"/><Relationship Id="rId93" Type="http://schemas.openxmlformats.org/officeDocument/2006/relationships/diagramColors" Target="diagrams/colors10.xml"/><Relationship Id="rId98" Type="http://schemas.openxmlformats.org/officeDocument/2006/relationships/diagramQuickStyle" Target="diagrams/quickStyle11.xml"/><Relationship Id="rId121" Type="http://schemas.openxmlformats.org/officeDocument/2006/relationships/diagramColors" Target="diagrams/colors14.xml"/><Relationship Id="rId3" Type="http://schemas.openxmlformats.org/officeDocument/2006/relationships/customXml" Target="../customXml/item3.xml"/><Relationship Id="rId25" Type="http://schemas.openxmlformats.org/officeDocument/2006/relationships/diagramLayout" Target="diagrams/layout2.xml"/><Relationship Id="rId46" Type="http://schemas.openxmlformats.org/officeDocument/2006/relationships/hyperlink" Target="https://www.sussexcamhs.nhs.uk/" TargetMode="External"/><Relationship Id="rId67" Type="http://schemas.openxmlformats.org/officeDocument/2006/relationships/image" Target="media/image11.png"/><Relationship Id="rId116" Type="http://schemas.openxmlformats.org/officeDocument/2006/relationships/hyperlink" Target="https://www.brighton-hove.gov.uk/joint-strategic-needs-assessment-jsna/key-evidence-reports-and-briefings/evidence-reviews" TargetMode="External"/><Relationship Id="rId20" Type="http://schemas.openxmlformats.org/officeDocument/2006/relationships/diagramLayout" Target="diagrams/layout1.xml"/><Relationship Id="rId41" Type="http://schemas.openxmlformats.org/officeDocument/2006/relationships/diagramQuickStyle" Target="diagrams/quickStyle5.xml"/><Relationship Id="rId62" Type="http://schemas.openxmlformats.org/officeDocument/2006/relationships/header" Target="header3.xml"/><Relationship Id="rId83" Type="http://schemas.openxmlformats.org/officeDocument/2006/relationships/diagramColors" Target="diagrams/colors8.xml"/><Relationship Id="rId88" Type="http://schemas.openxmlformats.org/officeDocument/2006/relationships/diagramColors" Target="diagrams/colors9.xml"/><Relationship Id="rId111" Type="http://schemas.openxmlformats.org/officeDocument/2006/relationships/diagramColors" Target="diagrams/colors13.xml"/><Relationship Id="rId15" Type="http://schemas.openxmlformats.org/officeDocument/2006/relationships/hyperlink" Target="https://www.gov.uk/government/publications/valuing-people-a-new-strategy-for-learning-disability-for-the-21st-century" TargetMode="External"/><Relationship Id="rId36" Type="http://schemas.openxmlformats.org/officeDocument/2006/relationships/diagramQuickStyle" Target="diagrams/quickStyle4.xml"/><Relationship Id="rId57" Type="http://schemas.openxmlformats.org/officeDocument/2006/relationships/header" Target="header1.xml"/><Relationship Id="rId106" Type="http://schemas.openxmlformats.org/officeDocument/2006/relationships/diagramColors" Target="diagrams/colors12.xml"/><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diagramQuickStyle" Target="diagrams/quickStyle3.xml"/><Relationship Id="rId52" Type="http://schemas.openxmlformats.org/officeDocument/2006/relationships/diagramQuickStyle" Target="diagrams/quickStyle6.xml"/><Relationship Id="rId73" Type="http://schemas.openxmlformats.org/officeDocument/2006/relationships/image" Target="media/image17.png"/><Relationship Id="rId78" Type="http://schemas.openxmlformats.org/officeDocument/2006/relationships/diagramColors" Target="diagrams/colors7.xml"/><Relationship Id="rId94" Type="http://schemas.microsoft.com/office/2007/relationships/diagramDrawing" Target="diagrams/drawing10.xml"/><Relationship Id="rId99" Type="http://schemas.openxmlformats.org/officeDocument/2006/relationships/diagramColors" Target="diagrams/colors11.xml"/><Relationship Id="rId101" Type="http://schemas.openxmlformats.org/officeDocument/2006/relationships/image" Target="media/image20.png"/><Relationship Id="rId122" Type="http://schemas.microsoft.com/office/2007/relationships/diagramDrawing" Target="diagrams/drawing14.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diagramQuickStyle" Target="diagrams/quickStyle2.xml"/></Relationships>
</file>

<file path=word/_rels/endnotes.xml.rels><?xml version="1.0" encoding="UTF-8" standalone="yes"?>
<Relationships xmlns="http://schemas.openxmlformats.org/package/2006/relationships"><Relationship Id="rId117" Type="http://schemas.openxmlformats.org/officeDocument/2006/relationships/hyperlink" Target="https://committees.parliament.uk/writtenevidence/91757/pdf/" TargetMode="External"/><Relationship Id="rId21" Type="http://schemas.openxmlformats.org/officeDocument/2006/relationships/hyperlink" Target="https://assets.publishing.service.gov.uk/media/5a7dcb85ed915d2ac884d995/SEND_Code_of_Practice_January_2015.pdf" TargetMode="External"/><Relationship Id="rId42" Type="http://schemas.openxmlformats.org/officeDocument/2006/relationships/hyperlink" Target="https://www.sussex.ics.nhs.uk/our-work/our-priorities/mental-health-learning-disability-and-autism/learning-disability-and-autism/" TargetMode="External"/><Relationship Id="rId63" Type="http://schemas.openxmlformats.org/officeDocument/2006/relationships/hyperlink" Target="https://explore-education-statistics.service.gov.uk/find-statistics/pupil-absence-in-schools-in-england" TargetMode="External"/><Relationship Id="rId84" Type="http://schemas.openxmlformats.org/officeDocument/2006/relationships/hyperlink" Target="https://doi.org/10.1080/01425692.2016.1273757" TargetMode="External"/><Relationship Id="rId138" Type="http://schemas.openxmlformats.org/officeDocument/2006/relationships/hyperlink" Target="https://doi.org/10.1177/27526461241248194" TargetMode="External"/><Relationship Id="rId159" Type="http://schemas.openxmlformats.org/officeDocument/2006/relationships/hyperlink" Target="https://doi.org/10.1177/27526461241248194" TargetMode="External"/><Relationship Id="rId170" Type="http://schemas.openxmlformats.org/officeDocument/2006/relationships/hyperlink" Target="https://doi.org/10.1007/s10803-023-05996-7" TargetMode="External"/><Relationship Id="rId107" Type="http://schemas.openxmlformats.org/officeDocument/2006/relationships/hyperlink" Target="https://doi.org/10.1080/02667363.2022.2100320" TargetMode="External"/><Relationship Id="rId11" Type="http://schemas.openxmlformats.org/officeDocument/2006/relationships/hyperlink" Target="https://www.gov.uk/government/publications/national-strategy-for-autistic-children-young-people-and-adults-2021-to-2026/the-national-strategy-for-autistic-children-young-people-and-adults-2021-to-2026" TargetMode="External"/><Relationship Id="rId32" Type="http://schemas.openxmlformats.org/officeDocument/2006/relationships/hyperlink" Target="https://www.brighton-hove.gov.uk/sites/default/files/2023-07/SEND%20Strategy%20Updated%20July%202023%20Final%20with%20covers%20%282%29_0.pdf" TargetMode="External"/><Relationship Id="rId53" Type="http://schemas.openxmlformats.org/officeDocument/2006/relationships/hyperlink" Target="https://explore-education-statistics.service.gov.uk/data-tables/permalink/7a0ad165-5209-44b0-7d77-08dde95299cd" TargetMode="External"/><Relationship Id="rId74" Type="http://schemas.openxmlformats.org/officeDocument/2006/relationships/hyperlink" Target="https://www.education.ox.ac.uk/wp-content/uploads/2018/08/Executive-Summary_2018-12-20.pdf" TargetMode="External"/><Relationship Id="rId128" Type="http://schemas.openxmlformats.org/officeDocument/2006/relationships/hyperlink" Target="https://www.allfie.org.uk/our-work/policy-and-research/lived-experience-of-black-global-majority-disabled-pupils-and-their-families-in-mainstream-education/" TargetMode="External"/><Relationship Id="rId149" Type="http://schemas.openxmlformats.org/officeDocument/2006/relationships/hyperlink" Target="https://doi.org/10.1080/02667363.2022.2100320" TargetMode="External"/><Relationship Id="rId5" Type="http://schemas.openxmlformats.org/officeDocument/2006/relationships/hyperlink" Target="https://assets.publishing.service.gov.uk/media/63ff39d28fa8f527fb67cb06/SEND_and_alternative_provision_improvement_plan.pdf" TargetMode="External"/><Relationship Id="rId95" Type="http://schemas.openxmlformats.org/officeDocument/2006/relationships/hyperlink" Target="https://committees.parliament.uk/writtenevidence/91757/pdf/" TargetMode="External"/><Relationship Id="rId160" Type="http://schemas.openxmlformats.org/officeDocument/2006/relationships/hyperlink" Target="https://doi.org/10.1080/17454832.2023.2185646" TargetMode="External"/><Relationship Id="rId181" Type="http://schemas.openxmlformats.org/officeDocument/2006/relationships/hyperlink" Target="https://doi.org/10.1787/dbb1e821-en" TargetMode="External"/><Relationship Id="rId22" Type="http://schemas.openxmlformats.org/officeDocument/2006/relationships/hyperlink" Target="https://assets.publishing.service.gov.uk/media/640a17f28fa8f5560820da4b/Independent_review_of_children_s_social_care_-_Final_report.pdf" TargetMode="External"/><Relationship Id="rId43" Type="http://schemas.openxmlformats.org/officeDocument/2006/relationships/hyperlink" Target="https://www.brighton-hove.gov.uk/sites/default/files/migrated/article/inline/BH%20SEND%20Guide%20Summary%20for%20Professionals.pdf" TargetMode="External"/><Relationship Id="rId64" Type="http://schemas.openxmlformats.org/officeDocument/2006/relationships/hyperlink" Target="https://www.gov.uk/government/publications/working-together-to-improve-school-attendance" TargetMode="External"/><Relationship Id="rId118" Type="http://schemas.openxmlformats.org/officeDocument/2006/relationships/hyperlink" Target="https://doi.org/10.1177/1077800414557827" TargetMode="External"/><Relationship Id="rId139" Type="http://schemas.openxmlformats.org/officeDocument/2006/relationships/hyperlink" Target="https://doi.org/10.1177/0020872818808557" TargetMode="External"/><Relationship Id="rId85" Type="http://schemas.openxmlformats.org/officeDocument/2006/relationships/hyperlink" Target="https://doi.org/10.1177/27526461241248194" TargetMode="External"/><Relationship Id="rId150" Type="http://schemas.openxmlformats.org/officeDocument/2006/relationships/hyperlink" Target="https://www.allfie.org.uk/our-work/policy-and-research/lived-experience-of-black-global-majority-disabled-pupils-and-their-families-in-mainstream-education/" TargetMode="External"/><Relationship Id="rId171" Type="http://schemas.openxmlformats.org/officeDocument/2006/relationships/hyperlink" Target="https://doi.org/10.1177/00380385221133710" TargetMode="External"/><Relationship Id="rId12" Type="http://schemas.openxmlformats.org/officeDocument/2006/relationships/hyperlink" Target="https://www.gov.uk/government/publications/early-years-foundation-stage-framework--2" TargetMode="External"/><Relationship Id="rId33" Type="http://schemas.openxmlformats.org/officeDocument/2006/relationships/hyperlink" Target="https://democracy.brighton-hove.gov.uk/documents/s202985/T2A%20-%20strategy%203.5final.pdf" TargetMode="External"/><Relationship Id="rId108" Type="http://schemas.openxmlformats.org/officeDocument/2006/relationships/hyperlink" Target="https://doi.org/10.1080/01425692.2016.1273757" TargetMode="External"/><Relationship Id="rId129" Type="http://schemas.openxmlformats.org/officeDocument/2006/relationships/hyperlink" Target="https://doi.org/10.1177/27526461241248194" TargetMode="External"/><Relationship Id="rId54" Type="http://schemas.openxmlformats.org/officeDocument/2006/relationships/hyperlink" Target="https://explore-education-statistics.service.gov.uk/data-tables/permalink/7a0ad165-5209-44b0-7d77-08dde95299cd" TargetMode="External"/><Relationship Id="rId75" Type="http://schemas.openxmlformats.org/officeDocument/2006/relationships/hyperlink" Target="https://www.allfie.org.uk/our-work/policy-and-research/lived-experience-of-black-global-majority-disabled-pupils-and-their-families-in-mainstream-education/" TargetMode="External"/><Relationship Id="rId96" Type="http://schemas.openxmlformats.org/officeDocument/2006/relationships/hyperlink" Target="https://doi.org/10.1177/27526461241248194" TargetMode="External"/><Relationship Id="rId140" Type="http://schemas.openxmlformats.org/officeDocument/2006/relationships/hyperlink" Target="https://doi.org/10.1080/02667363.2022.2100320" TargetMode="External"/><Relationship Id="rId161" Type="http://schemas.openxmlformats.org/officeDocument/2006/relationships/hyperlink" Target="https://doi.org/10.1177/0020872818808557" TargetMode="External"/><Relationship Id="rId182" Type="http://schemas.openxmlformats.org/officeDocument/2006/relationships/hyperlink" Target="https://doi.org/10.53841/bpsecp.2022.39.1.76" TargetMode="External"/><Relationship Id="rId6" Type="http://schemas.openxmlformats.org/officeDocument/2006/relationships/hyperlink" Target="https://assets.publishing.service.gov.uk/media/5ce6a72e40f0b620a103bd53/supporting-pupils-at-school-with-medical-conditions.pdf" TargetMode="External"/><Relationship Id="rId23" Type="http://schemas.openxmlformats.org/officeDocument/2006/relationships/hyperlink" Target="https://www.gov.uk/government/publications/suicide-prevention-strategy-for-england-2023-to-2028/suicide-prevention-in-england-5-year-cross-sector-strategy" TargetMode="External"/><Relationship Id="rId119" Type="http://schemas.openxmlformats.org/officeDocument/2006/relationships/hyperlink" Target="https://doi.org/10.1080/02667363.2022.2100320" TargetMode="External"/><Relationship Id="rId44" Type="http://schemas.openxmlformats.org/officeDocument/2006/relationships/hyperlink" Target="https://democracy.brighton-hove.gov.uk/documents/s190409/HASC%20Delivery%20Strategy%20APX.%20n%201_v3.pdf" TargetMode="External"/><Relationship Id="rId60" Type="http://schemas.openxmlformats.org/officeDocument/2006/relationships/hyperlink" Target="https://explore-education-statistics.service.gov.uk/find-statistics/key-stage-2-attainment" TargetMode="External"/><Relationship Id="rId65" Type="http://schemas.openxmlformats.org/officeDocument/2006/relationships/hyperlink" Target="https://www.brighton-hove.gov.uk/schools-and-learning/home-education/how-educate-your-child-home" TargetMode="External"/><Relationship Id="rId81" Type="http://schemas.openxmlformats.org/officeDocument/2006/relationships/hyperlink" Target="https://www.allfie.org.uk/our-work/policy-and-research/lived-experience-of-black-global-majority-disabled-pupils-and-their-families-in-mainstream-education/" TargetMode="External"/><Relationship Id="rId86" Type="http://schemas.openxmlformats.org/officeDocument/2006/relationships/hyperlink" Target="https://doi.org/10.1080/02667363.2022.2100320" TargetMode="External"/><Relationship Id="rId130" Type="http://schemas.openxmlformats.org/officeDocument/2006/relationships/hyperlink" Target="https://doi.org/10.1080/17454832.2023.2185646" TargetMode="External"/><Relationship Id="rId135" Type="http://schemas.openxmlformats.org/officeDocument/2006/relationships/hyperlink" Target="https://www.specialneedsjungle.com/wp-content/uploads/2022/03/Race-and-SEND-Survey_Final_170322.pdf" TargetMode="External"/><Relationship Id="rId151" Type="http://schemas.openxmlformats.org/officeDocument/2006/relationships/hyperlink" Target="https://doi.org/10.1177/27526461241248194" TargetMode="External"/><Relationship Id="rId156" Type="http://schemas.openxmlformats.org/officeDocument/2006/relationships/hyperlink" Target="https://committees.parliament.uk/writtenevidence/91757/pdf/" TargetMode="External"/><Relationship Id="rId177" Type="http://schemas.openxmlformats.org/officeDocument/2006/relationships/hyperlink" Target="https://doi.org/10.1016/j.chiabu.2022.105582" TargetMode="External"/><Relationship Id="rId172" Type="http://schemas.openxmlformats.org/officeDocument/2006/relationships/hyperlink" Target="https://doi.org/10.1177/00380385221133710" TargetMode="External"/><Relationship Id="rId13" Type="http://schemas.openxmlformats.org/officeDocument/2006/relationships/hyperlink" Target="https://assets.publishing.service.gov.uk/government/uploads/system/uploads/attachment_data/file/349053/Schools_Guide_to_the_0_to_25_SEND_Code_of_Practice.pdf" TargetMode="External"/><Relationship Id="rId18" Type="http://schemas.openxmlformats.org/officeDocument/2006/relationships/hyperlink" Target="https://www.gov.uk/government/publications/national-strategy-for-autistic-children-young-people-and-adults-2021-to-2026" TargetMode="External"/><Relationship Id="rId39" Type="http://schemas.openxmlformats.org/officeDocument/2006/relationships/hyperlink" Target="https://www.sussex.ics.nhs.uk/wp-content/uploads/sites/9/2023/03/3.1-Shared-Delivery-Plan-progress-update-and-draftpdf-1.pdf" TargetMode="External"/><Relationship Id="rId109" Type="http://schemas.openxmlformats.org/officeDocument/2006/relationships/hyperlink" Target="https://committees.parliament.uk/writtenevidence/91757/pdf/" TargetMode="External"/><Relationship Id="rId34" Type="http://schemas.openxmlformats.org/officeDocument/2006/relationships/hyperlink" Target="https://amazesussex.org.uk/news/send-reforms-change-programme-rollout/" TargetMode="External"/><Relationship Id="rId50" Type="http://schemas.openxmlformats.org/officeDocument/2006/relationships/hyperlink" Target="https://explore-education-statistics.service.gov.uk/data-tables/permalink/50addc46-27b7-4588-b0fd-08dd7ce56a8a" TargetMode="External"/><Relationship Id="rId55" Type="http://schemas.openxmlformats.org/officeDocument/2006/relationships/hyperlink" Target="https://explore-education-statistics.service.gov.uk/data-tables/permalink/7a0ad165-5209-44b0-7d77-08dde95299cd" TargetMode="External"/><Relationship Id="rId76" Type="http://schemas.openxmlformats.org/officeDocument/2006/relationships/hyperlink" Target="https://doi.org/10.1177/27526461241248194" TargetMode="External"/><Relationship Id="rId97" Type="http://schemas.openxmlformats.org/officeDocument/2006/relationships/hyperlink" Target="https://doi.org/10.1177/27526461241248194" TargetMode="External"/><Relationship Id="rId104" Type="http://schemas.openxmlformats.org/officeDocument/2006/relationships/hyperlink" Target="https://doi.org/10.1177/1077800414557827" TargetMode="External"/><Relationship Id="rId120" Type="http://schemas.openxmlformats.org/officeDocument/2006/relationships/hyperlink" Target="https://www.allfie.org.uk/our-work/policy-and-research/lived-experience-of-black-global-majority-disabled-pupils-and-their-families-in-mainstream-education/" TargetMode="External"/><Relationship Id="rId125" Type="http://schemas.openxmlformats.org/officeDocument/2006/relationships/hyperlink" Target="https://doi.org/10.1177/0020872818808557" TargetMode="External"/><Relationship Id="rId141" Type="http://schemas.openxmlformats.org/officeDocument/2006/relationships/hyperlink" Target="https://committees.parliament.uk/writtenevidence/91757/pdf/" TargetMode="External"/><Relationship Id="rId146" Type="http://schemas.openxmlformats.org/officeDocument/2006/relationships/hyperlink" Target="https://doi.org/10.1080/02667363.2022.2100320" TargetMode="External"/><Relationship Id="rId167" Type="http://schemas.openxmlformats.org/officeDocument/2006/relationships/hyperlink" Target="https://doi.org/10.1080/01425692.2016.1273757" TargetMode="External"/><Relationship Id="rId7" Type="http://schemas.openxmlformats.org/officeDocument/2006/relationships/hyperlink" Target="https://www.gov.uk/government/publications/national-strategy-for-autistic-children-young-people-and-adults-2021-to-2026" TargetMode="External"/><Relationship Id="rId71" Type="http://schemas.openxmlformats.org/officeDocument/2006/relationships/hyperlink" Target="https://educationinspection.blog.gov.uk/2019/05/10/what-is-off-rolling-and-how-does-ofsted-look-at-it-on-inspection/" TargetMode="External"/><Relationship Id="rId92" Type="http://schemas.openxmlformats.org/officeDocument/2006/relationships/hyperlink" Target="https://doi.org/10.1177/27526461241248194" TargetMode="External"/><Relationship Id="rId162" Type="http://schemas.openxmlformats.org/officeDocument/2006/relationships/hyperlink" Target="https://core.ac.uk/outputs/19522780/?source=2" TargetMode="External"/><Relationship Id="rId2" Type="http://schemas.openxmlformats.org/officeDocument/2006/relationships/hyperlink" Target="https://cms.bps.org.uk/sites/default/files/2022-07/Psychology%20at%20work%20-%20improving%20wellbeing%20and%20productivity%20in%20the%20workplace.pdf" TargetMode="External"/><Relationship Id="rId29" Type="http://schemas.openxmlformats.org/officeDocument/2006/relationships/hyperlink" Target="https://www.gov.uk/government/consultations/oliver-mcgowan-draft-code-of-practice/oliver-mcgowan-draft-code-of-practice-on-statutory-learning-disability-and-autism-training" TargetMode="External"/><Relationship Id="rId24" Type="http://schemas.openxmlformats.org/officeDocument/2006/relationships/hyperlink" Target="https://www.ons.gov.uk/peoplepopulationandcommunity/healthandsocialcare/mentalhealth/bulletins/preventionoffuturedeathreportsforsuicideinchildreninenglandandwales/january2015tonovember2023" TargetMode="External"/><Relationship Id="rId40" Type="http://schemas.openxmlformats.org/officeDocument/2006/relationships/hyperlink" Target="https://www.brighton-hove.gov.uk/health-and-wellbeing/about-public-health/brighton-hove-joint-health-and-wellbeing-strategy-2019-2030" TargetMode="External"/><Relationship Id="rId45" Type="http://schemas.openxmlformats.org/officeDocument/2006/relationships/hyperlink" Target="https://www.brighton-hove.gov.uk/families-children-and-learning/hidden-children/brighton-hoves-hidden-children-strategy" TargetMode="External"/><Relationship Id="rId66" Type="http://schemas.openxmlformats.org/officeDocument/2006/relationships/hyperlink" Target="https://www.brighton-hove.gov.uk/schools-and-learning/children-not-school/home-tuition-children-unable-go-school" TargetMode="External"/><Relationship Id="rId87" Type="http://schemas.openxmlformats.org/officeDocument/2006/relationships/hyperlink" Target="https://doi.org/10.1080/01425692.2016.1273757" TargetMode="External"/><Relationship Id="rId110" Type="http://schemas.openxmlformats.org/officeDocument/2006/relationships/hyperlink" Target="https://doi.org/10.1177/27526461241248194" TargetMode="External"/><Relationship Id="rId115" Type="http://schemas.openxmlformats.org/officeDocument/2006/relationships/hyperlink" Target="https://doi.org/10.1080/02667363.2022.2100320" TargetMode="External"/><Relationship Id="rId131" Type="http://schemas.openxmlformats.org/officeDocument/2006/relationships/hyperlink" Target="https://committees.parliament.uk/writtenevidence/91757/pdf/" TargetMode="External"/><Relationship Id="rId136" Type="http://schemas.openxmlformats.org/officeDocument/2006/relationships/hyperlink" Target="https://doi.org/10.1177/0020872818808557" TargetMode="External"/><Relationship Id="rId157" Type="http://schemas.openxmlformats.org/officeDocument/2006/relationships/hyperlink" Target="https://doi.org/10.1177/0020872818808557" TargetMode="External"/><Relationship Id="rId178" Type="http://schemas.openxmlformats.org/officeDocument/2006/relationships/hyperlink" Target="https://doi.org/10.1016/j.jsp.2022.06.003" TargetMode="External"/><Relationship Id="rId61" Type="http://schemas.openxmlformats.org/officeDocument/2006/relationships/hyperlink" Target="https://explore-education-statistics.service.gov.uk/find-statistics/key-stage-4-performance/2023-24" TargetMode="External"/><Relationship Id="rId82" Type="http://schemas.openxmlformats.org/officeDocument/2006/relationships/hyperlink" Target="https://doi.org/10.1177/27526461241248194" TargetMode="External"/><Relationship Id="rId152" Type="http://schemas.openxmlformats.org/officeDocument/2006/relationships/hyperlink" Target="https://doi.org/10.1080/17454832.2023.2185646" TargetMode="External"/><Relationship Id="rId173" Type="http://schemas.openxmlformats.org/officeDocument/2006/relationships/hyperlink" Target="https://doi.org/10.1037/ort0000505" TargetMode="External"/><Relationship Id="rId19" Type="http://schemas.openxmlformats.org/officeDocument/2006/relationships/hyperlink" Target="https://assets.publishing.service.gov.uk/media/5a7dcb85ed915d2ac884d995/SEND_Code_of_Practice_January_2015.pdf" TargetMode="External"/><Relationship Id="rId14" Type="http://schemas.openxmlformats.org/officeDocument/2006/relationships/hyperlink" Target="https://assets.publishing.service.gov.uk/media/5a7ec1caed915d74e33f239d/Further_education__guide_to_the_0_to_25_SEND_code_of_practice.pdf" TargetMode="External"/><Relationship Id="rId30" Type="http://schemas.openxmlformats.org/officeDocument/2006/relationships/hyperlink" Target="https://www.gov.uk/government/publications/send-guide-for-health-professionals/send-resources-for-healthcare-professionals" TargetMode="External"/><Relationship Id="rId35" Type="http://schemas.openxmlformats.org/officeDocument/2006/relationships/hyperlink" Target="https://www.brighton-hove.gov.uk/brighton-and-hove-adult-learning-disability-strategy-big-plan-2021-2026/brighton-and-hove-adult-learning-disability-strategy" TargetMode="External"/><Relationship Id="rId56" Type="http://schemas.openxmlformats.org/officeDocument/2006/relationships/hyperlink" Target="https://www.brighton-hove.gov.uk/joint-strategic-needs-assessment-jsna/key-evidence-reports-and-briefings/safe-and-well-school" TargetMode="External"/><Relationship Id="rId77" Type="http://schemas.openxmlformats.org/officeDocument/2006/relationships/hyperlink" Target="https://doi.org/10.1080/17454832.2023.2185646" TargetMode="External"/><Relationship Id="rId100" Type="http://schemas.openxmlformats.org/officeDocument/2006/relationships/hyperlink" Target="https://committees.parliament.uk/writtenevidence/91757/pdf/" TargetMode="External"/><Relationship Id="rId105" Type="http://schemas.openxmlformats.org/officeDocument/2006/relationships/hyperlink" Target="https://doi.org/10.1177/1077800414557827" TargetMode="External"/><Relationship Id="rId126" Type="http://schemas.openxmlformats.org/officeDocument/2006/relationships/hyperlink" Target="https://doi.org/10.1177/1077800414557827" TargetMode="External"/><Relationship Id="rId147" Type="http://schemas.openxmlformats.org/officeDocument/2006/relationships/hyperlink" Target="https://committees.parliament.uk/writtenevidence/91757/pdf/" TargetMode="External"/><Relationship Id="rId168" Type="http://schemas.openxmlformats.org/officeDocument/2006/relationships/hyperlink" Target="https://doi.org/10.1007/s00787-024-02385-y" TargetMode="External"/><Relationship Id="rId8" Type="http://schemas.openxmlformats.org/officeDocument/2006/relationships/hyperlink" Target="https://www.gov.uk/government/publications/high-needs-funding-arrangements-2024-to-2025/high-needs-funding-2024-to-2025-operational-guide" TargetMode="External"/><Relationship Id="rId51" Type="http://schemas.openxmlformats.org/officeDocument/2006/relationships/hyperlink" Target="https://www.gov.uk/government/statistics/schools-pupils-and-their-characteristics-january-2024" TargetMode="External"/><Relationship Id="rId72" Type="http://schemas.openxmlformats.org/officeDocument/2006/relationships/hyperlink" Target="https://doi.org/10.1177/0014402921990895" TargetMode="External"/><Relationship Id="rId93" Type="http://schemas.openxmlformats.org/officeDocument/2006/relationships/hyperlink" Target="https://doi.org/10.1177/0020872818808557" TargetMode="External"/><Relationship Id="rId98" Type="http://schemas.openxmlformats.org/officeDocument/2006/relationships/hyperlink" Target="https://doi.org/10.1080/02667363.2022.2100320" TargetMode="External"/><Relationship Id="rId121" Type="http://schemas.openxmlformats.org/officeDocument/2006/relationships/hyperlink" Target="https://doi.org/10.1177/27526461241248194" TargetMode="External"/><Relationship Id="rId142" Type="http://schemas.openxmlformats.org/officeDocument/2006/relationships/hyperlink" Target="https://www.specialneedsjungle.com/wp-content/uploads/2022/03/Race-and-SEND-Survey_Final_170322.pdf" TargetMode="External"/><Relationship Id="rId163" Type="http://schemas.openxmlformats.org/officeDocument/2006/relationships/hyperlink" Target="https://committees.parliament.uk/writtenevidence/91757/pdf/" TargetMode="External"/><Relationship Id="rId3" Type="http://schemas.openxmlformats.org/officeDocument/2006/relationships/hyperlink" Target="https://assets.publishing.service.gov.uk/media/5a7dcb85ed915d2ac884d995/SEND_Code_of_Practice_January_2015.pdf" TargetMode="External"/><Relationship Id="rId25" Type="http://schemas.openxmlformats.org/officeDocument/2006/relationships/hyperlink" Target="https://www.gov.uk/government/publications/building-the-right-support-for-people-with-a-learning-disability-and-autistic-people/building-the-right-support-action-plan" TargetMode="External"/><Relationship Id="rId46" Type="http://schemas.openxmlformats.org/officeDocument/2006/relationships/hyperlink" Target="https://www.brighton-hove.gov.uk/sites/default/files/2020-01/brighton-hove-city-council-plan-2020-2023.pdf" TargetMode="External"/><Relationship Id="rId67" Type="http://schemas.openxmlformats.org/officeDocument/2006/relationships/hyperlink" Target="https://explore-education-statistics.service.gov.uk/find-statistics/suspensions-and-permanent-exclusions-in-england" TargetMode="External"/><Relationship Id="rId116" Type="http://schemas.openxmlformats.org/officeDocument/2006/relationships/hyperlink" Target="https://doi.org/10.1080/01425692.2016.1273757" TargetMode="External"/><Relationship Id="rId137" Type="http://schemas.openxmlformats.org/officeDocument/2006/relationships/hyperlink" Target="https://www.allfie.org.uk/our-work/policy-and-research/lived-experience-of-black-global-majority-disabled-pupils-and-their-families-in-mainstream-education/" TargetMode="External"/><Relationship Id="rId158" Type="http://schemas.openxmlformats.org/officeDocument/2006/relationships/hyperlink" Target="https://www.specialneedsjungle.com/wp-content/uploads/2022/03/Race-and-SEND-Survey_Final_170322.pdf" TargetMode="External"/><Relationship Id="rId20" Type="http://schemas.openxmlformats.org/officeDocument/2006/relationships/hyperlink" Target="https://councilfordisabledchildren.org.uk/sites/default/files/uploads/files/DCO%20Handbook%20August%202025_1.pdf" TargetMode="External"/><Relationship Id="rId41" Type="http://schemas.openxmlformats.org/officeDocument/2006/relationships/hyperlink" Target="https://www.sussex.ics.nhs.uk/wp-content/uploads/sites/9/2023/07/integrated-community.pdf" TargetMode="External"/><Relationship Id="rId62" Type="http://schemas.openxmlformats.org/officeDocument/2006/relationships/hyperlink" Target="https://explore-education-statistics.service.gov.uk/find-statistics/pupil-absence-in-schools-in-england" TargetMode="External"/><Relationship Id="rId83" Type="http://schemas.openxmlformats.org/officeDocument/2006/relationships/hyperlink" Target="https://doi.org/10.1080/02667363.2022.2100320" TargetMode="External"/><Relationship Id="rId88" Type="http://schemas.openxmlformats.org/officeDocument/2006/relationships/hyperlink" Target="https://doi.org/10.1080/08856257.2020.1762988" TargetMode="External"/><Relationship Id="rId111" Type="http://schemas.openxmlformats.org/officeDocument/2006/relationships/hyperlink" Target="https://doi.org/10.1080/08856257.2020.1762988" TargetMode="External"/><Relationship Id="rId132" Type="http://schemas.openxmlformats.org/officeDocument/2006/relationships/hyperlink" Target="https://www.specialneedsjungle.com/wp-content/uploads/2022/03/Race-and-SEND-Survey_Final_170322.pdf" TargetMode="External"/><Relationship Id="rId153" Type="http://schemas.openxmlformats.org/officeDocument/2006/relationships/hyperlink" Target="https://doi.org/10.1080/14643154.2019.1685756" TargetMode="External"/><Relationship Id="rId174" Type="http://schemas.openxmlformats.org/officeDocument/2006/relationships/hyperlink" Target="https://doi.org/10.1371/journal.pmed.1003832" TargetMode="External"/><Relationship Id="rId179" Type="http://schemas.openxmlformats.org/officeDocument/2006/relationships/hyperlink" Target="https://doi.org/10.1037/ort0000505" TargetMode="External"/><Relationship Id="rId15" Type="http://schemas.openxmlformats.org/officeDocument/2006/relationships/hyperlink" Target="https://assets.publishing.service.gov.uk/media/5a7dcb85ed915d2ac884d995/SEND_Code_of_Practice_January_2015.pdf" TargetMode="External"/><Relationship Id="rId36" Type="http://schemas.openxmlformats.org/officeDocument/2006/relationships/hyperlink" Target="https://www.brighton-hove.gov.uk/adult-social-care/stay-healthy-and-well/brighton-hove-adult-autism-strategy-and-action-plan" TargetMode="External"/><Relationship Id="rId57" Type="http://schemas.openxmlformats.org/officeDocument/2006/relationships/hyperlink" Target="https://www.brighton-hove.gov.uk/joint-strategic-needs-assessment-jsna/key-evidence-reports-and-briefings/health-counts-2024" TargetMode="External"/><Relationship Id="rId106" Type="http://schemas.openxmlformats.org/officeDocument/2006/relationships/hyperlink" Target="https://doi.org/10.1177/27526461241248194" TargetMode="External"/><Relationship Id="rId127" Type="http://schemas.openxmlformats.org/officeDocument/2006/relationships/hyperlink" Target="https://doi.org/10.1080/17454832.2023.2185646" TargetMode="External"/><Relationship Id="rId10" Type="http://schemas.openxmlformats.org/officeDocument/2006/relationships/hyperlink" Target="https://assets.publishing.service.gov.uk/media/5a7dcb85ed915d2ac884d995/SEND_Code_of_Practice_January_2015.pdf" TargetMode="External"/><Relationship Id="rId31" Type="http://schemas.openxmlformats.org/officeDocument/2006/relationships/hyperlink" Target="https://www.brighton-hove.gov.uk/sites/default/files/2023-05/Brighton%20and%20Hove%20Area%20SEND%20Full%20inspection%20March%202023.pdf" TargetMode="External"/><Relationship Id="rId52" Type="http://schemas.openxmlformats.org/officeDocument/2006/relationships/hyperlink" Target="https://explore-education-statistics.service.gov.uk/find-statistics/special-educational-needs-in-england" TargetMode="External"/><Relationship Id="rId73" Type="http://schemas.openxmlformats.org/officeDocument/2006/relationships/hyperlink" Target="https://jamanetwork.com/journals/jamapediatrics/fullarticle/2777821" TargetMode="External"/><Relationship Id="rId78" Type="http://schemas.openxmlformats.org/officeDocument/2006/relationships/hyperlink" Target="https://doi.org/10.1177/0020872818808557" TargetMode="External"/><Relationship Id="rId94" Type="http://schemas.openxmlformats.org/officeDocument/2006/relationships/hyperlink" Target="https://doi.org/10.1080/02667363.2022.2100320" TargetMode="External"/><Relationship Id="rId99" Type="http://schemas.openxmlformats.org/officeDocument/2006/relationships/hyperlink" Target="https://doi.org/10.1080/01425692.2016.1273757" TargetMode="External"/><Relationship Id="rId101" Type="http://schemas.openxmlformats.org/officeDocument/2006/relationships/hyperlink" Target="https://www.specialneedsjungle.com/wp-content/uploads/2022/03/Race-and-SEND-Survey_Final_170322.pdf" TargetMode="External"/><Relationship Id="rId122" Type="http://schemas.openxmlformats.org/officeDocument/2006/relationships/hyperlink" Target="https://doi.org/10.1177/0020872818808557" TargetMode="External"/><Relationship Id="rId143" Type="http://schemas.openxmlformats.org/officeDocument/2006/relationships/hyperlink" Target="https://doi.org/10.1177/1077800414557827" TargetMode="External"/><Relationship Id="rId148" Type="http://schemas.openxmlformats.org/officeDocument/2006/relationships/hyperlink" Target="https://doi.org/10.1177/1077800414557827" TargetMode="External"/><Relationship Id="rId164" Type="http://schemas.openxmlformats.org/officeDocument/2006/relationships/hyperlink" Target="https://doi.org/10.1177/1077800414557827" TargetMode="External"/><Relationship Id="rId169" Type="http://schemas.openxmlformats.org/officeDocument/2006/relationships/hyperlink" Target="https://jamanetwork.com/journals/jamapediatrics/fullarticle/2777821" TargetMode="External"/><Relationship Id="rId4" Type="http://schemas.openxmlformats.org/officeDocument/2006/relationships/hyperlink" Target="https://assets.publishing.service.gov.uk/media/624178c68fa8f5277c0168e7/SEND_review_right_support_right_place_right_time_accessible.pdf" TargetMode="External"/><Relationship Id="rId9" Type="http://schemas.openxmlformats.org/officeDocument/2006/relationships/hyperlink" Target="https://www.gov.uk/government/publications/area-send-framework-and-handbook/area-send-inspections-framework-and-handbook" TargetMode="External"/><Relationship Id="rId180" Type="http://schemas.openxmlformats.org/officeDocument/2006/relationships/hyperlink" Target="https://doi.org/10.1177/03085759211043255" TargetMode="External"/><Relationship Id="rId26" Type="http://schemas.openxmlformats.org/officeDocument/2006/relationships/hyperlink" Target="https://www.gov.uk/government/publications/national-strategy-for-autistic-children-young-people-and-adults-2021-to-2026/the-national-strategy-for-autistic-children-young-people-and-adults-2021-to-2026" TargetMode="External"/><Relationship Id="rId47" Type="http://schemas.openxmlformats.org/officeDocument/2006/relationships/hyperlink" Target="https://www.gov.uk/government/statistics/family-resources-survey-financial-year-2022-to-2023/family-resources-survey-financial-year-2022-to-2023" TargetMode="External"/><Relationship Id="rId68" Type="http://schemas.openxmlformats.org/officeDocument/2006/relationships/hyperlink" Target="https://explore-education-statistics.service.gov.uk/find-statistics/participation-in-education-training-and-neet-age-16-to-17-by-local-authority" TargetMode="External"/><Relationship Id="rId89" Type="http://schemas.openxmlformats.org/officeDocument/2006/relationships/hyperlink" Target="https://committees.parliament.uk/writtenevidence/91757/pdf/" TargetMode="External"/><Relationship Id="rId112" Type="http://schemas.openxmlformats.org/officeDocument/2006/relationships/hyperlink" Target="https://doi.org/10.1080/14643154.2019.1685756" TargetMode="External"/><Relationship Id="rId133" Type="http://schemas.openxmlformats.org/officeDocument/2006/relationships/hyperlink" Target="https://doi.org/10.1177/1077800414557827" TargetMode="External"/><Relationship Id="rId154" Type="http://schemas.openxmlformats.org/officeDocument/2006/relationships/hyperlink" Target="https://core.ac.uk/outputs/19522780/?source=2" TargetMode="External"/><Relationship Id="rId175" Type="http://schemas.openxmlformats.org/officeDocument/2006/relationships/hyperlink" Target="https://doi.org/10.1136/archdischild-2019-317985" TargetMode="External"/><Relationship Id="rId16" Type="http://schemas.openxmlformats.org/officeDocument/2006/relationships/hyperlink" Target="https://www.gov.uk/children-with-special-educational-needs/special-educational-needs-support" TargetMode="External"/><Relationship Id="rId37" Type="http://schemas.openxmlformats.org/officeDocument/2006/relationships/hyperlink" Target="https://www.eastsussexccg.nhs.uk/wp-content/uploads/2021/06/Sussex-LDA-Strategy-2021-2024.pdf" TargetMode="External"/><Relationship Id="rId58" Type="http://schemas.openxmlformats.org/officeDocument/2006/relationships/hyperlink" Target="https://digital.nhs.uk/data-and-information/publications/statistical/autism-statistics" TargetMode="External"/><Relationship Id="rId79" Type="http://schemas.openxmlformats.org/officeDocument/2006/relationships/hyperlink" Target="https://doi.org/10.1080/08893675.2017.1266201" TargetMode="External"/><Relationship Id="rId102" Type="http://schemas.openxmlformats.org/officeDocument/2006/relationships/hyperlink" Target="https://doi.org/10.1080/01425692.2016.1273757" TargetMode="External"/><Relationship Id="rId123" Type="http://schemas.openxmlformats.org/officeDocument/2006/relationships/hyperlink" Target="https://doi.org/10.1080/08856257.2020.1762988" TargetMode="External"/><Relationship Id="rId144" Type="http://schemas.openxmlformats.org/officeDocument/2006/relationships/hyperlink" Target="https://doi.org/10.1177/27526461241248194" TargetMode="External"/><Relationship Id="rId90" Type="http://schemas.openxmlformats.org/officeDocument/2006/relationships/hyperlink" Target="https://doi.org/10.1080/01425692.2016.1273757" TargetMode="External"/><Relationship Id="rId165" Type="http://schemas.openxmlformats.org/officeDocument/2006/relationships/hyperlink" Target="https://committees.parliament.uk/writtenevidence/91757/pdf/" TargetMode="External"/><Relationship Id="rId27" Type="http://schemas.openxmlformats.org/officeDocument/2006/relationships/hyperlink" Target="https://webarchive.nationalarchives.gov.uk/ukgwa/20230418155402/https:/www.longtermplan.nhs.uk/publication/nhs-long-term-plan/" TargetMode="External"/><Relationship Id="rId48" Type="http://schemas.openxmlformats.org/officeDocument/2006/relationships/hyperlink" Target="https://explore-education-statistics.service.gov.uk/find-statistics/special-educational-needs-in-england" TargetMode="External"/><Relationship Id="rId69" Type="http://schemas.openxmlformats.org/officeDocument/2006/relationships/hyperlink" Target="https://explore-education-statistics.service.gov.uk/find-statistics/16-18-destination-measures" TargetMode="External"/><Relationship Id="rId113" Type="http://schemas.openxmlformats.org/officeDocument/2006/relationships/hyperlink" Target="https://www.allfie.org.uk/our-work/policy-and-research/lived-experience-of-black-global-majority-disabled-pupils-and-their-families-in-mainstream-education/" TargetMode="External"/><Relationship Id="rId134" Type="http://schemas.openxmlformats.org/officeDocument/2006/relationships/hyperlink" Target="https://doi.org/10.1177/1077800414557827" TargetMode="External"/><Relationship Id="rId80" Type="http://schemas.openxmlformats.org/officeDocument/2006/relationships/hyperlink" Target="https://core.ac.uk/outputs/19522780/?source=2" TargetMode="External"/><Relationship Id="rId155" Type="http://schemas.openxmlformats.org/officeDocument/2006/relationships/hyperlink" Target="https://doi.org/10.1080/02667363.2022.2100320" TargetMode="External"/><Relationship Id="rId176" Type="http://schemas.openxmlformats.org/officeDocument/2006/relationships/hyperlink" Target="https://doi.org/10.1016/j.chiabu.2023.106325" TargetMode="External"/><Relationship Id="rId17" Type="http://schemas.openxmlformats.org/officeDocument/2006/relationships/hyperlink" Target="https://assets.publishing.service.gov.uk/media/5a7dcb85ed915d2ac884d995/SEND_Code_of_Practice_January_2015.pdf" TargetMode="External"/><Relationship Id="rId38" Type="http://schemas.openxmlformats.org/officeDocument/2006/relationships/hyperlink" Target="https://www.sussex.ics.nhs.uk/our-work/cyp/learning-disability-and-autism/driving-improvements-in-neurodevelopmental-services-across-sussex/" TargetMode="External"/><Relationship Id="rId59" Type="http://schemas.openxmlformats.org/officeDocument/2006/relationships/hyperlink" Target="https://explore-education-statistics.service.gov.uk/find-statistics/phonics-screening-check-attainment" TargetMode="External"/><Relationship Id="rId103" Type="http://schemas.openxmlformats.org/officeDocument/2006/relationships/hyperlink" Target="https://www.specialneedsjungle.com/wp-content/uploads/2022/03/Race-and-SEND-Survey_Final_170322.pdf" TargetMode="External"/><Relationship Id="rId124" Type="http://schemas.openxmlformats.org/officeDocument/2006/relationships/hyperlink" Target="https://doi.org/10.1177/1077800414557827" TargetMode="External"/><Relationship Id="rId70" Type="http://schemas.openxmlformats.org/officeDocument/2006/relationships/hyperlink" Target="https://explore-education-statistics.service.gov.uk/find-statistics/widening-participation-in-higher-education" TargetMode="External"/><Relationship Id="rId91" Type="http://schemas.openxmlformats.org/officeDocument/2006/relationships/hyperlink" Target="https://www.allfie.org.uk/our-work/policy-and-research/lived-experience-of-black-global-majority-disabled-pupils-and-their-families-in-mainstream-education/" TargetMode="External"/><Relationship Id="rId145" Type="http://schemas.openxmlformats.org/officeDocument/2006/relationships/hyperlink" Target="https://doi.org/10.1177/27526461241248194" TargetMode="External"/><Relationship Id="rId166" Type="http://schemas.openxmlformats.org/officeDocument/2006/relationships/hyperlink" Target="https://doi.org/10.1080/02667363.2022.2100320" TargetMode="External"/><Relationship Id="rId1" Type="http://schemas.openxmlformats.org/officeDocument/2006/relationships/hyperlink" Target="https://www.gov.uk/government/publications/jsnas-and-jhws-statutory-guidance" TargetMode="External"/><Relationship Id="rId28" Type="http://schemas.openxmlformats.org/officeDocument/2006/relationships/hyperlink" Target="https://www.legislation.gov.uk/ukpga/2022/31/contents" TargetMode="External"/><Relationship Id="rId49" Type="http://schemas.openxmlformats.org/officeDocument/2006/relationships/hyperlink" Target="https://explore-education-statistics.service.gov.uk/find-statistics/outcomes-for-children-in-need-including-children-looked-after-by-local-authorities-in-england/2024" TargetMode="External"/><Relationship Id="rId114" Type="http://schemas.openxmlformats.org/officeDocument/2006/relationships/hyperlink" Target="https://doi.org/10.1177/27526461241248194"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26B94E-1DBB-481B-A318-B85E658D91EE}" type="doc">
      <dgm:prSet loTypeId="urn:microsoft.com/office/officeart/2005/8/layout/vList2" loCatId="list" qsTypeId="urn:microsoft.com/office/officeart/2005/8/quickstyle/simple1" qsCatId="simple" csTypeId="urn:microsoft.com/office/officeart/2005/8/colors/colorful1" csCatId="colorful" phldr="1"/>
      <dgm:spPr/>
      <dgm:t>
        <a:bodyPr/>
        <a:lstStyle/>
        <a:p>
          <a:endParaRPr lang="en-GB"/>
        </a:p>
      </dgm:t>
    </dgm:pt>
    <dgm:pt modelId="{9A3C430E-7789-4C0F-B8EE-CE45DF674C5A}">
      <dgm:prSet phldrT="[Text]" custT="1"/>
      <dgm:spPr/>
      <dgm:t>
        <a:bodyPr/>
        <a:lstStyle/>
        <a:p>
          <a:pPr algn="l"/>
          <a:r>
            <a:rPr lang="en-GB" sz="1200" b="1">
              <a:latin typeface="Arial" panose="020B0604020202020204" pitchFamily="34" charset="0"/>
              <a:cs typeface="Arial" panose="020B0604020202020204" pitchFamily="34" charset="0"/>
            </a:rPr>
            <a:t>3. SEND Pathways: </a:t>
          </a:r>
          <a:r>
            <a:rPr lang="en-GB" sz="1200">
              <a:latin typeface="Arial" panose="020B0604020202020204" pitchFamily="34" charset="0"/>
              <a:cs typeface="Arial" panose="020B0604020202020204" pitchFamily="34" charset="0"/>
            </a:rPr>
            <a:t>We will ensure that children, young people and adults with SEND and their families can access the right support from services - easily and quickly.</a:t>
          </a:r>
        </a:p>
      </dgm:t>
    </dgm:pt>
    <dgm:pt modelId="{2C87C384-056E-4808-8B7A-C6080A208315}" type="parTrans" cxnId="{D473CB8A-2D65-483C-B546-42778DD34B41}">
      <dgm:prSet/>
      <dgm:spPr/>
      <dgm:t>
        <a:bodyPr/>
        <a:lstStyle/>
        <a:p>
          <a:endParaRPr lang="en-GB" sz="1400">
            <a:latin typeface="Arial" panose="020B0604020202020204" pitchFamily="34" charset="0"/>
            <a:cs typeface="Arial" panose="020B0604020202020204" pitchFamily="34" charset="0"/>
          </a:endParaRPr>
        </a:p>
      </dgm:t>
    </dgm:pt>
    <dgm:pt modelId="{9BAEFB29-833C-4325-848D-5452031BDB88}" type="sibTrans" cxnId="{D473CB8A-2D65-483C-B546-42778DD34B41}">
      <dgm:prSet/>
      <dgm:spPr/>
      <dgm:t>
        <a:bodyPr/>
        <a:lstStyle/>
        <a:p>
          <a:endParaRPr lang="en-GB" sz="1400">
            <a:latin typeface="Arial" panose="020B0604020202020204" pitchFamily="34" charset="0"/>
            <a:cs typeface="Arial" panose="020B0604020202020204" pitchFamily="34" charset="0"/>
          </a:endParaRPr>
        </a:p>
      </dgm:t>
    </dgm:pt>
    <dgm:pt modelId="{42D42741-6402-465C-97D0-AF7F20BC7C75}">
      <dgm:prSet phldrT="[Text]" custT="1"/>
      <dgm:spPr/>
      <dgm:t>
        <a:bodyPr/>
        <a:lstStyle/>
        <a:p>
          <a:pPr algn="l">
            <a:buNone/>
          </a:pPr>
          <a:endParaRPr lang="en-GB" sz="1400" b="1">
            <a:latin typeface="Arial" panose="020B0604020202020204" pitchFamily="34" charset="0"/>
            <a:cs typeface="Arial" panose="020B0604020202020204" pitchFamily="34" charset="0"/>
          </a:endParaRPr>
        </a:p>
        <a:p>
          <a:pPr algn="l">
            <a:buNone/>
          </a:pPr>
          <a:r>
            <a:rPr lang="en-GB" sz="1200" b="1">
              <a:latin typeface="Arial" panose="020B0604020202020204" pitchFamily="34" charset="0"/>
              <a:cs typeface="Arial" panose="020B0604020202020204" pitchFamily="34" charset="0"/>
            </a:rPr>
            <a:t>5. Transitions and preparing for the future: </a:t>
          </a:r>
          <a:r>
            <a:rPr lang="en-GB" sz="1200">
              <a:latin typeface="Arial" panose="020B0604020202020204" pitchFamily="34" charset="0"/>
              <a:cs typeface="Arial" panose="020B0604020202020204" pitchFamily="34" charset="0"/>
            </a:rPr>
            <a:t>We will ensure that moves between services or changes in provision and support across all ages are smooth, seamless and supportive.</a:t>
          </a:r>
        </a:p>
        <a:p>
          <a:pPr algn="l">
            <a:buNone/>
          </a:pPr>
          <a:endParaRPr lang="en-GB" sz="1400"/>
        </a:p>
      </dgm:t>
    </dgm:pt>
    <dgm:pt modelId="{FDF0306B-5F99-4B50-81FB-60C71E48E8BA}" type="parTrans" cxnId="{2DF639DE-AD8C-47AA-9D4B-0208A6D01E93}">
      <dgm:prSet/>
      <dgm:spPr/>
      <dgm:t>
        <a:bodyPr/>
        <a:lstStyle/>
        <a:p>
          <a:endParaRPr lang="en-GB" sz="1400">
            <a:latin typeface="Arial" panose="020B0604020202020204" pitchFamily="34" charset="0"/>
            <a:cs typeface="Arial" panose="020B0604020202020204" pitchFamily="34" charset="0"/>
          </a:endParaRPr>
        </a:p>
      </dgm:t>
    </dgm:pt>
    <dgm:pt modelId="{5314A511-C942-4136-A844-7307A4EA70C3}" type="sibTrans" cxnId="{2DF639DE-AD8C-47AA-9D4B-0208A6D01E93}">
      <dgm:prSet/>
      <dgm:spPr/>
      <dgm:t>
        <a:bodyPr/>
        <a:lstStyle/>
        <a:p>
          <a:endParaRPr lang="en-GB" sz="1400">
            <a:latin typeface="Arial" panose="020B0604020202020204" pitchFamily="34" charset="0"/>
            <a:cs typeface="Arial" panose="020B0604020202020204" pitchFamily="34" charset="0"/>
          </a:endParaRPr>
        </a:p>
      </dgm:t>
    </dgm:pt>
    <dgm:pt modelId="{1936B1EF-A13F-4B57-A5AF-A8409698DB89}">
      <dgm:prSet phldrT="[Text]" custT="1"/>
      <dgm:spPr/>
      <dgm:t>
        <a:bodyPr/>
        <a:lstStyle/>
        <a:p>
          <a:pPr algn="l">
            <a:buNone/>
          </a:pPr>
          <a:r>
            <a:rPr lang="en-GB" sz="1200" b="1">
              <a:latin typeface="Arial" panose="020B0604020202020204" pitchFamily="34" charset="0"/>
              <a:cs typeface="Arial" panose="020B0604020202020204" pitchFamily="34" charset="0"/>
            </a:rPr>
            <a:t>6. Sufficiency of SEND Services and Provision: </a:t>
          </a:r>
          <a:r>
            <a:rPr lang="en-GB" sz="1200">
              <a:latin typeface="Arial" panose="020B0604020202020204" pitchFamily="34" charset="0"/>
              <a:cs typeface="Arial" panose="020B0604020202020204" pitchFamily="34" charset="0"/>
            </a:rPr>
            <a:t>To ensure that the right provision is available at the right time for all children and young people with SEND. This includes Early Years, Post-16, Post-10, alternative provision and adults with LD.</a:t>
          </a:r>
        </a:p>
      </dgm:t>
    </dgm:pt>
    <dgm:pt modelId="{6390DD81-B7E3-43CF-98F6-E5628E0A6FA2}" type="parTrans" cxnId="{87D74499-49DE-4F42-A5B7-9FCA8C1F728F}">
      <dgm:prSet/>
      <dgm:spPr/>
      <dgm:t>
        <a:bodyPr/>
        <a:lstStyle/>
        <a:p>
          <a:endParaRPr lang="en-GB" sz="1400">
            <a:latin typeface="Arial" panose="020B0604020202020204" pitchFamily="34" charset="0"/>
            <a:cs typeface="Arial" panose="020B0604020202020204" pitchFamily="34" charset="0"/>
          </a:endParaRPr>
        </a:p>
      </dgm:t>
    </dgm:pt>
    <dgm:pt modelId="{32B18D49-9255-4DDE-91DF-9D8620FA99CB}" type="sibTrans" cxnId="{87D74499-49DE-4F42-A5B7-9FCA8C1F728F}">
      <dgm:prSet/>
      <dgm:spPr/>
      <dgm:t>
        <a:bodyPr/>
        <a:lstStyle/>
        <a:p>
          <a:endParaRPr lang="en-GB" sz="1400">
            <a:latin typeface="Arial" panose="020B0604020202020204" pitchFamily="34" charset="0"/>
            <a:cs typeface="Arial" panose="020B0604020202020204" pitchFamily="34" charset="0"/>
          </a:endParaRPr>
        </a:p>
      </dgm:t>
    </dgm:pt>
    <dgm:pt modelId="{868545CE-DD21-401C-96F5-2995DE5B32C2}">
      <dgm:prSet custT="1"/>
      <dgm:spPr/>
      <dgm:t>
        <a:bodyPr/>
        <a:lstStyle/>
        <a:p>
          <a:pPr algn="l"/>
          <a:r>
            <a:rPr lang="en-GB" sz="1200" b="1">
              <a:latin typeface="Arial" panose="020B0604020202020204" pitchFamily="34" charset="0"/>
              <a:cs typeface="Arial" panose="020B0604020202020204" pitchFamily="34" charset="0"/>
            </a:rPr>
            <a:t>1. Inclusion: </a:t>
          </a:r>
          <a:r>
            <a:rPr lang="en-GB" sz="1200">
              <a:latin typeface="Arial" panose="020B0604020202020204" pitchFamily="34" charset="0"/>
              <a:cs typeface="Arial" panose="020B0604020202020204" pitchFamily="34" charset="0"/>
            </a:rPr>
            <a:t>We will ensure there is a city-wide commitment to services and support that is inclusive to children, young people and adults with SEND</a:t>
          </a:r>
        </a:p>
      </dgm:t>
    </dgm:pt>
    <dgm:pt modelId="{1E92A864-33CE-4A8E-86FF-31253F67100B}" type="parTrans" cxnId="{1BDCA5F5-DF6D-4AE4-BFB4-A50366A01694}">
      <dgm:prSet/>
      <dgm:spPr/>
      <dgm:t>
        <a:bodyPr/>
        <a:lstStyle/>
        <a:p>
          <a:endParaRPr lang="en-GB" sz="1400">
            <a:latin typeface="Arial" panose="020B0604020202020204" pitchFamily="34" charset="0"/>
            <a:cs typeface="Arial" panose="020B0604020202020204" pitchFamily="34" charset="0"/>
          </a:endParaRPr>
        </a:p>
      </dgm:t>
    </dgm:pt>
    <dgm:pt modelId="{BB884F26-81C3-48B0-A17B-6FF91F175EAD}" type="sibTrans" cxnId="{1BDCA5F5-DF6D-4AE4-BFB4-A50366A01694}">
      <dgm:prSet/>
      <dgm:spPr/>
      <dgm:t>
        <a:bodyPr/>
        <a:lstStyle/>
        <a:p>
          <a:endParaRPr lang="en-GB" sz="1400">
            <a:latin typeface="Arial" panose="020B0604020202020204" pitchFamily="34" charset="0"/>
            <a:cs typeface="Arial" panose="020B0604020202020204" pitchFamily="34" charset="0"/>
          </a:endParaRPr>
        </a:p>
      </dgm:t>
    </dgm:pt>
    <dgm:pt modelId="{0F242F0C-3F23-4A88-8FB4-96396625FE1E}">
      <dgm:prSet custT="1"/>
      <dgm:spPr/>
      <dgm:t>
        <a:bodyPr/>
        <a:lstStyle/>
        <a:p>
          <a:pPr algn="l"/>
          <a:r>
            <a:rPr lang="en-GB" sz="1200" b="1">
              <a:latin typeface="Arial" panose="020B0604020202020204" pitchFamily="34" charset="0"/>
              <a:cs typeface="Arial" panose="020B0604020202020204" pitchFamily="34" charset="0"/>
            </a:rPr>
            <a:t>2. Early identification and intervention: </a:t>
          </a:r>
          <a:r>
            <a:rPr lang="en-GB" sz="1200">
              <a:latin typeface="Arial" panose="020B0604020202020204" pitchFamily="34" charset="0"/>
              <a:cs typeface="Arial" panose="020B0604020202020204" pitchFamily="34" charset="0"/>
            </a:rPr>
            <a:t>We will ensure that children’s needs are identified, assessed and supported both early in life and when issues arise.</a:t>
          </a:r>
        </a:p>
      </dgm:t>
    </dgm:pt>
    <dgm:pt modelId="{69E9E691-4710-4F5C-B396-8C4A2CA66F42}" type="parTrans" cxnId="{7ED04B2F-14AE-4F40-93F9-E55C2ADBF47D}">
      <dgm:prSet/>
      <dgm:spPr/>
      <dgm:t>
        <a:bodyPr/>
        <a:lstStyle/>
        <a:p>
          <a:endParaRPr lang="en-GB" sz="1400">
            <a:latin typeface="Arial" panose="020B0604020202020204" pitchFamily="34" charset="0"/>
            <a:cs typeface="Arial" panose="020B0604020202020204" pitchFamily="34" charset="0"/>
          </a:endParaRPr>
        </a:p>
      </dgm:t>
    </dgm:pt>
    <dgm:pt modelId="{5B7905AA-B20F-4DE7-94FC-B713AAF59754}" type="sibTrans" cxnId="{7ED04B2F-14AE-4F40-93F9-E55C2ADBF47D}">
      <dgm:prSet/>
      <dgm:spPr/>
      <dgm:t>
        <a:bodyPr/>
        <a:lstStyle/>
        <a:p>
          <a:endParaRPr lang="en-GB" sz="1400">
            <a:latin typeface="Arial" panose="020B0604020202020204" pitchFamily="34" charset="0"/>
            <a:cs typeface="Arial" panose="020B0604020202020204" pitchFamily="34" charset="0"/>
          </a:endParaRPr>
        </a:p>
      </dgm:t>
    </dgm:pt>
    <dgm:pt modelId="{BFE2C855-8F65-429E-8663-C79BA88E991A}">
      <dgm:prSet custT="1"/>
      <dgm:spPr/>
      <dgm:t>
        <a:bodyPr/>
        <a:lstStyle/>
        <a:p>
          <a:pPr algn="l"/>
          <a:r>
            <a:rPr lang="en-GB" sz="1200" b="1">
              <a:latin typeface="Arial" panose="020B0604020202020204" pitchFamily="34" charset="0"/>
              <a:cs typeface="Arial" panose="020B0604020202020204" pitchFamily="34" charset="0"/>
            </a:rPr>
            <a:t>4. Achievement and Outcomes: </a:t>
          </a:r>
          <a:r>
            <a:rPr lang="en-GB" sz="1200">
              <a:latin typeface="Arial" panose="020B0604020202020204" pitchFamily="34" charset="0"/>
              <a:cs typeface="Arial" panose="020B0604020202020204" pitchFamily="34" charset="0"/>
            </a:rPr>
            <a:t>We will ensure that all children, young people and adults with LD are able to achieve their full potential across Health, Education and Social Care.</a:t>
          </a:r>
        </a:p>
      </dgm:t>
    </dgm:pt>
    <dgm:pt modelId="{DEEF28EE-B96C-460D-981E-E1BCE6A94430}" type="parTrans" cxnId="{FE5EFA8D-9B4D-4645-AD9E-63D656208AB2}">
      <dgm:prSet/>
      <dgm:spPr/>
      <dgm:t>
        <a:bodyPr/>
        <a:lstStyle/>
        <a:p>
          <a:endParaRPr lang="en-GB" sz="1400">
            <a:latin typeface="Arial" panose="020B0604020202020204" pitchFamily="34" charset="0"/>
            <a:cs typeface="Arial" panose="020B0604020202020204" pitchFamily="34" charset="0"/>
          </a:endParaRPr>
        </a:p>
      </dgm:t>
    </dgm:pt>
    <dgm:pt modelId="{354A3A79-2A04-4160-A9B8-073D49DE1995}" type="sibTrans" cxnId="{FE5EFA8D-9B4D-4645-AD9E-63D656208AB2}">
      <dgm:prSet/>
      <dgm:spPr/>
      <dgm:t>
        <a:bodyPr/>
        <a:lstStyle/>
        <a:p>
          <a:endParaRPr lang="en-GB" sz="1400">
            <a:latin typeface="Arial" panose="020B0604020202020204" pitchFamily="34" charset="0"/>
            <a:cs typeface="Arial" panose="020B0604020202020204" pitchFamily="34" charset="0"/>
          </a:endParaRPr>
        </a:p>
      </dgm:t>
    </dgm:pt>
    <dgm:pt modelId="{5CF2EE6E-E952-4058-87EC-DF9F70D357B2}" type="pres">
      <dgm:prSet presAssocID="{4A26B94E-1DBB-481B-A318-B85E658D91EE}" presName="linear" presStyleCnt="0">
        <dgm:presLayoutVars>
          <dgm:animLvl val="lvl"/>
          <dgm:resizeHandles val="exact"/>
        </dgm:presLayoutVars>
      </dgm:prSet>
      <dgm:spPr/>
    </dgm:pt>
    <dgm:pt modelId="{5B476028-E8C7-4E5E-A446-9148FDA89F14}" type="pres">
      <dgm:prSet presAssocID="{868545CE-DD21-401C-96F5-2995DE5B32C2}" presName="parentText" presStyleLbl="node1" presStyleIdx="0" presStyleCnt="6">
        <dgm:presLayoutVars>
          <dgm:chMax val="0"/>
          <dgm:bulletEnabled val="1"/>
        </dgm:presLayoutVars>
      </dgm:prSet>
      <dgm:spPr/>
    </dgm:pt>
    <dgm:pt modelId="{2E7B99C1-285A-4942-918E-1D3CDCA9CA32}" type="pres">
      <dgm:prSet presAssocID="{BB884F26-81C3-48B0-A17B-6FF91F175EAD}" presName="spacer" presStyleCnt="0"/>
      <dgm:spPr/>
    </dgm:pt>
    <dgm:pt modelId="{2989F57B-1ACF-4AC2-970E-D5C1173C8D17}" type="pres">
      <dgm:prSet presAssocID="{0F242F0C-3F23-4A88-8FB4-96396625FE1E}" presName="parentText" presStyleLbl="node1" presStyleIdx="1" presStyleCnt="6">
        <dgm:presLayoutVars>
          <dgm:chMax val="0"/>
          <dgm:bulletEnabled val="1"/>
        </dgm:presLayoutVars>
      </dgm:prSet>
      <dgm:spPr/>
    </dgm:pt>
    <dgm:pt modelId="{F5EE8524-B11B-45A5-8F10-D2734D44681A}" type="pres">
      <dgm:prSet presAssocID="{5B7905AA-B20F-4DE7-94FC-B713AAF59754}" presName="spacer" presStyleCnt="0"/>
      <dgm:spPr/>
    </dgm:pt>
    <dgm:pt modelId="{1028C968-9378-4E9C-AC5F-F15AEBE9FBDA}" type="pres">
      <dgm:prSet presAssocID="{9A3C430E-7789-4C0F-B8EE-CE45DF674C5A}" presName="parentText" presStyleLbl="node1" presStyleIdx="2" presStyleCnt="6" custLinFactY="2151" custLinFactNeighborX="275" custLinFactNeighborY="100000">
        <dgm:presLayoutVars>
          <dgm:chMax val="0"/>
          <dgm:bulletEnabled val="1"/>
        </dgm:presLayoutVars>
      </dgm:prSet>
      <dgm:spPr/>
    </dgm:pt>
    <dgm:pt modelId="{AF4E099C-381D-4DC2-8DE2-FDDD6E841A15}" type="pres">
      <dgm:prSet presAssocID="{9BAEFB29-833C-4325-848D-5452031BDB88}" presName="spacer" presStyleCnt="0"/>
      <dgm:spPr/>
    </dgm:pt>
    <dgm:pt modelId="{AF0CD276-955C-402E-8CC9-1C9899476986}" type="pres">
      <dgm:prSet presAssocID="{BFE2C855-8F65-429E-8663-C79BA88E991A}" presName="parentText" presStyleLbl="node1" presStyleIdx="3" presStyleCnt="6">
        <dgm:presLayoutVars>
          <dgm:chMax val="0"/>
          <dgm:bulletEnabled val="1"/>
        </dgm:presLayoutVars>
      </dgm:prSet>
      <dgm:spPr/>
    </dgm:pt>
    <dgm:pt modelId="{CB200399-02FB-4328-8146-5F2C4824AB0D}" type="pres">
      <dgm:prSet presAssocID="{354A3A79-2A04-4160-A9B8-073D49DE1995}" presName="spacer" presStyleCnt="0"/>
      <dgm:spPr/>
    </dgm:pt>
    <dgm:pt modelId="{CCD9440C-8849-4055-A226-EA3A8672D9C1}" type="pres">
      <dgm:prSet presAssocID="{42D42741-6402-465C-97D0-AF7F20BC7C75}" presName="parentText" presStyleLbl="node1" presStyleIdx="4" presStyleCnt="6" custScaleY="95274">
        <dgm:presLayoutVars>
          <dgm:chMax val="0"/>
          <dgm:bulletEnabled val="1"/>
        </dgm:presLayoutVars>
      </dgm:prSet>
      <dgm:spPr/>
    </dgm:pt>
    <dgm:pt modelId="{A14EA38E-E2BF-4D14-B41F-1F815A528399}" type="pres">
      <dgm:prSet presAssocID="{5314A511-C942-4136-A844-7307A4EA70C3}" presName="spacer" presStyleCnt="0"/>
      <dgm:spPr/>
    </dgm:pt>
    <dgm:pt modelId="{95405012-1F91-4FFD-AC34-CD1B520DF98E}" type="pres">
      <dgm:prSet presAssocID="{1936B1EF-A13F-4B57-A5AF-A8409698DB89}" presName="parentText" presStyleLbl="node1" presStyleIdx="5" presStyleCnt="6">
        <dgm:presLayoutVars>
          <dgm:chMax val="0"/>
          <dgm:bulletEnabled val="1"/>
        </dgm:presLayoutVars>
      </dgm:prSet>
      <dgm:spPr/>
    </dgm:pt>
  </dgm:ptLst>
  <dgm:cxnLst>
    <dgm:cxn modelId="{7ED04B2F-14AE-4F40-93F9-E55C2ADBF47D}" srcId="{4A26B94E-1DBB-481B-A318-B85E658D91EE}" destId="{0F242F0C-3F23-4A88-8FB4-96396625FE1E}" srcOrd="1" destOrd="0" parTransId="{69E9E691-4710-4F5C-B396-8C4A2CA66F42}" sibTransId="{5B7905AA-B20F-4DE7-94FC-B713AAF59754}"/>
    <dgm:cxn modelId="{CBCE676F-ADBA-48C4-AC72-7EF24555D5F2}" type="presOf" srcId="{42D42741-6402-465C-97D0-AF7F20BC7C75}" destId="{CCD9440C-8849-4055-A226-EA3A8672D9C1}" srcOrd="0" destOrd="0" presId="urn:microsoft.com/office/officeart/2005/8/layout/vList2"/>
    <dgm:cxn modelId="{D473CB8A-2D65-483C-B546-42778DD34B41}" srcId="{4A26B94E-1DBB-481B-A318-B85E658D91EE}" destId="{9A3C430E-7789-4C0F-B8EE-CE45DF674C5A}" srcOrd="2" destOrd="0" parTransId="{2C87C384-056E-4808-8B7A-C6080A208315}" sibTransId="{9BAEFB29-833C-4325-848D-5452031BDB88}"/>
    <dgm:cxn modelId="{FE5EFA8D-9B4D-4645-AD9E-63D656208AB2}" srcId="{4A26B94E-1DBB-481B-A318-B85E658D91EE}" destId="{BFE2C855-8F65-429E-8663-C79BA88E991A}" srcOrd="3" destOrd="0" parTransId="{DEEF28EE-B96C-460D-981E-E1BCE6A94430}" sibTransId="{354A3A79-2A04-4160-A9B8-073D49DE1995}"/>
    <dgm:cxn modelId="{B8FA5E92-9EBB-494E-93B5-F94F355C9505}" type="presOf" srcId="{0F242F0C-3F23-4A88-8FB4-96396625FE1E}" destId="{2989F57B-1ACF-4AC2-970E-D5C1173C8D17}" srcOrd="0" destOrd="0" presId="urn:microsoft.com/office/officeart/2005/8/layout/vList2"/>
    <dgm:cxn modelId="{87D74499-49DE-4F42-A5B7-9FCA8C1F728F}" srcId="{4A26B94E-1DBB-481B-A318-B85E658D91EE}" destId="{1936B1EF-A13F-4B57-A5AF-A8409698DB89}" srcOrd="5" destOrd="0" parTransId="{6390DD81-B7E3-43CF-98F6-E5628E0A6FA2}" sibTransId="{32B18D49-9255-4DDE-91DF-9D8620FA99CB}"/>
    <dgm:cxn modelId="{116597B2-710A-4F42-BDC0-FED967092E04}" type="presOf" srcId="{9A3C430E-7789-4C0F-B8EE-CE45DF674C5A}" destId="{1028C968-9378-4E9C-AC5F-F15AEBE9FBDA}" srcOrd="0" destOrd="0" presId="urn:microsoft.com/office/officeart/2005/8/layout/vList2"/>
    <dgm:cxn modelId="{F2D178B5-D4BE-4C0A-9023-CAE6D78068E2}" type="presOf" srcId="{BFE2C855-8F65-429E-8663-C79BA88E991A}" destId="{AF0CD276-955C-402E-8CC9-1C9899476986}" srcOrd="0" destOrd="0" presId="urn:microsoft.com/office/officeart/2005/8/layout/vList2"/>
    <dgm:cxn modelId="{EC9C6EDA-5E40-4FA7-A9B6-37413B6E68FA}" type="presOf" srcId="{4A26B94E-1DBB-481B-A318-B85E658D91EE}" destId="{5CF2EE6E-E952-4058-87EC-DF9F70D357B2}" srcOrd="0" destOrd="0" presId="urn:microsoft.com/office/officeart/2005/8/layout/vList2"/>
    <dgm:cxn modelId="{2DF639DE-AD8C-47AA-9D4B-0208A6D01E93}" srcId="{4A26B94E-1DBB-481B-A318-B85E658D91EE}" destId="{42D42741-6402-465C-97D0-AF7F20BC7C75}" srcOrd="4" destOrd="0" parTransId="{FDF0306B-5F99-4B50-81FB-60C71E48E8BA}" sibTransId="{5314A511-C942-4136-A844-7307A4EA70C3}"/>
    <dgm:cxn modelId="{E9047DE8-EDF9-46D0-94C1-8951BC87BAE1}" type="presOf" srcId="{868545CE-DD21-401C-96F5-2995DE5B32C2}" destId="{5B476028-E8C7-4E5E-A446-9148FDA89F14}" srcOrd="0" destOrd="0" presId="urn:microsoft.com/office/officeart/2005/8/layout/vList2"/>
    <dgm:cxn modelId="{35F78AF5-71A1-42EB-BEA9-BD3FF67DFA7C}" type="presOf" srcId="{1936B1EF-A13F-4B57-A5AF-A8409698DB89}" destId="{95405012-1F91-4FFD-AC34-CD1B520DF98E}" srcOrd="0" destOrd="0" presId="urn:microsoft.com/office/officeart/2005/8/layout/vList2"/>
    <dgm:cxn modelId="{1BDCA5F5-DF6D-4AE4-BFB4-A50366A01694}" srcId="{4A26B94E-1DBB-481B-A318-B85E658D91EE}" destId="{868545CE-DD21-401C-96F5-2995DE5B32C2}" srcOrd="0" destOrd="0" parTransId="{1E92A864-33CE-4A8E-86FF-31253F67100B}" sibTransId="{BB884F26-81C3-48B0-A17B-6FF91F175EAD}"/>
    <dgm:cxn modelId="{4744A6E0-4973-470A-8C67-4D728FA7DB21}" type="presParOf" srcId="{5CF2EE6E-E952-4058-87EC-DF9F70D357B2}" destId="{5B476028-E8C7-4E5E-A446-9148FDA89F14}" srcOrd="0" destOrd="0" presId="urn:microsoft.com/office/officeart/2005/8/layout/vList2"/>
    <dgm:cxn modelId="{FE1D6EF3-47D3-4362-A75F-93CFDA105744}" type="presParOf" srcId="{5CF2EE6E-E952-4058-87EC-DF9F70D357B2}" destId="{2E7B99C1-285A-4942-918E-1D3CDCA9CA32}" srcOrd="1" destOrd="0" presId="urn:microsoft.com/office/officeart/2005/8/layout/vList2"/>
    <dgm:cxn modelId="{587A752A-0A96-469B-8591-DF2EA1F93426}" type="presParOf" srcId="{5CF2EE6E-E952-4058-87EC-DF9F70D357B2}" destId="{2989F57B-1ACF-4AC2-970E-D5C1173C8D17}" srcOrd="2" destOrd="0" presId="urn:microsoft.com/office/officeart/2005/8/layout/vList2"/>
    <dgm:cxn modelId="{F0D89180-DEF8-47A0-971F-1F52D1BB50DF}" type="presParOf" srcId="{5CF2EE6E-E952-4058-87EC-DF9F70D357B2}" destId="{F5EE8524-B11B-45A5-8F10-D2734D44681A}" srcOrd="3" destOrd="0" presId="urn:microsoft.com/office/officeart/2005/8/layout/vList2"/>
    <dgm:cxn modelId="{3DF5E6BD-EF10-472E-8BD8-457BC71027B3}" type="presParOf" srcId="{5CF2EE6E-E952-4058-87EC-DF9F70D357B2}" destId="{1028C968-9378-4E9C-AC5F-F15AEBE9FBDA}" srcOrd="4" destOrd="0" presId="urn:microsoft.com/office/officeart/2005/8/layout/vList2"/>
    <dgm:cxn modelId="{BE30D46B-CE5A-473C-96A2-968DB6DB921A}" type="presParOf" srcId="{5CF2EE6E-E952-4058-87EC-DF9F70D357B2}" destId="{AF4E099C-381D-4DC2-8DE2-FDDD6E841A15}" srcOrd="5" destOrd="0" presId="urn:microsoft.com/office/officeart/2005/8/layout/vList2"/>
    <dgm:cxn modelId="{C4A3C095-9BA3-4EAC-AEB4-95C88AE3B181}" type="presParOf" srcId="{5CF2EE6E-E952-4058-87EC-DF9F70D357B2}" destId="{AF0CD276-955C-402E-8CC9-1C9899476986}" srcOrd="6" destOrd="0" presId="urn:microsoft.com/office/officeart/2005/8/layout/vList2"/>
    <dgm:cxn modelId="{DCEE61A6-1959-4058-85AE-0EC1B430E5A5}" type="presParOf" srcId="{5CF2EE6E-E952-4058-87EC-DF9F70D357B2}" destId="{CB200399-02FB-4328-8146-5F2C4824AB0D}" srcOrd="7" destOrd="0" presId="urn:microsoft.com/office/officeart/2005/8/layout/vList2"/>
    <dgm:cxn modelId="{CD948FE1-BFD0-419E-96AB-A6221F52B7DB}" type="presParOf" srcId="{5CF2EE6E-E952-4058-87EC-DF9F70D357B2}" destId="{CCD9440C-8849-4055-A226-EA3A8672D9C1}" srcOrd="8" destOrd="0" presId="urn:microsoft.com/office/officeart/2005/8/layout/vList2"/>
    <dgm:cxn modelId="{1C793576-E831-4784-BACA-9C8E3773E8A8}" type="presParOf" srcId="{5CF2EE6E-E952-4058-87EC-DF9F70D357B2}" destId="{A14EA38E-E2BF-4D14-B41F-1F815A528399}" srcOrd="9" destOrd="0" presId="urn:microsoft.com/office/officeart/2005/8/layout/vList2"/>
    <dgm:cxn modelId="{FC7D97B9-1461-4BCA-A29D-3694054D9988}" type="presParOf" srcId="{5CF2EE6E-E952-4058-87EC-DF9F70D357B2}" destId="{95405012-1F91-4FFD-AC34-CD1B520DF98E}" srcOrd="10" destOrd="0" presId="urn:microsoft.com/office/officeart/2005/8/layout/vList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8219B28-D225-4678-9009-97FD7E6C3683}" type="doc">
      <dgm:prSet loTypeId="urn:microsoft.com/office/officeart/2005/8/layout/default" loCatId="list" qsTypeId="urn:microsoft.com/office/officeart/2005/8/quickstyle/simple1" qsCatId="simple" csTypeId="urn:microsoft.com/office/officeart/2005/8/colors/accent5_2" csCatId="accent5" phldr="1"/>
      <dgm:spPr/>
      <dgm:t>
        <a:bodyPr/>
        <a:lstStyle/>
        <a:p>
          <a:endParaRPr lang="en-GB"/>
        </a:p>
      </dgm:t>
    </dgm:pt>
    <dgm:pt modelId="{74291ACA-4AAA-467E-8C91-E2F417BD3F7F}">
      <dgm:prSet phldrT="[Text]" custT="1"/>
      <dgm:spPr>
        <a:xfrm>
          <a:off x="485773" y="2381"/>
          <a:ext cx="4514853" cy="1298733"/>
        </a:xfrm>
        <a:prstGeom prst="rect">
          <a:avLst/>
        </a:prstGeom>
      </dgm:spPr>
      <dgm:t>
        <a:bodyPr/>
        <a:lstStyle/>
        <a:p>
          <a:pPr algn="l">
            <a:buNone/>
          </a:pPr>
          <a:r>
            <a:rPr lang="en-GB" sz="1700">
              <a:solidFill>
                <a:schemeClr val="bg1"/>
              </a:solidFill>
              <a:latin typeface="Calibri"/>
              <a:ea typeface="+mn-ea"/>
              <a:cs typeface="+mn-cs"/>
            </a:rPr>
            <a:t>8% overall B&amp;H pupils absence rate</a:t>
          </a:r>
        </a:p>
        <a:p>
          <a:pPr algn="l">
            <a:buNone/>
          </a:pPr>
          <a:endParaRPr lang="en-GB" sz="1700">
            <a:solidFill>
              <a:schemeClr val="bg1"/>
            </a:solidFill>
            <a:latin typeface="Calibri"/>
            <a:ea typeface="+mn-ea"/>
            <a:cs typeface="+mn-cs"/>
          </a:endParaRPr>
        </a:p>
        <a:p>
          <a:pPr algn="l">
            <a:buNone/>
          </a:pPr>
          <a:r>
            <a:rPr lang="en-GB" sz="1700">
              <a:solidFill>
                <a:schemeClr val="bg1"/>
              </a:solidFill>
              <a:latin typeface="Calibri"/>
              <a:ea typeface="+mn-ea"/>
              <a:cs typeface="+mn-cs"/>
            </a:rPr>
            <a:t>7% England</a:t>
          </a:r>
        </a:p>
      </dgm:t>
    </dgm:pt>
    <dgm:pt modelId="{07E77492-71C4-447F-AFB1-1DC2E7FA2BFB}" type="parTrans" cxnId="{35AEBD7B-E2BB-40E6-A7B0-6C1169D28955}">
      <dgm:prSet/>
      <dgm:spPr/>
      <dgm:t>
        <a:bodyPr/>
        <a:lstStyle/>
        <a:p>
          <a:endParaRPr lang="en-GB" sz="1700"/>
        </a:p>
      </dgm:t>
    </dgm:pt>
    <dgm:pt modelId="{6F401DA3-3D19-422B-BC39-A0C7FF6D932F}" type="sibTrans" cxnId="{35AEBD7B-E2BB-40E6-A7B0-6C1169D28955}">
      <dgm:prSet/>
      <dgm:spPr/>
      <dgm:t>
        <a:bodyPr/>
        <a:lstStyle/>
        <a:p>
          <a:endParaRPr lang="en-GB" sz="1700"/>
        </a:p>
      </dgm:t>
    </dgm:pt>
    <dgm:pt modelId="{66BB767C-C5C3-40BC-A599-568249107321}">
      <dgm:prSet phldrT="[Text]" custT="1"/>
      <dgm:spPr>
        <a:xfrm>
          <a:off x="2851427" y="1517570"/>
          <a:ext cx="2164556" cy="1298733"/>
        </a:xfrm>
        <a:prstGeom prst="rect">
          <a:avLst/>
        </a:prstGeom>
      </dgm:spPr>
      <dgm:t>
        <a:bodyPr/>
        <a:lstStyle/>
        <a:p>
          <a:pPr algn="l">
            <a:buNone/>
          </a:pPr>
          <a:r>
            <a:rPr lang="en-GB" sz="1700">
              <a:solidFill>
                <a:schemeClr val="bg1"/>
              </a:solidFill>
              <a:latin typeface="Calibri"/>
              <a:ea typeface="+mn-ea"/>
              <a:cs typeface="+mn-cs"/>
            </a:rPr>
            <a:t>12% of B&amp;H pupils with SEN support</a:t>
          </a:r>
        </a:p>
        <a:p>
          <a:pPr algn="l">
            <a:buNone/>
          </a:pPr>
          <a:endParaRPr lang="en-GB" sz="1700">
            <a:solidFill>
              <a:schemeClr val="bg1"/>
            </a:solidFill>
            <a:latin typeface="Calibri"/>
            <a:ea typeface="+mn-ea"/>
            <a:cs typeface="+mn-cs"/>
          </a:endParaRPr>
        </a:p>
        <a:p>
          <a:pPr algn="l">
            <a:buNone/>
          </a:pPr>
          <a:r>
            <a:rPr lang="en-GB" sz="1700">
              <a:solidFill>
                <a:schemeClr val="bg1"/>
              </a:solidFill>
              <a:latin typeface="Calibri"/>
              <a:ea typeface="+mn-ea"/>
              <a:cs typeface="+mn-cs"/>
            </a:rPr>
            <a:t>10% England</a:t>
          </a:r>
        </a:p>
      </dgm:t>
    </dgm:pt>
    <dgm:pt modelId="{3DA9106D-C62D-415F-A736-299F6E91FF8E}" type="parTrans" cxnId="{556CE7F4-8970-4988-8E69-CC1AF8538409}">
      <dgm:prSet/>
      <dgm:spPr/>
      <dgm:t>
        <a:bodyPr/>
        <a:lstStyle/>
        <a:p>
          <a:endParaRPr lang="en-GB" sz="1700"/>
        </a:p>
      </dgm:t>
    </dgm:pt>
    <dgm:pt modelId="{E9A240ED-71B3-4EC5-A6B3-F8FF4C7959B7}" type="sibTrans" cxnId="{556CE7F4-8970-4988-8E69-CC1AF8538409}">
      <dgm:prSet/>
      <dgm:spPr/>
      <dgm:t>
        <a:bodyPr/>
        <a:lstStyle/>
        <a:p>
          <a:endParaRPr lang="en-GB" sz="1700"/>
        </a:p>
      </dgm:t>
    </dgm:pt>
    <dgm:pt modelId="{ABA5B714-1507-43BE-AFF9-59BA3A577C28}">
      <dgm:prSet phldrT="[Text]" custT="1"/>
      <dgm:spPr>
        <a:xfrm>
          <a:off x="470415" y="3032760"/>
          <a:ext cx="2164556" cy="1298733"/>
        </a:xfrm>
        <a:prstGeom prst="rect">
          <a:avLst/>
        </a:prstGeom>
      </dgm:spPr>
      <dgm:t>
        <a:bodyPr/>
        <a:lstStyle/>
        <a:p>
          <a:pPr algn="l">
            <a:buNone/>
          </a:pPr>
          <a:r>
            <a:rPr lang="en-GB" sz="1700">
              <a:solidFill>
                <a:schemeClr val="bg1"/>
              </a:solidFill>
              <a:latin typeface="Calibri"/>
              <a:ea typeface="+mn-ea"/>
              <a:cs typeface="+mn-cs"/>
            </a:rPr>
            <a:t>16% with an EHC plan</a:t>
          </a:r>
        </a:p>
        <a:p>
          <a:pPr algn="l">
            <a:buNone/>
          </a:pPr>
          <a:endParaRPr lang="en-GB" sz="1700">
            <a:solidFill>
              <a:schemeClr val="bg1"/>
            </a:solidFill>
            <a:latin typeface="Calibri"/>
            <a:ea typeface="+mn-ea"/>
            <a:cs typeface="+mn-cs"/>
          </a:endParaRPr>
        </a:p>
        <a:p>
          <a:pPr algn="l">
            <a:buNone/>
          </a:pPr>
          <a:r>
            <a:rPr lang="en-GB" sz="1700">
              <a:solidFill>
                <a:schemeClr val="bg1"/>
              </a:solidFill>
              <a:latin typeface="Calibri"/>
              <a:ea typeface="+mn-ea"/>
              <a:cs typeface="+mn-cs"/>
            </a:rPr>
            <a:t>13% England</a:t>
          </a:r>
        </a:p>
      </dgm:t>
    </dgm:pt>
    <dgm:pt modelId="{21C71315-3522-4D29-9A90-D176E2DD0C7B}" type="parTrans" cxnId="{1E43346A-515A-45F4-8874-1933331D6A00}">
      <dgm:prSet/>
      <dgm:spPr/>
      <dgm:t>
        <a:bodyPr/>
        <a:lstStyle/>
        <a:p>
          <a:endParaRPr lang="en-GB" sz="1700"/>
        </a:p>
      </dgm:t>
    </dgm:pt>
    <dgm:pt modelId="{7801B553-E2B8-4C5B-A87B-690CD5C3E4EB}" type="sibTrans" cxnId="{1E43346A-515A-45F4-8874-1933331D6A00}">
      <dgm:prSet/>
      <dgm:spPr/>
      <dgm:t>
        <a:bodyPr/>
        <a:lstStyle/>
        <a:p>
          <a:endParaRPr lang="en-GB" sz="1700"/>
        </a:p>
      </dgm:t>
    </dgm:pt>
    <dgm:pt modelId="{96A33BE0-93E6-4B2D-BED8-5A322AA88FE4}">
      <dgm:prSet phldrT="[Text]" custT="1"/>
      <dgm:spPr>
        <a:xfrm>
          <a:off x="2851427" y="3032760"/>
          <a:ext cx="2164556" cy="1298733"/>
        </a:xfrm>
        <a:prstGeom prst="rect">
          <a:avLst/>
        </a:prstGeom>
      </dgm:spPr>
      <dgm:t>
        <a:bodyPr/>
        <a:lstStyle/>
        <a:p>
          <a:pPr algn="l">
            <a:buNone/>
          </a:pPr>
          <a:r>
            <a:rPr lang="en-GB" sz="1700">
              <a:solidFill>
                <a:schemeClr val="bg1"/>
              </a:solidFill>
              <a:latin typeface="Calibri"/>
              <a:ea typeface="+mn-ea"/>
              <a:cs typeface="+mn-cs"/>
            </a:rPr>
            <a:t>7% with no SEN</a:t>
          </a:r>
        </a:p>
        <a:p>
          <a:pPr algn="l">
            <a:buNone/>
          </a:pPr>
          <a:endParaRPr lang="en-GB" sz="1700">
            <a:solidFill>
              <a:schemeClr val="bg1"/>
            </a:solidFill>
            <a:latin typeface="Calibri"/>
            <a:ea typeface="+mn-ea"/>
            <a:cs typeface="+mn-cs"/>
          </a:endParaRPr>
        </a:p>
        <a:p>
          <a:pPr algn="l">
            <a:buNone/>
          </a:pPr>
          <a:r>
            <a:rPr lang="en-GB" sz="1700">
              <a:solidFill>
                <a:schemeClr val="bg1"/>
              </a:solidFill>
              <a:latin typeface="Calibri"/>
              <a:ea typeface="+mn-ea"/>
              <a:cs typeface="+mn-cs"/>
            </a:rPr>
            <a:t>6% England</a:t>
          </a:r>
        </a:p>
      </dgm:t>
    </dgm:pt>
    <dgm:pt modelId="{89172B6E-B0AA-41D0-B4D8-EA2FBB5347B1}" type="parTrans" cxnId="{3B7F5B26-5165-47FF-8D7F-D1AF122C0483}">
      <dgm:prSet/>
      <dgm:spPr/>
      <dgm:t>
        <a:bodyPr/>
        <a:lstStyle/>
        <a:p>
          <a:endParaRPr lang="en-GB" sz="1700"/>
        </a:p>
      </dgm:t>
    </dgm:pt>
    <dgm:pt modelId="{F9FC8507-9EA7-42F9-9739-B33C5C44D9F9}" type="sibTrans" cxnId="{3B7F5B26-5165-47FF-8D7F-D1AF122C0483}">
      <dgm:prSet/>
      <dgm:spPr/>
      <dgm:t>
        <a:bodyPr/>
        <a:lstStyle/>
        <a:p>
          <a:endParaRPr lang="en-GB" sz="1700"/>
        </a:p>
      </dgm:t>
    </dgm:pt>
    <dgm:pt modelId="{1024A243-13C2-4D3E-AD24-F860C34A8821}" type="pres">
      <dgm:prSet presAssocID="{F8219B28-D225-4678-9009-97FD7E6C3683}" presName="diagram" presStyleCnt="0">
        <dgm:presLayoutVars>
          <dgm:dir/>
          <dgm:resizeHandles val="exact"/>
        </dgm:presLayoutVars>
      </dgm:prSet>
      <dgm:spPr/>
    </dgm:pt>
    <dgm:pt modelId="{22721C5E-90D4-425D-BDF0-F545628EC12A}" type="pres">
      <dgm:prSet presAssocID="{74291ACA-4AAA-467E-8C91-E2F417BD3F7F}" presName="node" presStyleLbl="node1" presStyleIdx="0" presStyleCnt="4" custScaleX="97587" custScaleY="82631">
        <dgm:presLayoutVars>
          <dgm:bulletEnabled val="1"/>
        </dgm:presLayoutVars>
      </dgm:prSet>
      <dgm:spPr/>
    </dgm:pt>
    <dgm:pt modelId="{E3639BE1-6B70-4FD0-8DC5-D69EC4C576FF}" type="pres">
      <dgm:prSet presAssocID="{6F401DA3-3D19-422B-BC39-A0C7FF6D932F}" presName="sibTrans" presStyleCnt="0"/>
      <dgm:spPr/>
    </dgm:pt>
    <dgm:pt modelId="{71D0206A-E099-4BA8-9257-620F2804466C}" type="pres">
      <dgm:prSet presAssocID="{66BB767C-C5C3-40BC-A599-568249107321}" presName="node" presStyleLbl="node1" presStyleIdx="1" presStyleCnt="4" custScaleY="81472">
        <dgm:presLayoutVars>
          <dgm:bulletEnabled val="1"/>
        </dgm:presLayoutVars>
      </dgm:prSet>
      <dgm:spPr/>
    </dgm:pt>
    <dgm:pt modelId="{CE3BDC67-5359-4E0A-B147-A8CEF29F98C7}" type="pres">
      <dgm:prSet presAssocID="{E9A240ED-71B3-4EC5-A6B3-F8FF4C7959B7}" presName="sibTrans" presStyleCnt="0"/>
      <dgm:spPr/>
    </dgm:pt>
    <dgm:pt modelId="{99E71E6C-888A-4D41-A88A-3F630CC4A3E5}" type="pres">
      <dgm:prSet presAssocID="{ABA5B714-1507-43BE-AFF9-59BA3A577C28}" presName="node" presStyleLbl="node1" presStyleIdx="2" presStyleCnt="4" custScaleY="80607">
        <dgm:presLayoutVars>
          <dgm:bulletEnabled val="1"/>
        </dgm:presLayoutVars>
      </dgm:prSet>
      <dgm:spPr/>
    </dgm:pt>
    <dgm:pt modelId="{D427B829-EF1C-4A87-B8BB-06FC9F2AAC71}" type="pres">
      <dgm:prSet presAssocID="{7801B553-E2B8-4C5B-A87B-690CD5C3E4EB}" presName="sibTrans" presStyleCnt="0"/>
      <dgm:spPr/>
    </dgm:pt>
    <dgm:pt modelId="{F1DE154D-0123-4A2E-917D-9385C8759E16}" type="pres">
      <dgm:prSet presAssocID="{96A33BE0-93E6-4B2D-BED8-5A322AA88FE4}" presName="node" presStyleLbl="node1" presStyleIdx="3" presStyleCnt="4" custScaleY="79848">
        <dgm:presLayoutVars>
          <dgm:bulletEnabled val="1"/>
        </dgm:presLayoutVars>
      </dgm:prSet>
      <dgm:spPr/>
    </dgm:pt>
  </dgm:ptLst>
  <dgm:cxnLst>
    <dgm:cxn modelId="{3042301B-34C3-4CDB-A4E0-B2AA6A924042}" type="presOf" srcId="{F8219B28-D225-4678-9009-97FD7E6C3683}" destId="{1024A243-13C2-4D3E-AD24-F860C34A8821}" srcOrd="0" destOrd="0" presId="urn:microsoft.com/office/officeart/2005/8/layout/default"/>
    <dgm:cxn modelId="{3B7F5B26-5165-47FF-8D7F-D1AF122C0483}" srcId="{F8219B28-D225-4678-9009-97FD7E6C3683}" destId="{96A33BE0-93E6-4B2D-BED8-5A322AA88FE4}" srcOrd="3" destOrd="0" parTransId="{89172B6E-B0AA-41D0-B4D8-EA2FBB5347B1}" sibTransId="{F9FC8507-9EA7-42F9-9739-B33C5C44D9F9}"/>
    <dgm:cxn modelId="{AC51A65F-9866-4E90-9A49-7E17094AAE2D}" type="presOf" srcId="{66BB767C-C5C3-40BC-A599-568249107321}" destId="{71D0206A-E099-4BA8-9257-620F2804466C}" srcOrd="0" destOrd="0" presId="urn:microsoft.com/office/officeart/2005/8/layout/default"/>
    <dgm:cxn modelId="{1E43346A-515A-45F4-8874-1933331D6A00}" srcId="{F8219B28-D225-4678-9009-97FD7E6C3683}" destId="{ABA5B714-1507-43BE-AFF9-59BA3A577C28}" srcOrd="2" destOrd="0" parTransId="{21C71315-3522-4D29-9A90-D176E2DD0C7B}" sibTransId="{7801B553-E2B8-4C5B-A87B-690CD5C3E4EB}"/>
    <dgm:cxn modelId="{8A7AB677-872E-4D50-82BB-4C87D0895D0A}" type="presOf" srcId="{96A33BE0-93E6-4B2D-BED8-5A322AA88FE4}" destId="{F1DE154D-0123-4A2E-917D-9385C8759E16}" srcOrd="0" destOrd="0" presId="urn:microsoft.com/office/officeart/2005/8/layout/default"/>
    <dgm:cxn modelId="{35AEBD7B-E2BB-40E6-A7B0-6C1169D28955}" srcId="{F8219B28-D225-4678-9009-97FD7E6C3683}" destId="{74291ACA-4AAA-467E-8C91-E2F417BD3F7F}" srcOrd="0" destOrd="0" parTransId="{07E77492-71C4-447F-AFB1-1DC2E7FA2BFB}" sibTransId="{6F401DA3-3D19-422B-BC39-A0C7FF6D932F}"/>
    <dgm:cxn modelId="{2029958F-4759-46ED-96B6-748913D89C0F}" type="presOf" srcId="{74291ACA-4AAA-467E-8C91-E2F417BD3F7F}" destId="{22721C5E-90D4-425D-BDF0-F545628EC12A}" srcOrd="0" destOrd="0" presId="urn:microsoft.com/office/officeart/2005/8/layout/default"/>
    <dgm:cxn modelId="{24B4A4AE-D570-4988-827F-5815D2B2EADE}" type="presOf" srcId="{ABA5B714-1507-43BE-AFF9-59BA3A577C28}" destId="{99E71E6C-888A-4D41-A88A-3F630CC4A3E5}" srcOrd="0" destOrd="0" presId="urn:microsoft.com/office/officeart/2005/8/layout/default"/>
    <dgm:cxn modelId="{556CE7F4-8970-4988-8E69-CC1AF8538409}" srcId="{F8219B28-D225-4678-9009-97FD7E6C3683}" destId="{66BB767C-C5C3-40BC-A599-568249107321}" srcOrd="1" destOrd="0" parTransId="{3DA9106D-C62D-415F-A736-299F6E91FF8E}" sibTransId="{E9A240ED-71B3-4EC5-A6B3-F8FF4C7959B7}"/>
    <dgm:cxn modelId="{1CC6CC97-28EE-4607-BDA6-B742CC98C31E}" type="presParOf" srcId="{1024A243-13C2-4D3E-AD24-F860C34A8821}" destId="{22721C5E-90D4-425D-BDF0-F545628EC12A}" srcOrd="0" destOrd="0" presId="urn:microsoft.com/office/officeart/2005/8/layout/default"/>
    <dgm:cxn modelId="{9163153A-9D46-45B5-AD4E-EE6156BCCFCC}" type="presParOf" srcId="{1024A243-13C2-4D3E-AD24-F860C34A8821}" destId="{E3639BE1-6B70-4FD0-8DC5-D69EC4C576FF}" srcOrd="1" destOrd="0" presId="urn:microsoft.com/office/officeart/2005/8/layout/default"/>
    <dgm:cxn modelId="{BB8063FF-AF0D-42A7-BBF2-C082926C8EE2}" type="presParOf" srcId="{1024A243-13C2-4D3E-AD24-F860C34A8821}" destId="{71D0206A-E099-4BA8-9257-620F2804466C}" srcOrd="2" destOrd="0" presId="urn:microsoft.com/office/officeart/2005/8/layout/default"/>
    <dgm:cxn modelId="{EAF44598-36D5-47E0-ADF0-BEB180604AFD}" type="presParOf" srcId="{1024A243-13C2-4D3E-AD24-F860C34A8821}" destId="{CE3BDC67-5359-4E0A-B147-A8CEF29F98C7}" srcOrd="3" destOrd="0" presId="urn:microsoft.com/office/officeart/2005/8/layout/default"/>
    <dgm:cxn modelId="{0BA9B402-DB01-49B2-BE83-681CDB271589}" type="presParOf" srcId="{1024A243-13C2-4D3E-AD24-F860C34A8821}" destId="{99E71E6C-888A-4D41-A88A-3F630CC4A3E5}" srcOrd="4" destOrd="0" presId="urn:microsoft.com/office/officeart/2005/8/layout/default"/>
    <dgm:cxn modelId="{745816BA-53FD-458E-A966-DA58F6456719}" type="presParOf" srcId="{1024A243-13C2-4D3E-AD24-F860C34A8821}" destId="{D427B829-EF1C-4A87-B8BB-06FC9F2AAC71}" srcOrd="5" destOrd="0" presId="urn:microsoft.com/office/officeart/2005/8/layout/default"/>
    <dgm:cxn modelId="{FBB2C310-DDEE-45B6-98B7-E26489B29928}" type="presParOf" srcId="{1024A243-13C2-4D3E-AD24-F860C34A8821}" destId="{F1DE154D-0123-4A2E-917D-9385C8759E16}" srcOrd="6" destOrd="0" presId="urn:microsoft.com/office/officeart/2005/8/layout/default"/>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F8219B28-D225-4678-9009-97FD7E6C3683}" type="doc">
      <dgm:prSet loTypeId="urn:microsoft.com/office/officeart/2005/8/layout/default" loCatId="list" qsTypeId="urn:microsoft.com/office/officeart/2005/8/quickstyle/simple1" qsCatId="simple" csTypeId="urn:microsoft.com/office/officeart/2005/8/colors/accent5_2" csCatId="accent5" phldr="1"/>
      <dgm:spPr/>
      <dgm:t>
        <a:bodyPr/>
        <a:lstStyle/>
        <a:p>
          <a:endParaRPr lang="en-GB"/>
        </a:p>
      </dgm:t>
    </dgm:pt>
    <dgm:pt modelId="{74291ACA-4AAA-467E-8C91-E2F417BD3F7F}">
      <dgm:prSet phldrT="[Text]"/>
      <dgm:spPr>
        <a:xfrm>
          <a:off x="485773" y="2381"/>
          <a:ext cx="4514853" cy="1298733"/>
        </a:xfrm>
        <a:prstGeom prst="rect">
          <a:avLst/>
        </a:prstGeom>
      </dgm:spPr>
      <dgm:t>
        <a:bodyPr/>
        <a:lstStyle/>
        <a:p>
          <a:pPr algn="l">
            <a:buNone/>
          </a:pPr>
          <a:r>
            <a:rPr lang="en-GB">
              <a:solidFill>
                <a:schemeClr val="bg1"/>
              </a:solidFill>
              <a:latin typeface="Calibri"/>
              <a:ea typeface="+mn-ea"/>
              <a:cs typeface="+mn-cs"/>
            </a:rPr>
            <a:t>22% of pupils were persistently absent</a:t>
          </a:r>
        </a:p>
        <a:p>
          <a:pPr algn="l">
            <a:buNone/>
          </a:pPr>
          <a:endParaRPr lang="en-GB">
            <a:solidFill>
              <a:schemeClr val="bg1"/>
            </a:solidFill>
            <a:latin typeface="Calibri"/>
            <a:ea typeface="+mn-ea"/>
            <a:cs typeface="+mn-cs"/>
          </a:endParaRPr>
        </a:p>
        <a:p>
          <a:pPr algn="l">
            <a:buNone/>
          </a:pPr>
          <a:r>
            <a:rPr lang="en-GB">
              <a:solidFill>
                <a:schemeClr val="bg1"/>
              </a:solidFill>
              <a:latin typeface="Calibri"/>
              <a:ea typeface="+mn-ea"/>
              <a:cs typeface="+mn-cs"/>
            </a:rPr>
            <a:t>20% England</a:t>
          </a:r>
        </a:p>
      </dgm:t>
    </dgm:pt>
    <dgm:pt modelId="{07E77492-71C4-447F-AFB1-1DC2E7FA2BFB}" type="parTrans" cxnId="{35AEBD7B-E2BB-40E6-A7B0-6C1169D28955}">
      <dgm:prSet/>
      <dgm:spPr/>
      <dgm:t>
        <a:bodyPr/>
        <a:lstStyle/>
        <a:p>
          <a:endParaRPr lang="en-GB"/>
        </a:p>
      </dgm:t>
    </dgm:pt>
    <dgm:pt modelId="{6F401DA3-3D19-422B-BC39-A0C7FF6D932F}" type="sibTrans" cxnId="{35AEBD7B-E2BB-40E6-A7B0-6C1169D28955}">
      <dgm:prSet/>
      <dgm:spPr/>
      <dgm:t>
        <a:bodyPr/>
        <a:lstStyle/>
        <a:p>
          <a:endParaRPr lang="en-GB"/>
        </a:p>
      </dgm:t>
    </dgm:pt>
    <dgm:pt modelId="{66BB767C-C5C3-40BC-A599-568249107321}">
      <dgm:prSet phldrT="[Text]"/>
      <dgm:spPr>
        <a:xfrm>
          <a:off x="2851427" y="1517570"/>
          <a:ext cx="2164556" cy="1298733"/>
        </a:xfrm>
        <a:prstGeom prst="rect">
          <a:avLst/>
        </a:prstGeom>
      </dgm:spPr>
      <dgm:t>
        <a:bodyPr/>
        <a:lstStyle/>
        <a:p>
          <a:pPr algn="l">
            <a:buNone/>
          </a:pPr>
          <a:r>
            <a:rPr lang="en-GB">
              <a:latin typeface="Calibri"/>
              <a:ea typeface="+mn-ea"/>
              <a:cs typeface="+mn-cs"/>
            </a:rPr>
            <a:t>34% of pupils with SEN support</a:t>
          </a:r>
        </a:p>
        <a:p>
          <a:pPr algn="l">
            <a:buNone/>
          </a:pPr>
          <a:endParaRPr lang="en-GB">
            <a:latin typeface="Calibri"/>
            <a:ea typeface="+mn-ea"/>
            <a:cs typeface="+mn-cs"/>
          </a:endParaRPr>
        </a:p>
        <a:p>
          <a:pPr algn="l">
            <a:buNone/>
          </a:pPr>
          <a:r>
            <a:rPr lang="en-GB">
              <a:latin typeface="Calibri"/>
              <a:ea typeface="+mn-ea"/>
              <a:cs typeface="+mn-cs"/>
            </a:rPr>
            <a:t>30% England</a:t>
          </a:r>
        </a:p>
      </dgm:t>
      <dgm:extLst>
        <a:ext uri="{E40237B7-FDA0-4F09-8148-C483321AD2D9}">
          <dgm14:cNvPr xmlns:dgm14="http://schemas.microsoft.com/office/drawing/2010/diagram" id="0" name="" descr="Image showing the rate of persistent absence (%) in pupils by SEN status, in Brighton &amp; Hove and England, 2023/24. &#10;In Brighton &amp; Hove, 22% of pupils were persistently absent in 2023/24 (that is they missed 10% or more sessions), higher than England (20%). This is lower for pupils with no SEN (18% in Brighton &amp; Hove, 17% in England)."/>
        </a:ext>
      </dgm:extLst>
    </dgm:pt>
    <dgm:pt modelId="{3DA9106D-C62D-415F-A736-299F6E91FF8E}" type="parTrans" cxnId="{556CE7F4-8970-4988-8E69-CC1AF8538409}">
      <dgm:prSet/>
      <dgm:spPr/>
      <dgm:t>
        <a:bodyPr/>
        <a:lstStyle/>
        <a:p>
          <a:endParaRPr lang="en-GB"/>
        </a:p>
      </dgm:t>
    </dgm:pt>
    <dgm:pt modelId="{E9A240ED-71B3-4EC5-A6B3-F8FF4C7959B7}" type="sibTrans" cxnId="{556CE7F4-8970-4988-8E69-CC1AF8538409}">
      <dgm:prSet/>
      <dgm:spPr/>
      <dgm:t>
        <a:bodyPr/>
        <a:lstStyle/>
        <a:p>
          <a:endParaRPr lang="en-GB"/>
        </a:p>
      </dgm:t>
    </dgm:pt>
    <dgm:pt modelId="{ABA5B714-1507-43BE-AFF9-59BA3A577C28}">
      <dgm:prSet phldrT="[Text]"/>
      <dgm:spPr>
        <a:xfrm>
          <a:off x="470415" y="3032760"/>
          <a:ext cx="2164556" cy="1298733"/>
        </a:xfrm>
        <a:prstGeom prst="rect">
          <a:avLst/>
        </a:prstGeom>
      </dgm:spPr>
      <dgm:t>
        <a:bodyPr/>
        <a:lstStyle/>
        <a:p>
          <a:pPr algn="l">
            <a:buNone/>
          </a:pPr>
          <a:r>
            <a:rPr lang="en-GB">
              <a:solidFill>
                <a:schemeClr val="bg1"/>
              </a:solidFill>
              <a:latin typeface="Calibri"/>
              <a:ea typeface="+mn-ea"/>
              <a:cs typeface="+mn-cs"/>
            </a:rPr>
            <a:t>43% with an EHC plan</a:t>
          </a:r>
        </a:p>
        <a:p>
          <a:pPr algn="l">
            <a:buNone/>
          </a:pPr>
          <a:endParaRPr lang="en-GB">
            <a:solidFill>
              <a:schemeClr val="bg1"/>
            </a:solidFill>
            <a:latin typeface="Calibri"/>
            <a:ea typeface="+mn-ea"/>
            <a:cs typeface="+mn-cs"/>
          </a:endParaRPr>
        </a:p>
        <a:p>
          <a:pPr algn="l">
            <a:buNone/>
          </a:pPr>
          <a:r>
            <a:rPr lang="en-GB">
              <a:solidFill>
                <a:schemeClr val="bg1"/>
              </a:solidFill>
              <a:latin typeface="Calibri"/>
              <a:ea typeface="+mn-ea"/>
              <a:cs typeface="+mn-cs"/>
            </a:rPr>
            <a:t>36% England</a:t>
          </a:r>
        </a:p>
      </dgm:t>
    </dgm:pt>
    <dgm:pt modelId="{21C71315-3522-4D29-9A90-D176E2DD0C7B}" type="parTrans" cxnId="{1E43346A-515A-45F4-8874-1933331D6A00}">
      <dgm:prSet/>
      <dgm:spPr/>
      <dgm:t>
        <a:bodyPr/>
        <a:lstStyle/>
        <a:p>
          <a:endParaRPr lang="en-GB"/>
        </a:p>
      </dgm:t>
    </dgm:pt>
    <dgm:pt modelId="{7801B553-E2B8-4C5B-A87B-690CD5C3E4EB}" type="sibTrans" cxnId="{1E43346A-515A-45F4-8874-1933331D6A00}">
      <dgm:prSet/>
      <dgm:spPr/>
      <dgm:t>
        <a:bodyPr/>
        <a:lstStyle/>
        <a:p>
          <a:endParaRPr lang="en-GB"/>
        </a:p>
      </dgm:t>
    </dgm:pt>
    <dgm:pt modelId="{96A33BE0-93E6-4B2D-BED8-5A322AA88FE4}">
      <dgm:prSet phldrT="[Text]"/>
      <dgm:spPr>
        <a:xfrm>
          <a:off x="2851427" y="3032760"/>
          <a:ext cx="2164556" cy="1298733"/>
        </a:xfrm>
        <a:prstGeom prst="rect">
          <a:avLst/>
        </a:prstGeom>
      </dgm:spPr>
      <dgm:t>
        <a:bodyPr/>
        <a:lstStyle/>
        <a:p>
          <a:pPr algn="l">
            <a:buNone/>
          </a:pPr>
          <a:r>
            <a:rPr lang="en-GB">
              <a:solidFill>
                <a:schemeClr val="bg1"/>
              </a:solidFill>
              <a:latin typeface="Calibri"/>
              <a:ea typeface="+mn-ea"/>
              <a:cs typeface="+mn-cs"/>
            </a:rPr>
            <a:t>18% with no SEN</a:t>
          </a:r>
        </a:p>
        <a:p>
          <a:pPr algn="l">
            <a:buNone/>
          </a:pPr>
          <a:endParaRPr lang="en-GB">
            <a:solidFill>
              <a:schemeClr val="bg1"/>
            </a:solidFill>
            <a:latin typeface="Calibri"/>
            <a:ea typeface="+mn-ea"/>
            <a:cs typeface="+mn-cs"/>
          </a:endParaRPr>
        </a:p>
        <a:p>
          <a:pPr algn="l">
            <a:buNone/>
          </a:pPr>
          <a:r>
            <a:rPr lang="en-GB">
              <a:solidFill>
                <a:schemeClr val="bg1"/>
              </a:solidFill>
              <a:latin typeface="Calibri"/>
              <a:ea typeface="+mn-ea"/>
              <a:cs typeface="+mn-cs"/>
            </a:rPr>
            <a:t>17% England</a:t>
          </a:r>
        </a:p>
      </dgm:t>
    </dgm:pt>
    <dgm:pt modelId="{89172B6E-B0AA-41D0-B4D8-EA2FBB5347B1}" type="parTrans" cxnId="{3B7F5B26-5165-47FF-8D7F-D1AF122C0483}">
      <dgm:prSet/>
      <dgm:spPr/>
      <dgm:t>
        <a:bodyPr/>
        <a:lstStyle/>
        <a:p>
          <a:endParaRPr lang="en-GB"/>
        </a:p>
      </dgm:t>
    </dgm:pt>
    <dgm:pt modelId="{F9FC8507-9EA7-42F9-9739-B33C5C44D9F9}" type="sibTrans" cxnId="{3B7F5B26-5165-47FF-8D7F-D1AF122C0483}">
      <dgm:prSet/>
      <dgm:spPr/>
      <dgm:t>
        <a:bodyPr/>
        <a:lstStyle/>
        <a:p>
          <a:endParaRPr lang="en-GB"/>
        </a:p>
      </dgm:t>
    </dgm:pt>
    <dgm:pt modelId="{1024A243-13C2-4D3E-AD24-F860C34A8821}" type="pres">
      <dgm:prSet presAssocID="{F8219B28-D225-4678-9009-97FD7E6C3683}" presName="diagram" presStyleCnt="0">
        <dgm:presLayoutVars>
          <dgm:dir/>
          <dgm:resizeHandles val="exact"/>
        </dgm:presLayoutVars>
      </dgm:prSet>
      <dgm:spPr/>
    </dgm:pt>
    <dgm:pt modelId="{22721C5E-90D4-425D-BDF0-F545628EC12A}" type="pres">
      <dgm:prSet presAssocID="{74291ACA-4AAA-467E-8C91-E2F417BD3F7F}" presName="node" presStyleLbl="node1" presStyleIdx="0" presStyleCnt="4" custScaleX="97587">
        <dgm:presLayoutVars>
          <dgm:bulletEnabled val="1"/>
        </dgm:presLayoutVars>
      </dgm:prSet>
      <dgm:spPr/>
    </dgm:pt>
    <dgm:pt modelId="{E3639BE1-6B70-4FD0-8DC5-D69EC4C576FF}" type="pres">
      <dgm:prSet presAssocID="{6F401DA3-3D19-422B-BC39-A0C7FF6D932F}" presName="sibTrans" presStyleCnt="0"/>
      <dgm:spPr/>
    </dgm:pt>
    <dgm:pt modelId="{71D0206A-E099-4BA8-9257-620F2804466C}" type="pres">
      <dgm:prSet presAssocID="{66BB767C-C5C3-40BC-A599-568249107321}" presName="node" presStyleLbl="node1" presStyleIdx="1" presStyleCnt="4">
        <dgm:presLayoutVars>
          <dgm:bulletEnabled val="1"/>
        </dgm:presLayoutVars>
      </dgm:prSet>
      <dgm:spPr/>
    </dgm:pt>
    <dgm:pt modelId="{CE3BDC67-5359-4E0A-B147-A8CEF29F98C7}" type="pres">
      <dgm:prSet presAssocID="{E9A240ED-71B3-4EC5-A6B3-F8FF4C7959B7}" presName="sibTrans" presStyleCnt="0"/>
      <dgm:spPr/>
    </dgm:pt>
    <dgm:pt modelId="{99E71E6C-888A-4D41-A88A-3F630CC4A3E5}" type="pres">
      <dgm:prSet presAssocID="{ABA5B714-1507-43BE-AFF9-59BA3A577C28}" presName="node" presStyleLbl="node1" presStyleIdx="2" presStyleCnt="4">
        <dgm:presLayoutVars>
          <dgm:bulletEnabled val="1"/>
        </dgm:presLayoutVars>
      </dgm:prSet>
      <dgm:spPr/>
    </dgm:pt>
    <dgm:pt modelId="{D427B829-EF1C-4A87-B8BB-06FC9F2AAC71}" type="pres">
      <dgm:prSet presAssocID="{7801B553-E2B8-4C5B-A87B-690CD5C3E4EB}" presName="sibTrans" presStyleCnt="0"/>
      <dgm:spPr/>
    </dgm:pt>
    <dgm:pt modelId="{F1DE154D-0123-4A2E-917D-9385C8759E16}" type="pres">
      <dgm:prSet presAssocID="{96A33BE0-93E6-4B2D-BED8-5A322AA88FE4}" presName="node" presStyleLbl="node1" presStyleIdx="3" presStyleCnt="4">
        <dgm:presLayoutVars>
          <dgm:bulletEnabled val="1"/>
        </dgm:presLayoutVars>
      </dgm:prSet>
      <dgm:spPr/>
    </dgm:pt>
  </dgm:ptLst>
  <dgm:cxnLst>
    <dgm:cxn modelId="{3042301B-34C3-4CDB-A4E0-B2AA6A924042}" type="presOf" srcId="{F8219B28-D225-4678-9009-97FD7E6C3683}" destId="{1024A243-13C2-4D3E-AD24-F860C34A8821}" srcOrd="0" destOrd="0" presId="urn:microsoft.com/office/officeart/2005/8/layout/default"/>
    <dgm:cxn modelId="{3B7F5B26-5165-47FF-8D7F-D1AF122C0483}" srcId="{F8219B28-D225-4678-9009-97FD7E6C3683}" destId="{96A33BE0-93E6-4B2D-BED8-5A322AA88FE4}" srcOrd="3" destOrd="0" parTransId="{89172B6E-B0AA-41D0-B4D8-EA2FBB5347B1}" sibTransId="{F9FC8507-9EA7-42F9-9739-B33C5C44D9F9}"/>
    <dgm:cxn modelId="{AC51A65F-9866-4E90-9A49-7E17094AAE2D}" type="presOf" srcId="{66BB767C-C5C3-40BC-A599-568249107321}" destId="{71D0206A-E099-4BA8-9257-620F2804466C}" srcOrd="0" destOrd="0" presId="urn:microsoft.com/office/officeart/2005/8/layout/default"/>
    <dgm:cxn modelId="{1E43346A-515A-45F4-8874-1933331D6A00}" srcId="{F8219B28-D225-4678-9009-97FD7E6C3683}" destId="{ABA5B714-1507-43BE-AFF9-59BA3A577C28}" srcOrd="2" destOrd="0" parTransId="{21C71315-3522-4D29-9A90-D176E2DD0C7B}" sibTransId="{7801B553-E2B8-4C5B-A87B-690CD5C3E4EB}"/>
    <dgm:cxn modelId="{8A7AB677-872E-4D50-82BB-4C87D0895D0A}" type="presOf" srcId="{96A33BE0-93E6-4B2D-BED8-5A322AA88FE4}" destId="{F1DE154D-0123-4A2E-917D-9385C8759E16}" srcOrd="0" destOrd="0" presId="urn:microsoft.com/office/officeart/2005/8/layout/default"/>
    <dgm:cxn modelId="{35AEBD7B-E2BB-40E6-A7B0-6C1169D28955}" srcId="{F8219B28-D225-4678-9009-97FD7E6C3683}" destId="{74291ACA-4AAA-467E-8C91-E2F417BD3F7F}" srcOrd="0" destOrd="0" parTransId="{07E77492-71C4-447F-AFB1-1DC2E7FA2BFB}" sibTransId="{6F401DA3-3D19-422B-BC39-A0C7FF6D932F}"/>
    <dgm:cxn modelId="{2029958F-4759-46ED-96B6-748913D89C0F}" type="presOf" srcId="{74291ACA-4AAA-467E-8C91-E2F417BD3F7F}" destId="{22721C5E-90D4-425D-BDF0-F545628EC12A}" srcOrd="0" destOrd="0" presId="urn:microsoft.com/office/officeart/2005/8/layout/default"/>
    <dgm:cxn modelId="{24B4A4AE-D570-4988-827F-5815D2B2EADE}" type="presOf" srcId="{ABA5B714-1507-43BE-AFF9-59BA3A577C28}" destId="{99E71E6C-888A-4D41-A88A-3F630CC4A3E5}" srcOrd="0" destOrd="0" presId="urn:microsoft.com/office/officeart/2005/8/layout/default"/>
    <dgm:cxn modelId="{556CE7F4-8970-4988-8E69-CC1AF8538409}" srcId="{F8219B28-D225-4678-9009-97FD7E6C3683}" destId="{66BB767C-C5C3-40BC-A599-568249107321}" srcOrd="1" destOrd="0" parTransId="{3DA9106D-C62D-415F-A736-299F6E91FF8E}" sibTransId="{E9A240ED-71B3-4EC5-A6B3-F8FF4C7959B7}"/>
    <dgm:cxn modelId="{1CC6CC97-28EE-4607-BDA6-B742CC98C31E}" type="presParOf" srcId="{1024A243-13C2-4D3E-AD24-F860C34A8821}" destId="{22721C5E-90D4-425D-BDF0-F545628EC12A}" srcOrd="0" destOrd="0" presId="urn:microsoft.com/office/officeart/2005/8/layout/default"/>
    <dgm:cxn modelId="{9163153A-9D46-45B5-AD4E-EE6156BCCFCC}" type="presParOf" srcId="{1024A243-13C2-4D3E-AD24-F860C34A8821}" destId="{E3639BE1-6B70-4FD0-8DC5-D69EC4C576FF}" srcOrd="1" destOrd="0" presId="urn:microsoft.com/office/officeart/2005/8/layout/default"/>
    <dgm:cxn modelId="{BB8063FF-AF0D-42A7-BBF2-C082926C8EE2}" type="presParOf" srcId="{1024A243-13C2-4D3E-AD24-F860C34A8821}" destId="{71D0206A-E099-4BA8-9257-620F2804466C}" srcOrd="2" destOrd="0" presId="urn:microsoft.com/office/officeart/2005/8/layout/default"/>
    <dgm:cxn modelId="{EAF44598-36D5-47E0-ADF0-BEB180604AFD}" type="presParOf" srcId="{1024A243-13C2-4D3E-AD24-F860C34A8821}" destId="{CE3BDC67-5359-4E0A-B147-A8CEF29F98C7}" srcOrd="3" destOrd="0" presId="urn:microsoft.com/office/officeart/2005/8/layout/default"/>
    <dgm:cxn modelId="{0BA9B402-DB01-49B2-BE83-681CDB271589}" type="presParOf" srcId="{1024A243-13C2-4D3E-AD24-F860C34A8821}" destId="{99E71E6C-888A-4D41-A88A-3F630CC4A3E5}" srcOrd="4" destOrd="0" presId="urn:microsoft.com/office/officeart/2005/8/layout/default"/>
    <dgm:cxn modelId="{745816BA-53FD-458E-A966-DA58F6456719}" type="presParOf" srcId="{1024A243-13C2-4D3E-AD24-F860C34A8821}" destId="{D427B829-EF1C-4A87-B8BB-06FC9F2AAC71}" srcOrd="5" destOrd="0" presId="urn:microsoft.com/office/officeart/2005/8/layout/default"/>
    <dgm:cxn modelId="{FBB2C310-DDEE-45B6-98B7-E26489B29928}" type="presParOf" srcId="{1024A243-13C2-4D3E-AD24-F860C34A8821}" destId="{F1DE154D-0123-4A2E-917D-9385C8759E16}" srcOrd="6" destOrd="0" presId="urn:microsoft.com/office/officeart/2005/8/layout/default"/>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F8219B28-D225-4678-9009-97FD7E6C3683}" type="doc">
      <dgm:prSet loTypeId="urn:microsoft.com/office/officeart/2005/8/layout/default" loCatId="list" qsTypeId="urn:microsoft.com/office/officeart/2005/8/quickstyle/simple1" qsCatId="simple" csTypeId="urn:microsoft.com/office/officeart/2005/8/colors/accent5_2" csCatId="accent5" phldr="1"/>
      <dgm:spPr/>
      <dgm:t>
        <a:bodyPr/>
        <a:lstStyle/>
        <a:p>
          <a:endParaRPr lang="en-GB"/>
        </a:p>
      </dgm:t>
    </dgm:pt>
    <dgm:pt modelId="{74291ACA-4AAA-467E-8C91-E2F417BD3F7F}">
      <dgm:prSet phldrT="[Text]"/>
      <dgm:spPr>
        <a:xfrm>
          <a:off x="485773" y="2381"/>
          <a:ext cx="4514853" cy="1298733"/>
        </a:xfrm>
        <a:prstGeom prst="rect">
          <a:avLst/>
        </a:prstGeom>
      </dgm:spPr>
      <dgm:t>
        <a:bodyPr/>
        <a:lstStyle/>
        <a:p>
          <a:pPr algn="l">
            <a:buNone/>
          </a:pPr>
          <a:r>
            <a:rPr lang="en-GB">
              <a:latin typeface="Calibri"/>
              <a:ea typeface="+mn-ea"/>
              <a:cs typeface="+mn-cs"/>
            </a:rPr>
            <a:t>2.3% of pupils were suspended</a:t>
          </a:r>
        </a:p>
        <a:p>
          <a:pPr algn="l">
            <a:buNone/>
          </a:pPr>
          <a:endParaRPr lang="en-GB">
            <a:latin typeface="Calibri"/>
            <a:ea typeface="+mn-ea"/>
            <a:cs typeface="+mn-cs"/>
          </a:endParaRPr>
        </a:p>
        <a:p>
          <a:pPr algn="l">
            <a:buNone/>
          </a:pPr>
          <a:r>
            <a:rPr lang="en-GB">
              <a:latin typeface="Calibri"/>
              <a:ea typeface="+mn-ea"/>
              <a:cs typeface="+mn-cs"/>
            </a:rPr>
            <a:t>4.1% England</a:t>
          </a:r>
        </a:p>
      </dgm:t>
    </dgm:pt>
    <dgm:pt modelId="{07E77492-71C4-447F-AFB1-1DC2E7FA2BFB}" type="parTrans" cxnId="{35AEBD7B-E2BB-40E6-A7B0-6C1169D28955}">
      <dgm:prSet/>
      <dgm:spPr/>
      <dgm:t>
        <a:bodyPr/>
        <a:lstStyle/>
        <a:p>
          <a:endParaRPr lang="en-GB"/>
        </a:p>
      </dgm:t>
    </dgm:pt>
    <dgm:pt modelId="{6F401DA3-3D19-422B-BC39-A0C7FF6D932F}" type="sibTrans" cxnId="{35AEBD7B-E2BB-40E6-A7B0-6C1169D28955}">
      <dgm:prSet/>
      <dgm:spPr/>
      <dgm:t>
        <a:bodyPr/>
        <a:lstStyle/>
        <a:p>
          <a:endParaRPr lang="en-GB"/>
        </a:p>
      </dgm:t>
    </dgm:pt>
    <dgm:pt modelId="{66BB767C-C5C3-40BC-A599-568249107321}">
      <dgm:prSet phldrT="[Text]"/>
      <dgm:spPr>
        <a:xfrm>
          <a:off x="2851427" y="1517570"/>
          <a:ext cx="2164556" cy="1298733"/>
        </a:xfrm>
        <a:prstGeom prst="rect">
          <a:avLst/>
        </a:prstGeom>
      </dgm:spPr>
      <dgm:t>
        <a:bodyPr/>
        <a:lstStyle/>
        <a:p>
          <a:pPr algn="l">
            <a:buNone/>
          </a:pPr>
          <a:r>
            <a:rPr lang="en-GB">
              <a:latin typeface="Calibri"/>
              <a:ea typeface="+mn-ea"/>
              <a:cs typeface="+mn-cs"/>
            </a:rPr>
            <a:t>6% of pupils with SEN support</a:t>
          </a:r>
        </a:p>
        <a:p>
          <a:pPr algn="l">
            <a:buNone/>
          </a:pPr>
          <a:endParaRPr lang="en-GB">
            <a:latin typeface="Calibri"/>
            <a:ea typeface="+mn-ea"/>
            <a:cs typeface="+mn-cs"/>
          </a:endParaRPr>
        </a:p>
        <a:p>
          <a:pPr algn="l">
            <a:buNone/>
          </a:pPr>
          <a:r>
            <a:rPr lang="en-GB">
              <a:latin typeface="Calibri"/>
              <a:ea typeface="+mn-ea"/>
              <a:cs typeface="+mn-cs"/>
            </a:rPr>
            <a:t>11% England</a:t>
          </a:r>
        </a:p>
      </dgm:t>
    </dgm:pt>
    <dgm:pt modelId="{3DA9106D-C62D-415F-A736-299F6E91FF8E}" type="parTrans" cxnId="{556CE7F4-8970-4988-8E69-CC1AF8538409}">
      <dgm:prSet/>
      <dgm:spPr/>
      <dgm:t>
        <a:bodyPr/>
        <a:lstStyle/>
        <a:p>
          <a:endParaRPr lang="en-GB"/>
        </a:p>
      </dgm:t>
    </dgm:pt>
    <dgm:pt modelId="{E9A240ED-71B3-4EC5-A6B3-F8FF4C7959B7}" type="sibTrans" cxnId="{556CE7F4-8970-4988-8E69-CC1AF8538409}">
      <dgm:prSet/>
      <dgm:spPr/>
      <dgm:t>
        <a:bodyPr/>
        <a:lstStyle/>
        <a:p>
          <a:endParaRPr lang="en-GB"/>
        </a:p>
      </dgm:t>
    </dgm:pt>
    <dgm:pt modelId="{ABA5B714-1507-43BE-AFF9-59BA3A577C28}">
      <dgm:prSet phldrT="[Text]"/>
      <dgm:spPr>
        <a:xfrm>
          <a:off x="470415" y="3032760"/>
          <a:ext cx="2164556" cy="1298733"/>
        </a:xfrm>
        <a:prstGeom prst="rect">
          <a:avLst/>
        </a:prstGeom>
      </dgm:spPr>
      <dgm:t>
        <a:bodyPr/>
        <a:lstStyle/>
        <a:p>
          <a:pPr algn="l">
            <a:buNone/>
          </a:pPr>
          <a:r>
            <a:rPr lang="en-GB">
              <a:latin typeface="Calibri"/>
              <a:ea typeface="+mn-ea"/>
              <a:cs typeface="+mn-cs"/>
            </a:rPr>
            <a:t>8% with an EHC plan</a:t>
          </a:r>
        </a:p>
        <a:p>
          <a:pPr algn="l">
            <a:buNone/>
          </a:pPr>
          <a:endParaRPr lang="en-GB">
            <a:latin typeface="Calibri"/>
            <a:ea typeface="+mn-ea"/>
            <a:cs typeface="+mn-cs"/>
          </a:endParaRPr>
        </a:p>
        <a:p>
          <a:pPr algn="l">
            <a:buNone/>
          </a:pPr>
          <a:r>
            <a:rPr lang="en-GB">
              <a:latin typeface="Calibri"/>
              <a:ea typeface="+mn-ea"/>
              <a:cs typeface="+mn-cs"/>
            </a:rPr>
            <a:t>10% England</a:t>
          </a:r>
        </a:p>
      </dgm:t>
    </dgm:pt>
    <dgm:pt modelId="{21C71315-3522-4D29-9A90-D176E2DD0C7B}" type="parTrans" cxnId="{1E43346A-515A-45F4-8874-1933331D6A00}">
      <dgm:prSet/>
      <dgm:spPr/>
      <dgm:t>
        <a:bodyPr/>
        <a:lstStyle/>
        <a:p>
          <a:endParaRPr lang="en-GB"/>
        </a:p>
      </dgm:t>
    </dgm:pt>
    <dgm:pt modelId="{7801B553-E2B8-4C5B-A87B-690CD5C3E4EB}" type="sibTrans" cxnId="{1E43346A-515A-45F4-8874-1933331D6A00}">
      <dgm:prSet/>
      <dgm:spPr/>
      <dgm:t>
        <a:bodyPr/>
        <a:lstStyle/>
        <a:p>
          <a:endParaRPr lang="en-GB"/>
        </a:p>
      </dgm:t>
    </dgm:pt>
    <dgm:pt modelId="{96A33BE0-93E6-4B2D-BED8-5A322AA88FE4}">
      <dgm:prSet phldrT="[Text]"/>
      <dgm:spPr>
        <a:xfrm>
          <a:off x="2851427" y="3032760"/>
          <a:ext cx="2164556" cy="1298733"/>
        </a:xfrm>
        <a:prstGeom prst="rect">
          <a:avLst/>
        </a:prstGeom>
      </dgm:spPr>
      <dgm:t>
        <a:bodyPr/>
        <a:lstStyle/>
        <a:p>
          <a:pPr algn="l">
            <a:buNone/>
          </a:pPr>
          <a:r>
            <a:rPr lang="en-GB">
              <a:latin typeface="Calibri"/>
              <a:ea typeface="+mn-ea"/>
              <a:cs typeface="+mn-cs"/>
            </a:rPr>
            <a:t>1.2% with no SEN</a:t>
          </a:r>
        </a:p>
        <a:p>
          <a:pPr algn="l">
            <a:buNone/>
          </a:pPr>
          <a:endParaRPr lang="en-GB">
            <a:latin typeface="Calibri"/>
            <a:ea typeface="+mn-ea"/>
            <a:cs typeface="+mn-cs"/>
          </a:endParaRPr>
        </a:p>
        <a:p>
          <a:pPr algn="l">
            <a:buNone/>
          </a:pPr>
          <a:r>
            <a:rPr lang="en-GB">
              <a:latin typeface="Calibri"/>
              <a:ea typeface="+mn-ea"/>
              <a:cs typeface="+mn-cs"/>
            </a:rPr>
            <a:t>2.7% England</a:t>
          </a:r>
        </a:p>
      </dgm:t>
    </dgm:pt>
    <dgm:pt modelId="{89172B6E-B0AA-41D0-B4D8-EA2FBB5347B1}" type="parTrans" cxnId="{3B7F5B26-5165-47FF-8D7F-D1AF122C0483}">
      <dgm:prSet/>
      <dgm:spPr/>
      <dgm:t>
        <a:bodyPr/>
        <a:lstStyle/>
        <a:p>
          <a:endParaRPr lang="en-GB"/>
        </a:p>
      </dgm:t>
    </dgm:pt>
    <dgm:pt modelId="{F9FC8507-9EA7-42F9-9739-B33C5C44D9F9}" type="sibTrans" cxnId="{3B7F5B26-5165-47FF-8D7F-D1AF122C0483}">
      <dgm:prSet/>
      <dgm:spPr/>
      <dgm:t>
        <a:bodyPr/>
        <a:lstStyle/>
        <a:p>
          <a:endParaRPr lang="en-GB"/>
        </a:p>
      </dgm:t>
    </dgm:pt>
    <dgm:pt modelId="{1024A243-13C2-4D3E-AD24-F860C34A8821}" type="pres">
      <dgm:prSet presAssocID="{F8219B28-D225-4678-9009-97FD7E6C3683}" presName="diagram" presStyleCnt="0">
        <dgm:presLayoutVars>
          <dgm:dir/>
          <dgm:resizeHandles val="exact"/>
        </dgm:presLayoutVars>
      </dgm:prSet>
      <dgm:spPr/>
    </dgm:pt>
    <dgm:pt modelId="{22721C5E-90D4-425D-BDF0-F545628EC12A}" type="pres">
      <dgm:prSet presAssocID="{74291ACA-4AAA-467E-8C91-E2F417BD3F7F}" presName="node" presStyleLbl="node1" presStyleIdx="0" presStyleCnt="4" custScaleX="97587">
        <dgm:presLayoutVars>
          <dgm:bulletEnabled val="1"/>
        </dgm:presLayoutVars>
      </dgm:prSet>
      <dgm:spPr/>
    </dgm:pt>
    <dgm:pt modelId="{E3639BE1-6B70-4FD0-8DC5-D69EC4C576FF}" type="pres">
      <dgm:prSet presAssocID="{6F401DA3-3D19-422B-BC39-A0C7FF6D932F}" presName="sibTrans" presStyleCnt="0"/>
      <dgm:spPr/>
    </dgm:pt>
    <dgm:pt modelId="{71D0206A-E099-4BA8-9257-620F2804466C}" type="pres">
      <dgm:prSet presAssocID="{66BB767C-C5C3-40BC-A599-568249107321}" presName="node" presStyleLbl="node1" presStyleIdx="1" presStyleCnt="4">
        <dgm:presLayoutVars>
          <dgm:bulletEnabled val="1"/>
        </dgm:presLayoutVars>
      </dgm:prSet>
      <dgm:spPr/>
    </dgm:pt>
    <dgm:pt modelId="{CE3BDC67-5359-4E0A-B147-A8CEF29F98C7}" type="pres">
      <dgm:prSet presAssocID="{E9A240ED-71B3-4EC5-A6B3-F8FF4C7959B7}" presName="sibTrans" presStyleCnt="0"/>
      <dgm:spPr/>
    </dgm:pt>
    <dgm:pt modelId="{99E71E6C-888A-4D41-A88A-3F630CC4A3E5}" type="pres">
      <dgm:prSet presAssocID="{ABA5B714-1507-43BE-AFF9-59BA3A577C28}" presName="node" presStyleLbl="node1" presStyleIdx="2" presStyleCnt="4">
        <dgm:presLayoutVars>
          <dgm:bulletEnabled val="1"/>
        </dgm:presLayoutVars>
      </dgm:prSet>
      <dgm:spPr/>
    </dgm:pt>
    <dgm:pt modelId="{D427B829-EF1C-4A87-B8BB-06FC9F2AAC71}" type="pres">
      <dgm:prSet presAssocID="{7801B553-E2B8-4C5B-A87B-690CD5C3E4EB}" presName="sibTrans" presStyleCnt="0"/>
      <dgm:spPr/>
    </dgm:pt>
    <dgm:pt modelId="{F1DE154D-0123-4A2E-917D-9385C8759E16}" type="pres">
      <dgm:prSet presAssocID="{96A33BE0-93E6-4B2D-BED8-5A322AA88FE4}" presName="node" presStyleLbl="node1" presStyleIdx="3" presStyleCnt="4">
        <dgm:presLayoutVars>
          <dgm:bulletEnabled val="1"/>
        </dgm:presLayoutVars>
      </dgm:prSet>
      <dgm:spPr/>
    </dgm:pt>
  </dgm:ptLst>
  <dgm:cxnLst>
    <dgm:cxn modelId="{3042301B-34C3-4CDB-A4E0-B2AA6A924042}" type="presOf" srcId="{F8219B28-D225-4678-9009-97FD7E6C3683}" destId="{1024A243-13C2-4D3E-AD24-F860C34A8821}" srcOrd="0" destOrd="0" presId="urn:microsoft.com/office/officeart/2005/8/layout/default"/>
    <dgm:cxn modelId="{3B7F5B26-5165-47FF-8D7F-D1AF122C0483}" srcId="{F8219B28-D225-4678-9009-97FD7E6C3683}" destId="{96A33BE0-93E6-4B2D-BED8-5A322AA88FE4}" srcOrd="3" destOrd="0" parTransId="{89172B6E-B0AA-41D0-B4D8-EA2FBB5347B1}" sibTransId="{F9FC8507-9EA7-42F9-9739-B33C5C44D9F9}"/>
    <dgm:cxn modelId="{AC51A65F-9866-4E90-9A49-7E17094AAE2D}" type="presOf" srcId="{66BB767C-C5C3-40BC-A599-568249107321}" destId="{71D0206A-E099-4BA8-9257-620F2804466C}" srcOrd="0" destOrd="0" presId="urn:microsoft.com/office/officeart/2005/8/layout/default"/>
    <dgm:cxn modelId="{1E43346A-515A-45F4-8874-1933331D6A00}" srcId="{F8219B28-D225-4678-9009-97FD7E6C3683}" destId="{ABA5B714-1507-43BE-AFF9-59BA3A577C28}" srcOrd="2" destOrd="0" parTransId="{21C71315-3522-4D29-9A90-D176E2DD0C7B}" sibTransId="{7801B553-E2B8-4C5B-A87B-690CD5C3E4EB}"/>
    <dgm:cxn modelId="{8A7AB677-872E-4D50-82BB-4C87D0895D0A}" type="presOf" srcId="{96A33BE0-93E6-4B2D-BED8-5A322AA88FE4}" destId="{F1DE154D-0123-4A2E-917D-9385C8759E16}" srcOrd="0" destOrd="0" presId="urn:microsoft.com/office/officeart/2005/8/layout/default"/>
    <dgm:cxn modelId="{35AEBD7B-E2BB-40E6-A7B0-6C1169D28955}" srcId="{F8219B28-D225-4678-9009-97FD7E6C3683}" destId="{74291ACA-4AAA-467E-8C91-E2F417BD3F7F}" srcOrd="0" destOrd="0" parTransId="{07E77492-71C4-447F-AFB1-1DC2E7FA2BFB}" sibTransId="{6F401DA3-3D19-422B-BC39-A0C7FF6D932F}"/>
    <dgm:cxn modelId="{2029958F-4759-46ED-96B6-748913D89C0F}" type="presOf" srcId="{74291ACA-4AAA-467E-8C91-E2F417BD3F7F}" destId="{22721C5E-90D4-425D-BDF0-F545628EC12A}" srcOrd="0" destOrd="0" presId="urn:microsoft.com/office/officeart/2005/8/layout/default"/>
    <dgm:cxn modelId="{24B4A4AE-D570-4988-827F-5815D2B2EADE}" type="presOf" srcId="{ABA5B714-1507-43BE-AFF9-59BA3A577C28}" destId="{99E71E6C-888A-4D41-A88A-3F630CC4A3E5}" srcOrd="0" destOrd="0" presId="urn:microsoft.com/office/officeart/2005/8/layout/default"/>
    <dgm:cxn modelId="{556CE7F4-8970-4988-8E69-CC1AF8538409}" srcId="{F8219B28-D225-4678-9009-97FD7E6C3683}" destId="{66BB767C-C5C3-40BC-A599-568249107321}" srcOrd="1" destOrd="0" parTransId="{3DA9106D-C62D-415F-A736-299F6E91FF8E}" sibTransId="{E9A240ED-71B3-4EC5-A6B3-F8FF4C7959B7}"/>
    <dgm:cxn modelId="{1CC6CC97-28EE-4607-BDA6-B742CC98C31E}" type="presParOf" srcId="{1024A243-13C2-4D3E-AD24-F860C34A8821}" destId="{22721C5E-90D4-425D-BDF0-F545628EC12A}" srcOrd="0" destOrd="0" presId="urn:microsoft.com/office/officeart/2005/8/layout/default"/>
    <dgm:cxn modelId="{9163153A-9D46-45B5-AD4E-EE6156BCCFCC}" type="presParOf" srcId="{1024A243-13C2-4D3E-AD24-F860C34A8821}" destId="{E3639BE1-6B70-4FD0-8DC5-D69EC4C576FF}" srcOrd="1" destOrd="0" presId="urn:microsoft.com/office/officeart/2005/8/layout/default"/>
    <dgm:cxn modelId="{BB8063FF-AF0D-42A7-BBF2-C082926C8EE2}" type="presParOf" srcId="{1024A243-13C2-4D3E-AD24-F860C34A8821}" destId="{71D0206A-E099-4BA8-9257-620F2804466C}" srcOrd="2" destOrd="0" presId="urn:microsoft.com/office/officeart/2005/8/layout/default"/>
    <dgm:cxn modelId="{EAF44598-36D5-47E0-ADF0-BEB180604AFD}" type="presParOf" srcId="{1024A243-13C2-4D3E-AD24-F860C34A8821}" destId="{CE3BDC67-5359-4E0A-B147-A8CEF29F98C7}" srcOrd="3" destOrd="0" presId="urn:microsoft.com/office/officeart/2005/8/layout/default"/>
    <dgm:cxn modelId="{0BA9B402-DB01-49B2-BE83-681CDB271589}" type="presParOf" srcId="{1024A243-13C2-4D3E-AD24-F860C34A8821}" destId="{99E71E6C-888A-4D41-A88A-3F630CC4A3E5}" srcOrd="4" destOrd="0" presId="urn:microsoft.com/office/officeart/2005/8/layout/default"/>
    <dgm:cxn modelId="{745816BA-53FD-458E-A966-DA58F6456719}" type="presParOf" srcId="{1024A243-13C2-4D3E-AD24-F860C34A8821}" destId="{D427B829-EF1C-4A87-B8BB-06FC9F2AAC71}" srcOrd="5" destOrd="0" presId="urn:microsoft.com/office/officeart/2005/8/layout/default"/>
    <dgm:cxn modelId="{FBB2C310-DDEE-45B6-98B7-E26489B29928}" type="presParOf" srcId="{1024A243-13C2-4D3E-AD24-F860C34A8821}" destId="{F1DE154D-0123-4A2E-917D-9385C8759E16}" srcOrd="6" destOrd="0" presId="urn:microsoft.com/office/officeart/2005/8/layout/default"/>
  </dgm:cxnLst>
  <dgm:bg/>
  <dgm:whole/>
  <dgm:extLst>
    <a:ext uri="http://schemas.microsoft.com/office/drawing/2008/diagram">
      <dsp:dataModelExt xmlns:dsp="http://schemas.microsoft.com/office/drawing/2008/diagram" relId="rId107"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F8219B28-D225-4678-9009-97FD7E6C3683}" type="doc">
      <dgm:prSet loTypeId="urn:microsoft.com/office/officeart/2005/8/layout/default" loCatId="list" qsTypeId="urn:microsoft.com/office/officeart/2005/8/quickstyle/simple1" qsCatId="simple" csTypeId="urn:microsoft.com/office/officeart/2005/8/colors/accent5_2" csCatId="accent5" phldr="1"/>
      <dgm:spPr/>
      <dgm:t>
        <a:bodyPr/>
        <a:lstStyle/>
        <a:p>
          <a:endParaRPr lang="en-GB"/>
        </a:p>
      </dgm:t>
    </dgm:pt>
    <dgm:pt modelId="{74291ACA-4AAA-467E-8C91-E2F417BD3F7F}">
      <dgm:prSet phldrT="[Text]"/>
      <dgm:spPr>
        <a:xfrm>
          <a:off x="485773" y="2381"/>
          <a:ext cx="4514853" cy="1298733"/>
        </a:xfrm>
        <a:prstGeom prst="rect">
          <a:avLst/>
        </a:prstGeom>
      </dgm:spPr>
      <dgm:t>
        <a:bodyPr/>
        <a:lstStyle/>
        <a:p>
          <a:pPr algn="l">
            <a:buNone/>
          </a:pPr>
          <a:r>
            <a:rPr lang="en-GB">
              <a:latin typeface="Calibri"/>
              <a:ea typeface="+mn-ea"/>
              <a:cs typeface="+mn-cs"/>
            </a:rPr>
            <a:t>4.1% of 16-17 year olds Not in Education, Employment or training</a:t>
          </a:r>
        </a:p>
        <a:p>
          <a:pPr algn="l">
            <a:buNone/>
          </a:pPr>
          <a:r>
            <a:rPr lang="en-GB">
              <a:latin typeface="Calibri"/>
              <a:ea typeface="+mn-ea"/>
              <a:cs typeface="+mn-cs"/>
            </a:rPr>
            <a:t>England 3.2%</a:t>
          </a:r>
        </a:p>
      </dgm:t>
    </dgm:pt>
    <dgm:pt modelId="{07E77492-71C4-447F-AFB1-1DC2E7FA2BFB}" type="parTrans" cxnId="{35AEBD7B-E2BB-40E6-A7B0-6C1169D28955}">
      <dgm:prSet/>
      <dgm:spPr/>
      <dgm:t>
        <a:bodyPr/>
        <a:lstStyle/>
        <a:p>
          <a:endParaRPr lang="en-GB"/>
        </a:p>
      </dgm:t>
    </dgm:pt>
    <dgm:pt modelId="{6F401DA3-3D19-422B-BC39-A0C7FF6D932F}" type="sibTrans" cxnId="{35AEBD7B-E2BB-40E6-A7B0-6C1169D28955}">
      <dgm:prSet/>
      <dgm:spPr/>
      <dgm:t>
        <a:bodyPr/>
        <a:lstStyle/>
        <a:p>
          <a:endParaRPr lang="en-GB"/>
        </a:p>
      </dgm:t>
    </dgm:pt>
    <dgm:pt modelId="{66BB767C-C5C3-40BC-A599-568249107321}">
      <dgm:prSet phldrT="[Text]"/>
      <dgm:spPr>
        <a:xfrm>
          <a:off x="2851427" y="1517570"/>
          <a:ext cx="2164556" cy="1298733"/>
        </a:xfrm>
        <a:prstGeom prst="rect">
          <a:avLst/>
        </a:prstGeom>
      </dgm:spPr>
      <dgm:t>
        <a:bodyPr/>
        <a:lstStyle/>
        <a:p>
          <a:pPr algn="l">
            <a:buNone/>
          </a:pPr>
          <a:r>
            <a:rPr lang="en-GB">
              <a:latin typeface="Calibri"/>
              <a:ea typeface="+mn-ea"/>
              <a:cs typeface="+mn-cs"/>
            </a:rPr>
            <a:t>8% of pupils with SEN support</a:t>
          </a:r>
        </a:p>
        <a:p>
          <a:pPr algn="l">
            <a:buNone/>
          </a:pPr>
          <a:endParaRPr lang="en-GB">
            <a:latin typeface="Calibri"/>
            <a:ea typeface="+mn-ea"/>
            <a:cs typeface="+mn-cs"/>
          </a:endParaRPr>
        </a:p>
        <a:p>
          <a:pPr algn="l">
            <a:buNone/>
          </a:pPr>
          <a:r>
            <a:rPr lang="en-GB">
              <a:latin typeface="Calibri"/>
              <a:ea typeface="+mn-ea"/>
              <a:cs typeface="+mn-cs"/>
            </a:rPr>
            <a:t>England 6%</a:t>
          </a:r>
        </a:p>
      </dgm:t>
    </dgm:pt>
    <dgm:pt modelId="{3DA9106D-C62D-415F-A736-299F6E91FF8E}" type="parTrans" cxnId="{556CE7F4-8970-4988-8E69-CC1AF8538409}">
      <dgm:prSet/>
      <dgm:spPr/>
      <dgm:t>
        <a:bodyPr/>
        <a:lstStyle/>
        <a:p>
          <a:endParaRPr lang="en-GB"/>
        </a:p>
      </dgm:t>
    </dgm:pt>
    <dgm:pt modelId="{E9A240ED-71B3-4EC5-A6B3-F8FF4C7959B7}" type="sibTrans" cxnId="{556CE7F4-8970-4988-8E69-CC1AF8538409}">
      <dgm:prSet/>
      <dgm:spPr/>
      <dgm:t>
        <a:bodyPr/>
        <a:lstStyle/>
        <a:p>
          <a:endParaRPr lang="en-GB"/>
        </a:p>
      </dgm:t>
    </dgm:pt>
    <dgm:pt modelId="{ABA5B714-1507-43BE-AFF9-59BA3A577C28}">
      <dgm:prSet phldrT="[Text]"/>
      <dgm:spPr>
        <a:xfrm>
          <a:off x="470415" y="3032760"/>
          <a:ext cx="2164556" cy="1298733"/>
        </a:xfrm>
        <a:prstGeom prst="rect">
          <a:avLst/>
        </a:prstGeom>
      </dgm:spPr>
      <dgm:t>
        <a:bodyPr/>
        <a:lstStyle/>
        <a:p>
          <a:pPr algn="l">
            <a:buNone/>
          </a:pPr>
          <a:r>
            <a:rPr lang="en-GB">
              <a:latin typeface="Calibri"/>
              <a:ea typeface="+mn-ea"/>
              <a:cs typeface="+mn-cs"/>
            </a:rPr>
            <a:t>13% with an EHC plan</a:t>
          </a:r>
        </a:p>
        <a:p>
          <a:pPr algn="l">
            <a:buNone/>
          </a:pPr>
          <a:endParaRPr lang="en-GB">
            <a:latin typeface="Calibri"/>
            <a:ea typeface="+mn-ea"/>
            <a:cs typeface="+mn-cs"/>
          </a:endParaRPr>
        </a:p>
        <a:p>
          <a:pPr algn="l">
            <a:buNone/>
          </a:pPr>
          <a:r>
            <a:rPr lang="en-GB">
              <a:latin typeface="Calibri"/>
              <a:ea typeface="+mn-ea"/>
              <a:cs typeface="+mn-cs"/>
            </a:rPr>
            <a:t>England 9%</a:t>
          </a:r>
        </a:p>
      </dgm:t>
    </dgm:pt>
    <dgm:pt modelId="{21C71315-3522-4D29-9A90-D176E2DD0C7B}" type="parTrans" cxnId="{1E43346A-515A-45F4-8874-1933331D6A00}">
      <dgm:prSet/>
      <dgm:spPr/>
      <dgm:t>
        <a:bodyPr/>
        <a:lstStyle/>
        <a:p>
          <a:endParaRPr lang="en-GB"/>
        </a:p>
      </dgm:t>
    </dgm:pt>
    <dgm:pt modelId="{7801B553-E2B8-4C5B-A87B-690CD5C3E4EB}" type="sibTrans" cxnId="{1E43346A-515A-45F4-8874-1933331D6A00}">
      <dgm:prSet/>
      <dgm:spPr/>
      <dgm:t>
        <a:bodyPr/>
        <a:lstStyle/>
        <a:p>
          <a:endParaRPr lang="en-GB"/>
        </a:p>
      </dgm:t>
    </dgm:pt>
    <dgm:pt modelId="{96A33BE0-93E6-4B2D-BED8-5A322AA88FE4}">
      <dgm:prSet phldrT="[Text]"/>
      <dgm:spPr>
        <a:xfrm>
          <a:off x="2851427" y="3032760"/>
          <a:ext cx="2164556" cy="1298733"/>
        </a:xfrm>
        <a:prstGeom prst="rect">
          <a:avLst/>
        </a:prstGeom>
      </dgm:spPr>
      <dgm:t>
        <a:bodyPr/>
        <a:lstStyle/>
        <a:p>
          <a:pPr algn="l">
            <a:buNone/>
          </a:pPr>
          <a:r>
            <a:rPr lang="en-GB">
              <a:latin typeface="Calibri"/>
              <a:ea typeface="+mn-ea"/>
              <a:cs typeface="+mn-cs"/>
            </a:rPr>
            <a:t>2.8% with no SEN</a:t>
          </a:r>
        </a:p>
        <a:p>
          <a:pPr algn="l">
            <a:buNone/>
          </a:pPr>
          <a:endParaRPr lang="en-GB">
            <a:latin typeface="Calibri"/>
            <a:ea typeface="+mn-ea"/>
            <a:cs typeface="+mn-cs"/>
          </a:endParaRPr>
        </a:p>
        <a:p>
          <a:pPr algn="l">
            <a:buNone/>
          </a:pPr>
          <a:r>
            <a:rPr lang="en-GB">
              <a:latin typeface="Calibri"/>
              <a:ea typeface="+mn-ea"/>
              <a:cs typeface="+mn-cs"/>
            </a:rPr>
            <a:t>England 2.5%</a:t>
          </a:r>
        </a:p>
      </dgm:t>
    </dgm:pt>
    <dgm:pt modelId="{89172B6E-B0AA-41D0-B4D8-EA2FBB5347B1}" type="parTrans" cxnId="{3B7F5B26-5165-47FF-8D7F-D1AF122C0483}">
      <dgm:prSet/>
      <dgm:spPr/>
      <dgm:t>
        <a:bodyPr/>
        <a:lstStyle/>
        <a:p>
          <a:endParaRPr lang="en-GB"/>
        </a:p>
      </dgm:t>
    </dgm:pt>
    <dgm:pt modelId="{F9FC8507-9EA7-42F9-9739-B33C5C44D9F9}" type="sibTrans" cxnId="{3B7F5B26-5165-47FF-8D7F-D1AF122C0483}">
      <dgm:prSet/>
      <dgm:spPr/>
      <dgm:t>
        <a:bodyPr/>
        <a:lstStyle/>
        <a:p>
          <a:endParaRPr lang="en-GB"/>
        </a:p>
      </dgm:t>
    </dgm:pt>
    <dgm:pt modelId="{1024A243-13C2-4D3E-AD24-F860C34A8821}" type="pres">
      <dgm:prSet presAssocID="{F8219B28-D225-4678-9009-97FD7E6C3683}" presName="diagram" presStyleCnt="0">
        <dgm:presLayoutVars>
          <dgm:dir/>
          <dgm:resizeHandles val="exact"/>
        </dgm:presLayoutVars>
      </dgm:prSet>
      <dgm:spPr/>
    </dgm:pt>
    <dgm:pt modelId="{22721C5E-90D4-425D-BDF0-F545628EC12A}" type="pres">
      <dgm:prSet presAssocID="{74291ACA-4AAA-467E-8C91-E2F417BD3F7F}" presName="node" presStyleLbl="node1" presStyleIdx="0" presStyleCnt="4" custScaleX="97587">
        <dgm:presLayoutVars>
          <dgm:bulletEnabled val="1"/>
        </dgm:presLayoutVars>
      </dgm:prSet>
      <dgm:spPr/>
    </dgm:pt>
    <dgm:pt modelId="{E3639BE1-6B70-4FD0-8DC5-D69EC4C576FF}" type="pres">
      <dgm:prSet presAssocID="{6F401DA3-3D19-422B-BC39-A0C7FF6D932F}" presName="sibTrans" presStyleCnt="0"/>
      <dgm:spPr/>
    </dgm:pt>
    <dgm:pt modelId="{71D0206A-E099-4BA8-9257-620F2804466C}" type="pres">
      <dgm:prSet presAssocID="{66BB767C-C5C3-40BC-A599-568249107321}" presName="node" presStyleLbl="node1" presStyleIdx="1" presStyleCnt="4">
        <dgm:presLayoutVars>
          <dgm:bulletEnabled val="1"/>
        </dgm:presLayoutVars>
      </dgm:prSet>
      <dgm:spPr/>
    </dgm:pt>
    <dgm:pt modelId="{CE3BDC67-5359-4E0A-B147-A8CEF29F98C7}" type="pres">
      <dgm:prSet presAssocID="{E9A240ED-71B3-4EC5-A6B3-F8FF4C7959B7}" presName="sibTrans" presStyleCnt="0"/>
      <dgm:spPr/>
    </dgm:pt>
    <dgm:pt modelId="{99E71E6C-888A-4D41-A88A-3F630CC4A3E5}" type="pres">
      <dgm:prSet presAssocID="{ABA5B714-1507-43BE-AFF9-59BA3A577C28}" presName="node" presStyleLbl="node1" presStyleIdx="2" presStyleCnt="4">
        <dgm:presLayoutVars>
          <dgm:bulletEnabled val="1"/>
        </dgm:presLayoutVars>
      </dgm:prSet>
      <dgm:spPr/>
    </dgm:pt>
    <dgm:pt modelId="{D427B829-EF1C-4A87-B8BB-06FC9F2AAC71}" type="pres">
      <dgm:prSet presAssocID="{7801B553-E2B8-4C5B-A87B-690CD5C3E4EB}" presName="sibTrans" presStyleCnt="0"/>
      <dgm:spPr/>
    </dgm:pt>
    <dgm:pt modelId="{F1DE154D-0123-4A2E-917D-9385C8759E16}" type="pres">
      <dgm:prSet presAssocID="{96A33BE0-93E6-4B2D-BED8-5A322AA88FE4}" presName="node" presStyleLbl="node1" presStyleIdx="3" presStyleCnt="4">
        <dgm:presLayoutVars>
          <dgm:bulletEnabled val="1"/>
        </dgm:presLayoutVars>
      </dgm:prSet>
      <dgm:spPr/>
    </dgm:pt>
  </dgm:ptLst>
  <dgm:cxnLst>
    <dgm:cxn modelId="{3042301B-34C3-4CDB-A4E0-B2AA6A924042}" type="presOf" srcId="{F8219B28-D225-4678-9009-97FD7E6C3683}" destId="{1024A243-13C2-4D3E-AD24-F860C34A8821}" srcOrd="0" destOrd="0" presId="urn:microsoft.com/office/officeart/2005/8/layout/default"/>
    <dgm:cxn modelId="{3B7F5B26-5165-47FF-8D7F-D1AF122C0483}" srcId="{F8219B28-D225-4678-9009-97FD7E6C3683}" destId="{96A33BE0-93E6-4B2D-BED8-5A322AA88FE4}" srcOrd="3" destOrd="0" parTransId="{89172B6E-B0AA-41D0-B4D8-EA2FBB5347B1}" sibTransId="{F9FC8507-9EA7-42F9-9739-B33C5C44D9F9}"/>
    <dgm:cxn modelId="{AC51A65F-9866-4E90-9A49-7E17094AAE2D}" type="presOf" srcId="{66BB767C-C5C3-40BC-A599-568249107321}" destId="{71D0206A-E099-4BA8-9257-620F2804466C}" srcOrd="0" destOrd="0" presId="urn:microsoft.com/office/officeart/2005/8/layout/default"/>
    <dgm:cxn modelId="{1E43346A-515A-45F4-8874-1933331D6A00}" srcId="{F8219B28-D225-4678-9009-97FD7E6C3683}" destId="{ABA5B714-1507-43BE-AFF9-59BA3A577C28}" srcOrd="2" destOrd="0" parTransId="{21C71315-3522-4D29-9A90-D176E2DD0C7B}" sibTransId="{7801B553-E2B8-4C5B-A87B-690CD5C3E4EB}"/>
    <dgm:cxn modelId="{8A7AB677-872E-4D50-82BB-4C87D0895D0A}" type="presOf" srcId="{96A33BE0-93E6-4B2D-BED8-5A322AA88FE4}" destId="{F1DE154D-0123-4A2E-917D-9385C8759E16}" srcOrd="0" destOrd="0" presId="urn:microsoft.com/office/officeart/2005/8/layout/default"/>
    <dgm:cxn modelId="{35AEBD7B-E2BB-40E6-A7B0-6C1169D28955}" srcId="{F8219B28-D225-4678-9009-97FD7E6C3683}" destId="{74291ACA-4AAA-467E-8C91-E2F417BD3F7F}" srcOrd="0" destOrd="0" parTransId="{07E77492-71C4-447F-AFB1-1DC2E7FA2BFB}" sibTransId="{6F401DA3-3D19-422B-BC39-A0C7FF6D932F}"/>
    <dgm:cxn modelId="{2029958F-4759-46ED-96B6-748913D89C0F}" type="presOf" srcId="{74291ACA-4AAA-467E-8C91-E2F417BD3F7F}" destId="{22721C5E-90D4-425D-BDF0-F545628EC12A}" srcOrd="0" destOrd="0" presId="urn:microsoft.com/office/officeart/2005/8/layout/default"/>
    <dgm:cxn modelId="{24B4A4AE-D570-4988-827F-5815D2B2EADE}" type="presOf" srcId="{ABA5B714-1507-43BE-AFF9-59BA3A577C28}" destId="{99E71E6C-888A-4D41-A88A-3F630CC4A3E5}" srcOrd="0" destOrd="0" presId="urn:microsoft.com/office/officeart/2005/8/layout/default"/>
    <dgm:cxn modelId="{556CE7F4-8970-4988-8E69-CC1AF8538409}" srcId="{F8219B28-D225-4678-9009-97FD7E6C3683}" destId="{66BB767C-C5C3-40BC-A599-568249107321}" srcOrd="1" destOrd="0" parTransId="{3DA9106D-C62D-415F-A736-299F6E91FF8E}" sibTransId="{E9A240ED-71B3-4EC5-A6B3-F8FF4C7959B7}"/>
    <dgm:cxn modelId="{1CC6CC97-28EE-4607-BDA6-B742CC98C31E}" type="presParOf" srcId="{1024A243-13C2-4D3E-AD24-F860C34A8821}" destId="{22721C5E-90D4-425D-BDF0-F545628EC12A}" srcOrd="0" destOrd="0" presId="urn:microsoft.com/office/officeart/2005/8/layout/default"/>
    <dgm:cxn modelId="{9163153A-9D46-45B5-AD4E-EE6156BCCFCC}" type="presParOf" srcId="{1024A243-13C2-4D3E-AD24-F860C34A8821}" destId="{E3639BE1-6B70-4FD0-8DC5-D69EC4C576FF}" srcOrd="1" destOrd="0" presId="urn:microsoft.com/office/officeart/2005/8/layout/default"/>
    <dgm:cxn modelId="{BB8063FF-AF0D-42A7-BBF2-C082926C8EE2}" type="presParOf" srcId="{1024A243-13C2-4D3E-AD24-F860C34A8821}" destId="{71D0206A-E099-4BA8-9257-620F2804466C}" srcOrd="2" destOrd="0" presId="urn:microsoft.com/office/officeart/2005/8/layout/default"/>
    <dgm:cxn modelId="{EAF44598-36D5-47E0-ADF0-BEB180604AFD}" type="presParOf" srcId="{1024A243-13C2-4D3E-AD24-F860C34A8821}" destId="{CE3BDC67-5359-4E0A-B147-A8CEF29F98C7}" srcOrd="3" destOrd="0" presId="urn:microsoft.com/office/officeart/2005/8/layout/default"/>
    <dgm:cxn modelId="{0BA9B402-DB01-49B2-BE83-681CDB271589}" type="presParOf" srcId="{1024A243-13C2-4D3E-AD24-F860C34A8821}" destId="{99E71E6C-888A-4D41-A88A-3F630CC4A3E5}" srcOrd="4" destOrd="0" presId="urn:microsoft.com/office/officeart/2005/8/layout/default"/>
    <dgm:cxn modelId="{745816BA-53FD-458E-A966-DA58F6456719}" type="presParOf" srcId="{1024A243-13C2-4D3E-AD24-F860C34A8821}" destId="{D427B829-EF1C-4A87-B8BB-06FC9F2AAC71}" srcOrd="5" destOrd="0" presId="urn:microsoft.com/office/officeart/2005/8/layout/default"/>
    <dgm:cxn modelId="{FBB2C310-DDEE-45B6-98B7-E26489B29928}" type="presParOf" srcId="{1024A243-13C2-4D3E-AD24-F860C34A8821}" destId="{F1DE154D-0123-4A2E-917D-9385C8759E16}" srcOrd="6" destOrd="0" presId="urn:microsoft.com/office/officeart/2005/8/layout/default"/>
  </dgm:cxnLst>
  <dgm:bg/>
  <dgm:whole/>
  <dgm:extLst>
    <a:ext uri="http://schemas.microsoft.com/office/drawing/2008/diagram">
      <dsp:dataModelExt xmlns:dsp="http://schemas.microsoft.com/office/drawing/2008/diagram" relId="rId112"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3FE91976-4873-4B2D-9E5A-E98C9A37CA36}"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GB"/>
        </a:p>
      </dgm:t>
    </dgm:pt>
    <dgm:pt modelId="{E73CCB37-F6B9-4241-B16D-375C18F20432}">
      <dgm:prSet phldrT="[Text]" custT="1"/>
      <dgm:spPr>
        <a:solidFill>
          <a:srgbClr val="A65588"/>
        </a:solidFill>
      </dgm:spPr>
      <dgm:t>
        <a:bodyPr/>
        <a:lstStyle/>
        <a:p>
          <a:pPr>
            <a:buFont typeface="Symbol" panose="05050102010706020507" pitchFamily="18" charset="2"/>
            <a:buChar char=""/>
          </a:pPr>
          <a:r>
            <a:rPr lang="en-GB" sz="1300">
              <a:effectLst/>
              <a:latin typeface="Aptos" panose="020B0004020202020204" pitchFamily="34" charset="0"/>
              <a:ea typeface="Aptos" panose="020B0004020202020204" pitchFamily="34" charset="0"/>
              <a:cs typeface="Arial" panose="020B0604020202020204" pitchFamily="34" charset="0"/>
            </a:rPr>
            <a:t>Support</a:t>
          </a:r>
          <a:endParaRPr lang="en-GB" sz="1300"/>
        </a:p>
      </dgm:t>
    </dgm:pt>
    <dgm:pt modelId="{727B43C7-4961-42FB-98F9-2BC48C9BD455}" type="parTrans" cxnId="{3650AA1B-8D75-42BD-B36B-2951934FFF49}">
      <dgm:prSet/>
      <dgm:spPr/>
      <dgm:t>
        <a:bodyPr/>
        <a:lstStyle/>
        <a:p>
          <a:endParaRPr lang="en-GB" sz="1300"/>
        </a:p>
      </dgm:t>
    </dgm:pt>
    <dgm:pt modelId="{D276E2B2-37AD-433F-96CE-71B423886FC3}" type="sibTrans" cxnId="{3650AA1B-8D75-42BD-B36B-2951934FFF49}">
      <dgm:prSet/>
      <dgm:spPr/>
      <dgm:t>
        <a:bodyPr/>
        <a:lstStyle/>
        <a:p>
          <a:endParaRPr lang="en-GB" sz="1300"/>
        </a:p>
      </dgm:t>
    </dgm:pt>
    <dgm:pt modelId="{4ED50281-92C7-4DC9-A69E-6A0A5B3C6A98}">
      <dgm:prSet phldrT="[Text]" custT="1"/>
      <dgm:spPr>
        <a:solidFill>
          <a:srgbClr val="A65588"/>
        </a:solidFill>
      </dgm:spPr>
      <dgm:t>
        <a:bodyPr/>
        <a:lstStyle/>
        <a:p>
          <a:pPr>
            <a:buFont typeface="+mj-lt"/>
            <a:buAutoNum type="alphaUcPeriod"/>
          </a:pPr>
          <a:r>
            <a:rPr lang="en-GB" sz="1300">
              <a:effectLst/>
              <a:latin typeface="Aptos" panose="020B0004020202020204" pitchFamily="34" charset="0"/>
              <a:ea typeface="Aptos" panose="020B0004020202020204" pitchFamily="34" charset="0"/>
              <a:cs typeface="Arial" panose="020B0604020202020204" pitchFamily="34" charset="0"/>
            </a:rPr>
            <a:t>Power imbalance and professional relationships </a:t>
          </a:r>
          <a:endParaRPr lang="en-GB" sz="1300"/>
        </a:p>
      </dgm:t>
    </dgm:pt>
    <dgm:pt modelId="{FB43996B-C952-4805-8B04-3DF435944A71}" type="parTrans" cxnId="{7D019E02-7C00-492E-8D26-8E0B538E2814}">
      <dgm:prSet/>
      <dgm:spPr/>
      <dgm:t>
        <a:bodyPr/>
        <a:lstStyle/>
        <a:p>
          <a:endParaRPr lang="en-GB" sz="1300"/>
        </a:p>
      </dgm:t>
    </dgm:pt>
    <dgm:pt modelId="{AAB98628-447C-443C-B47A-F88FD3FC9971}" type="sibTrans" cxnId="{7D019E02-7C00-492E-8D26-8E0B538E2814}">
      <dgm:prSet/>
      <dgm:spPr/>
      <dgm:t>
        <a:bodyPr/>
        <a:lstStyle/>
        <a:p>
          <a:endParaRPr lang="en-GB" sz="1300"/>
        </a:p>
      </dgm:t>
    </dgm:pt>
    <dgm:pt modelId="{91624DC0-E41C-47B8-8C6E-D4A494019DE1}">
      <dgm:prSet custT="1"/>
      <dgm:spPr>
        <a:ln>
          <a:solidFill>
            <a:srgbClr val="A65588"/>
          </a:solidFill>
        </a:ln>
      </dgm:spPr>
      <dgm:t>
        <a:bodyPr/>
        <a:lstStyle/>
        <a:p>
          <a:pPr>
            <a:buFont typeface="Symbol" panose="05050102010706020507" pitchFamily="18" charset="2"/>
            <a:buChar char=""/>
          </a:pPr>
          <a:r>
            <a:rPr lang="en-GB" sz="1300">
              <a:effectLst/>
              <a:latin typeface="Aptos" panose="020B0004020202020204" pitchFamily="34" charset="0"/>
              <a:ea typeface="Aptos" panose="020B0004020202020204" pitchFamily="34" charset="0"/>
              <a:cs typeface="Arial" panose="020B0604020202020204" pitchFamily="34" charset="0"/>
            </a:rPr>
            <a:t>Absence of positive/meaningful peer interactions in education</a:t>
          </a:r>
          <a:endParaRPr lang="en-GB" sz="1300">
            <a:effectLst/>
            <a:latin typeface="Aptos" panose="020B0004020202020204" pitchFamily="34" charset="0"/>
            <a:ea typeface="Aptos" panose="020B0004020202020204" pitchFamily="34" charset="0"/>
            <a:cs typeface="Times New Roman" panose="02020603050405020304" pitchFamily="18" charset="0"/>
          </a:endParaRPr>
        </a:p>
      </dgm:t>
    </dgm:pt>
    <dgm:pt modelId="{C92DCA16-1B60-4A66-B483-117334AC38DD}" type="parTrans" cxnId="{F1657796-2266-4F1E-A1DC-5E327C0B3219}">
      <dgm:prSet/>
      <dgm:spPr/>
      <dgm:t>
        <a:bodyPr/>
        <a:lstStyle/>
        <a:p>
          <a:endParaRPr lang="en-GB" sz="1300"/>
        </a:p>
      </dgm:t>
    </dgm:pt>
    <dgm:pt modelId="{47FDDD8B-782A-42FA-BD14-90CEBCA2F736}" type="sibTrans" cxnId="{F1657796-2266-4F1E-A1DC-5E327C0B3219}">
      <dgm:prSet/>
      <dgm:spPr/>
      <dgm:t>
        <a:bodyPr/>
        <a:lstStyle/>
        <a:p>
          <a:endParaRPr lang="en-GB" sz="1300"/>
        </a:p>
      </dgm:t>
    </dgm:pt>
    <dgm:pt modelId="{8108C18F-D9B8-4C00-B77A-F16F58719D59}">
      <dgm:prSet custT="1"/>
      <dgm:spPr>
        <a:ln>
          <a:solidFill>
            <a:srgbClr val="A65588"/>
          </a:solidFill>
        </a:ln>
      </dgm:spPr>
      <dgm:t>
        <a:bodyPr/>
        <a:lstStyle/>
        <a:p>
          <a:pPr>
            <a:buFont typeface="Symbol" panose="05050102010706020507" pitchFamily="18" charset="2"/>
            <a:buChar char=""/>
          </a:pPr>
          <a:r>
            <a:rPr lang="en-GB" sz="1300">
              <a:effectLst/>
              <a:latin typeface="Aptos" panose="020B0004020202020204" pitchFamily="34" charset="0"/>
              <a:ea typeface="Aptos" panose="020B0004020202020204" pitchFamily="34" charset="0"/>
              <a:cs typeface="Arial" panose="020B0604020202020204" pitchFamily="34" charset="0"/>
            </a:rPr>
            <a:t>Lack of community support</a:t>
          </a:r>
          <a:endParaRPr lang="en-GB" sz="1300">
            <a:effectLst/>
            <a:latin typeface="Aptos" panose="020B0004020202020204" pitchFamily="34" charset="0"/>
            <a:ea typeface="Aptos" panose="020B0004020202020204" pitchFamily="34" charset="0"/>
            <a:cs typeface="Times New Roman" panose="02020603050405020304" pitchFamily="18" charset="0"/>
          </a:endParaRPr>
        </a:p>
      </dgm:t>
    </dgm:pt>
    <dgm:pt modelId="{5EEB272C-2308-4A40-8682-C458BFE2E151}" type="parTrans" cxnId="{AAFC5871-E18D-4857-B186-931ED4396846}">
      <dgm:prSet/>
      <dgm:spPr/>
      <dgm:t>
        <a:bodyPr/>
        <a:lstStyle/>
        <a:p>
          <a:endParaRPr lang="en-GB" sz="1300"/>
        </a:p>
      </dgm:t>
    </dgm:pt>
    <dgm:pt modelId="{A4328874-0CB2-40E7-9BC0-396F9F4668C7}" type="sibTrans" cxnId="{AAFC5871-E18D-4857-B186-931ED4396846}">
      <dgm:prSet/>
      <dgm:spPr/>
      <dgm:t>
        <a:bodyPr/>
        <a:lstStyle/>
        <a:p>
          <a:endParaRPr lang="en-GB" sz="1300"/>
        </a:p>
      </dgm:t>
    </dgm:pt>
    <dgm:pt modelId="{0C69F6BF-D8F3-4782-AA04-4F07826E8275}">
      <dgm:prSet custT="1"/>
      <dgm:spPr>
        <a:ln>
          <a:solidFill>
            <a:srgbClr val="A65588"/>
          </a:solidFill>
        </a:ln>
      </dgm:spPr>
      <dgm:t>
        <a:bodyPr/>
        <a:lstStyle/>
        <a:p>
          <a:pPr>
            <a:buFont typeface="Symbol" panose="05050102010706020507" pitchFamily="18" charset="2"/>
            <a:buChar char=""/>
          </a:pPr>
          <a:r>
            <a:rPr lang="en-GB" sz="1300">
              <a:effectLst/>
              <a:latin typeface="Aptos" panose="020B0004020202020204" pitchFamily="34" charset="0"/>
              <a:ea typeface="Aptos" panose="020B0004020202020204" pitchFamily="34" charset="0"/>
              <a:cs typeface="Arial" panose="020B0604020202020204" pitchFamily="34" charset="0"/>
            </a:rPr>
            <a:t>Lack of multilingual learning support</a:t>
          </a:r>
          <a:endParaRPr lang="en-GB" sz="1300">
            <a:effectLst/>
            <a:latin typeface="Aptos" panose="020B0004020202020204" pitchFamily="34" charset="0"/>
            <a:ea typeface="Aptos" panose="020B0004020202020204" pitchFamily="34" charset="0"/>
            <a:cs typeface="Times New Roman" panose="02020603050405020304" pitchFamily="18" charset="0"/>
          </a:endParaRPr>
        </a:p>
      </dgm:t>
    </dgm:pt>
    <dgm:pt modelId="{A1003A77-D3D4-47F3-BB63-4E04AFB5683D}" type="parTrans" cxnId="{78887CE6-56C6-4C67-8BDA-80E8CDB43D85}">
      <dgm:prSet/>
      <dgm:spPr/>
      <dgm:t>
        <a:bodyPr/>
        <a:lstStyle/>
        <a:p>
          <a:endParaRPr lang="en-GB" sz="1300"/>
        </a:p>
      </dgm:t>
    </dgm:pt>
    <dgm:pt modelId="{C7D6767B-CB36-47C3-B01F-568179066F0C}" type="sibTrans" cxnId="{78887CE6-56C6-4C67-8BDA-80E8CDB43D85}">
      <dgm:prSet/>
      <dgm:spPr/>
      <dgm:t>
        <a:bodyPr/>
        <a:lstStyle/>
        <a:p>
          <a:endParaRPr lang="en-GB" sz="1300"/>
        </a:p>
      </dgm:t>
    </dgm:pt>
    <dgm:pt modelId="{4DAF90C9-BF3F-4A5A-8733-4C06E2AF6A09}">
      <dgm:prSet custT="1"/>
      <dgm:spPr>
        <a:ln>
          <a:solidFill>
            <a:srgbClr val="A65588"/>
          </a:solidFill>
        </a:ln>
      </dgm:spPr>
      <dgm:t>
        <a:bodyPr/>
        <a:lstStyle/>
        <a:p>
          <a:r>
            <a:rPr lang="en-GB" sz="1300">
              <a:effectLst/>
              <a:latin typeface="Aptos" panose="020B0004020202020204" pitchFamily="34" charset="0"/>
              <a:ea typeface="Aptos" panose="020B0004020202020204" pitchFamily="34" charset="0"/>
              <a:cs typeface="Arial" panose="020B0604020202020204" pitchFamily="34" charset="0"/>
            </a:rPr>
            <a:t>A lack of recognition of parent/carer as an expert</a:t>
          </a:r>
          <a:endParaRPr lang="en-GB" sz="1300">
            <a:effectLst/>
            <a:latin typeface="Aptos" panose="020B0004020202020204" pitchFamily="34" charset="0"/>
            <a:ea typeface="Aptos" panose="020B0004020202020204" pitchFamily="34" charset="0"/>
            <a:cs typeface="Times New Roman" panose="02020603050405020304" pitchFamily="18" charset="0"/>
          </a:endParaRPr>
        </a:p>
      </dgm:t>
    </dgm:pt>
    <dgm:pt modelId="{6BD9E4ED-94EC-4DDB-B70C-4B41028A9211}" type="parTrans" cxnId="{660C63F3-92B2-4FC8-B563-65D859FFB8B1}">
      <dgm:prSet/>
      <dgm:spPr/>
      <dgm:t>
        <a:bodyPr/>
        <a:lstStyle/>
        <a:p>
          <a:endParaRPr lang="en-GB" sz="1300"/>
        </a:p>
      </dgm:t>
    </dgm:pt>
    <dgm:pt modelId="{9F3A9C06-07AE-42CA-A94F-95B4D24A6F13}" type="sibTrans" cxnId="{660C63F3-92B2-4FC8-B563-65D859FFB8B1}">
      <dgm:prSet/>
      <dgm:spPr/>
      <dgm:t>
        <a:bodyPr/>
        <a:lstStyle/>
        <a:p>
          <a:endParaRPr lang="en-GB" sz="1300"/>
        </a:p>
      </dgm:t>
    </dgm:pt>
    <dgm:pt modelId="{85968A2B-8392-4AA6-8F6A-EA42182682E9}">
      <dgm:prSet custT="1"/>
      <dgm:spPr>
        <a:ln>
          <a:solidFill>
            <a:srgbClr val="A65588"/>
          </a:solidFill>
        </a:ln>
      </dgm:spPr>
      <dgm:t>
        <a:bodyPr/>
        <a:lstStyle/>
        <a:p>
          <a:r>
            <a:rPr lang="en-GB" sz="1300" dirty="0">
              <a:effectLst/>
              <a:latin typeface="Aptos" panose="020B0004020202020204" pitchFamily="34" charset="0"/>
              <a:ea typeface="Aptos" panose="020B0004020202020204" pitchFamily="34" charset="0"/>
              <a:cs typeface="Arial" panose="020B0604020202020204" pitchFamily="34" charset="0"/>
            </a:rPr>
            <a:t>Socioeconomic disadvantage and prejudice</a:t>
          </a:r>
          <a:endParaRPr lang="en-GB" sz="1300" dirty="0">
            <a:effectLst/>
            <a:latin typeface="Aptos" panose="020B0004020202020204" pitchFamily="34" charset="0"/>
            <a:ea typeface="Aptos" panose="020B0004020202020204" pitchFamily="34" charset="0"/>
            <a:cs typeface="Times New Roman" panose="02020603050405020304" pitchFamily="18" charset="0"/>
          </a:endParaRPr>
        </a:p>
      </dgm:t>
    </dgm:pt>
    <dgm:pt modelId="{83A02DA4-AED3-4F30-9D07-41B619832300}" type="parTrans" cxnId="{FD70C38D-4D0C-480E-B071-046CB5820300}">
      <dgm:prSet/>
      <dgm:spPr/>
      <dgm:t>
        <a:bodyPr/>
        <a:lstStyle/>
        <a:p>
          <a:endParaRPr lang="en-GB" sz="1300"/>
        </a:p>
      </dgm:t>
    </dgm:pt>
    <dgm:pt modelId="{69909BFA-17E2-4D13-99A8-C16A0F0CA9D8}" type="sibTrans" cxnId="{FD70C38D-4D0C-480E-B071-046CB5820300}">
      <dgm:prSet/>
      <dgm:spPr/>
      <dgm:t>
        <a:bodyPr/>
        <a:lstStyle/>
        <a:p>
          <a:endParaRPr lang="en-GB" sz="1300"/>
        </a:p>
      </dgm:t>
    </dgm:pt>
    <dgm:pt modelId="{CFE2EBF1-3BA9-4A6C-ADE5-0863774F23E8}">
      <dgm:prSet custT="1"/>
      <dgm:spPr>
        <a:ln>
          <a:solidFill>
            <a:srgbClr val="A65588"/>
          </a:solidFill>
        </a:ln>
      </dgm:spPr>
      <dgm:t>
        <a:bodyPr/>
        <a:lstStyle/>
        <a:p>
          <a:r>
            <a:rPr lang="en-GB" sz="1300">
              <a:effectLst/>
              <a:latin typeface="Aptos" panose="020B0004020202020204" pitchFamily="34" charset="0"/>
              <a:ea typeface="Aptos" panose="020B0004020202020204" pitchFamily="34" charset="0"/>
              <a:cs typeface="Arial" panose="020B0604020202020204" pitchFamily="34" charset="0"/>
            </a:rPr>
            <a:t>Communication/language barrier and discrimination</a:t>
          </a:r>
          <a:endParaRPr lang="en-GB" sz="1300">
            <a:effectLst/>
            <a:latin typeface="Aptos" panose="020B0004020202020204" pitchFamily="34" charset="0"/>
            <a:ea typeface="Aptos" panose="020B0004020202020204" pitchFamily="34" charset="0"/>
            <a:cs typeface="Times New Roman" panose="02020603050405020304" pitchFamily="18" charset="0"/>
          </a:endParaRPr>
        </a:p>
      </dgm:t>
    </dgm:pt>
    <dgm:pt modelId="{20E9D5C4-48CA-4F1E-9FB1-802132FEA31A}" type="parTrans" cxnId="{DC7DAEB2-9DFE-4D7C-9039-2EF6F3A4BD86}">
      <dgm:prSet/>
      <dgm:spPr/>
      <dgm:t>
        <a:bodyPr/>
        <a:lstStyle/>
        <a:p>
          <a:endParaRPr lang="en-GB" sz="1300"/>
        </a:p>
      </dgm:t>
    </dgm:pt>
    <dgm:pt modelId="{3B34A90D-630F-4D78-81E0-5581C461B406}" type="sibTrans" cxnId="{DC7DAEB2-9DFE-4D7C-9039-2EF6F3A4BD86}">
      <dgm:prSet/>
      <dgm:spPr/>
      <dgm:t>
        <a:bodyPr/>
        <a:lstStyle/>
        <a:p>
          <a:endParaRPr lang="en-GB" sz="1300"/>
        </a:p>
      </dgm:t>
    </dgm:pt>
    <dgm:pt modelId="{52F1AA11-EA9D-4F85-90E7-1B977522A6F5}">
      <dgm:prSet custT="1"/>
      <dgm:spPr>
        <a:solidFill>
          <a:srgbClr val="A65588"/>
        </a:solidFill>
      </dgm:spPr>
      <dgm:t>
        <a:bodyPr/>
        <a:lstStyle/>
        <a:p>
          <a:pPr>
            <a:buFont typeface="+mj-lt"/>
            <a:buAutoNum type="alphaUcPeriod"/>
          </a:pPr>
          <a:r>
            <a:rPr lang="en-GB" sz="1300">
              <a:effectLst/>
              <a:latin typeface="Aptos" panose="020B0004020202020204" pitchFamily="34" charset="0"/>
              <a:ea typeface="Aptos" panose="020B0004020202020204" pitchFamily="34" charset="0"/>
              <a:cs typeface="Arial" panose="020B0604020202020204" pitchFamily="34" charset="0"/>
            </a:rPr>
            <a:t>Attitude &amp; perception </a:t>
          </a:r>
          <a:endParaRPr lang="en-GB" sz="1300">
            <a:effectLst/>
            <a:latin typeface="Aptos" panose="020B0004020202020204" pitchFamily="34" charset="0"/>
            <a:ea typeface="Aptos" panose="020B0004020202020204" pitchFamily="34" charset="0"/>
            <a:cs typeface="Times New Roman" panose="02020603050405020304" pitchFamily="18" charset="0"/>
          </a:endParaRPr>
        </a:p>
      </dgm:t>
    </dgm:pt>
    <dgm:pt modelId="{7D1B19D8-9588-43ED-84BD-A8EC21DC6FDA}" type="parTrans" cxnId="{7D202100-6258-4393-B56D-92086D653233}">
      <dgm:prSet/>
      <dgm:spPr/>
      <dgm:t>
        <a:bodyPr/>
        <a:lstStyle/>
        <a:p>
          <a:endParaRPr lang="en-GB" sz="1300"/>
        </a:p>
      </dgm:t>
    </dgm:pt>
    <dgm:pt modelId="{D8C9E508-B551-431A-8298-EA85D89AD8F1}" type="sibTrans" cxnId="{7D202100-6258-4393-B56D-92086D653233}">
      <dgm:prSet/>
      <dgm:spPr/>
      <dgm:t>
        <a:bodyPr/>
        <a:lstStyle/>
        <a:p>
          <a:endParaRPr lang="en-GB" sz="1300"/>
        </a:p>
      </dgm:t>
    </dgm:pt>
    <dgm:pt modelId="{75B64176-879E-406C-8C38-A9B83D31319B}">
      <dgm:prSet custT="1"/>
      <dgm:spPr>
        <a:ln>
          <a:solidFill>
            <a:srgbClr val="A65588"/>
          </a:solidFill>
        </a:ln>
      </dgm:spPr>
      <dgm:t>
        <a:bodyPr/>
        <a:lstStyle/>
        <a:p>
          <a:r>
            <a:rPr lang="en-GB" sz="1300">
              <a:effectLst/>
              <a:latin typeface="Aptos" panose="020B0004020202020204" pitchFamily="34" charset="0"/>
              <a:ea typeface="Aptos" panose="020B0004020202020204" pitchFamily="34" charset="0"/>
              <a:cs typeface="Arial" panose="020B0604020202020204" pitchFamily="34" charset="0"/>
            </a:rPr>
            <a:t>Cultural stigmas</a:t>
          </a:r>
          <a:endParaRPr lang="en-GB" sz="1300">
            <a:effectLst/>
            <a:latin typeface="Aptos" panose="020B0004020202020204" pitchFamily="34" charset="0"/>
            <a:ea typeface="Aptos" panose="020B0004020202020204" pitchFamily="34" charset="0"/>
            <a:cs typeface="Times New Roman" panose="02020603050405020304" pitchFamily="18" charset="0"/>
          </a:endParaRPr>
        </a:p>
      </dgm:t>
    </dgm:pt>
    <dgm:pt modelId="{650AA5C6-4A4E-443D-B9C9-96674F9948C8}" type="parTrans" cxnId="{58B8B371-DF30-4241-BED7-267313E7AA64}">
      <dgm:prSet/>
      <dgm:spPr/>
      <dgm:t>
        <a:bodyPr/>
        <a:lstStyle/>
        <a:p>
          <a:endParaRPr lang="en-GB" sz="1300"/>
        </a:p>
      </dgm:t>
    </dgm:pt>
    <dgm:pt modelId="{F2D043BA-BF3C-4437-9149-D9D0D382090E}" type="sibTrans" cxnId="{58B8B371-DF30-4241-BED7-267313E7AA64}">
      <dgm:prSet/>
      <dgm:spPr/>
      <dgm:t>
        <a:bodyPr/>
        <a:lstStyle/>
        <a:p>
          <a:endParaRPr lang="en-GB" sz="1300"/>
        </a:p>
      </dgm:t>
    </dgm:pt>
    <dgm:pt modelId="{041C5AE6-F937-4124-8121-0259EA67E87F}">
      <dgm:prSet custT="1"/>
      <dgm:spPr>
        <a:ln>
          <a:solidFill>
            <a:srgbClr val="A65588"/>
          </a:solidFill>
        </a:ln>
      </dgm:spPr>
      <dgm:t>
        <a:bodyPr/>
        <a:lstStyle/>
        <a:p>
          <a:r>
            <a:rPr lang="en-GB" sz="1300">
              <a:effectLst/>
              <a:latin typeface="Aptos" panose="020B0004020202020204" pitchFamily="34" charset="0"/>
              <a:ea typeface="Aptos" panose="020B0004020202020204" pitchFamily="34" charset="0"/>
              <a:cs typeface="Arial" panose="020B0604020202020204" pitchFamily="34" charset="0"/>
            </a:rPr>
            <a:t>Teacher bias and assumptions</a:t>
          </a:r>
          <a:endParaRPr lang="en-GB" sz="1300">
            <a:effectLst/>
            <a:latin typeface="Aptos" panose="020B0004020202020204" pitchFamily="34" charset="0"/>
            <a:ea typeface="Aptos" panose="020B0004020202020204" pitchFamily="34" charset="0"/>
            <a:cs typeface="Times New Roman" panose="02020603050405020304" pitchFamily="18" charset="0"/>
          </a:endParaRPr>
        </a:p>
      </dgm:t>
    </dgm:pt>
    <dgm:pt modelId="{145E2F36-C0D3-450B-8DBD-7588DB1CDFDB}" type="parTrans" cxnId="{D82BAEE4-9E9C-4F42-96E1-86AE85F14AA4}">
      <dgm:prSet/>
      <dgm:spPr/>
      <dgm:t>
        <a:bodyPr/>
        <a:lstStyle/>
        <a:p>
          <a:endParaRPr lang="en-GB" sz="1300"/>
        </a:p>
      </dgm:t>
    </dgm:pt>
    <dgm:pt modelId="{668430E9-8892-4EEA-981D-B3C0625F97B0}" type="sibTrans" cxnId="{D82BAEE4-9E9C-4F42-96E1-86AE85F14AA4}">
      <dgm:prSet/>
      <dgm:spPr/>
      <dgm:t>
        <a:bodyPr/>
        <a:lstStyle/>
        <a:p>
          <a:endParaRPr lang="en-GB" sz="1300"/>
        </a:p>
      </dgm:t>
    </dgm:pt>
    <dgm:pt modelId="{A579BD83-0B4B-47C2-84B5-E4E0312F3EBC}">
      <dgm:prSet custT="1"/>
      <dgm:spPr>
        <a:ln>
          <a:solidFill>
            <a:srgbClr val="A65588"/>
          </a:solidFill>
        </a:ln>
      </dgm:spPr>
      <dgm:t>
        <a:bodyPr/>
        <a:lstStyle/>
        <a:p>
          <a:r>
            <a:rPr lang="en-GB" sz="1300">
              <a:effectLst/>
              <a:latin typeface="Aptos" panose="020B0004020202020204" pitchFamily="34" charset="0"/>
              <a:ea typeface="Aptos" panose="020B0004020202020204" pitchFamily="34" charset="0"/>
              <a:cs typeface="Arial" panose="020B0604020202020204" pitchFamily="34" charset="0"/>
            </a:rPr>
            <a:t>Disciplinary actions</a:t>
          </a:r>
          <a:endParaRPr lang="en-GB" sz="1300">
            <a:effectLst/>
            <a:latin typeface="Aptos" panose="020B0004020202020204" pitchFamily="34" charset="0"/>
            <a:ea typeface="Aptos" panose="020B0004020202020204" pitchFamily="34" charset="0"/>
            <a:cs typeface="Times New Roman" panose="02020603050405020304" pitchFamily="18" charset="0"/>
          </a:endParaRPr>
        </a:p>
      </dgm:t>
    </dgm:pt>
    <dgm:pt modelId="{2D462508-7097-4AE7-8DC8-80C59F0B1A39}" type="parTrans" cxnId="{0B29DE4B-B562-4AD4-B3F5-BE95BA9F4FFE}">
      <dgm:prSet/>
      <dgm:spPr/>
      <dgm:t>
        <a:bodyPr/>
        <a:lstStyle/>
        <a:p>
          <a:endParaRPr lang="en-GB" sz="1300"/>
        </a:p>
      </dgm:t>
    </dgm:pt>
    <dgm:pt modelId="{ACF5086E-FCFF-4799-9AE2-166D9EAEDEAB}" type="sibTrans" cxnId="{0B29DE4B-B562-4AD4-B3F5-BE95BA9F4FFE}">
      <dgm:prSet/>
      <dgm:spPr/>
      <dgm:t>
        <a:bodyPr/>
        <a:lstStyle/>
        <a:p>
          <a:endParaRPr lang="en-GB" sz="1300"/>
        </a:p>
      </dgm:t>
    </dgm:pt>
    <dgm:pt modelId="{871DA53A-8A56-42EC-A714-752D07AC0092}">
      <dgm:prSet custT="1"/>
      <dgm:spPr>
        <a:ln>
          <a:solidFill>
            <a:srgbClr val="A65588"/>
          </a:solidFill>
        </a:ln>
      </dgm:spPr>
      <dgm:t>
        <a:bodyPr/>
        <a:lstStyle/>
        <a:p>
          <a:r>
            <a:rPr lang="en-GB" sz="1300">
              <a:effectLst/>
              <a:latin typeface="Aptos" panose="020B0004020202020204" pitchFamily="34" charset="0"/>
              <a:ea typeface="Aptos" panose="020B0004020202020204" pitchFamily="34" charset="0"/>
              <a:cs typeface="Arial" panose="020B0604020202020204" pitchFamily="34" charset="0"/>
            </a:rPr>
            <a:t>Parental perceptions</a:t>
          </a:r>
          <a:endParaRPr lang="en-GB" sz="1300">
            <a:effectLst/>
            <a:latin typeface="Aptos" panose="020B0004020202020204" pitchFamily="34" charset="0"/>
            <a:ea typeface="Aptos" panose="020B0004020202020204" pitchFamily="34" charset="0"/>
            <a:cs typeface="Times New Roman" panose="02020603050405020304" pitchFamily="18" charset="0"/>
          </a:endParaRPr>
        </a:p>
      </dgm:t>
    </dgm:pt>
    <dgm:pt modelId="{EB1BA10D-9FD1-4424-8D4B-9FC34CF8398F}" type="parTrans" cxnId="{483940B3-492C-4B85-B2B9-E62E03B4DED5}">
      <dgm:prSet/>
      <dgm:spPr/>
      <dgm:t>
        <a:bodyPr/>
        <a:lstStyle/>
        <a:p>
          <a:endParaRPr lang="en-GB" sz="1300"/>
        </a:p>
      </dgm:t>
    </dgm:pt>
    <dgm:pt modelId="{2B2622A1-1B8C-4C64-9942-DFB104373144}" type="sibTrans" cxnId="{483940B3-492C-4B85-B2B9-E62E03B4DED5}">
      <dgm:prSet/>
      <dgm:spPr/>
      <dgm:t>
        <a:bodyPr/>
        <a:lstStyle/>
        <a:p>
          <a:endParaRPr lang="en-GB" sz="1300"/>
        </a:p>
      </dgm:t>
    </dgm:pt>
    <dgm:pt modelId="{6FF1879D-122F-4A03-8C45-F42371F8AE6D}">
      <dgm:prSet custT="1"/>
      <dgm:spPr>
        <a:ln>
          <a:solidFill>
            <a:srgbClr val="A65588"/>
          </a:solidFill>
        </a:ln>
      </dgm:spPr>
      <dgm:t>
        <a:bodyPr/>
        <a:lstStyle/>
        <a:p>
          <a:r>
            <a:rPr lang="en-GB" sz="1300">
              <a:effectLst/>
              <a:latin typeface="Aptos" panose="020B0004020202020204" pitchFamily="34" charset="0"/>
              <a:ea typeface="Aptos" panose="020B0004020202020204" pitchFamily="34" charset="0"/>
              <a:cs typeface="Arial" panose="020B0604020202020204" pitchFamily="34" charset="0"/>
            </a:rPr>
            <a:t>Cultural difference</a:t>
          </a:r>
          <a:endParaRPr lang="en-GB" sz="1300">
            <a:effectLst/>
            <a:latin typeface="Aptos" panose="020B0004020202020204" pitchFamily="34" charset="0"/>
            <a:ea typeface="Aptos" panose="020B0004020202020204" pitchFamily="34" charset="0"/>
            <a:cs typeface="Times New Roman" panose="02020603050405020304" pitchFamily="18" charset="0"/>
          </a:endParaRPr>
        </a:p>
      </dgm:t>
    </dgm:pt>
    <dgm:pt modelId="{014419EF-66D4-4AD3-B651-D74600F672BA}" type="parTrans" cxnId="{D0ED50A7-7765-433C-A9EB-CE04B32D55B0}">
      <dgm:prSet/>
      <dgm:spPr/>
      <dgm:t>
        <a:bodyPr/>
        <a:lstStyle/>
        <a:p>
          <a:endParaRPr lang="en-GB" sz="1300"/>
        </a:p>
      </dgm:t>
    </dgm:pt>
    <dgm:pt modelId="{F77F4694-FB07-4350-8946-E3CB5ABE6F51}" type="sibTrans" cxnId="{D0ED50A7-7765-433C-A9EB-CE04B32D55B0}">
      <dgm:prSet/>
      <dgm:spPr/>
      <dgm:t>
        <a:bodyPr/>
        <a:lstStyle/>
        <a:p>
          <a:endParaRPr lang="en-GB" sz="1300"/>
        </a:p>
      </dgm:t>
    </dgm:pt>
    <dgm:pt modelId="{E11FE2F2-16D1-4419-8340-2F7E82803D8E}">
      <dgm:prSet custT="1"/>
      <dgm:spPr>
        <a:solidFill>
          <a:srgbClr val="A65588"/>
        </a:solidFill>
      </dgm:spPr>
      <dgm:t>
        <a:bodyPr/>
        <a:lstStyle/>
        <a:p>
          <a:pPr>
            <a:buFont typeface="+mj-lt"/>
            <a:buAutoNum type="alphaUcPeriod"/>
          </a:pPr>
          <a:r>
            <a:rPr lang="en-GB" sz="1300">
              <a:effectLst/>
              <a:latin typeface="Aptos" panose="020B0004020202020204" pitchFamily="34" charset="0"/>
              <a:ea typeface="Aptos" panose="020B0004020202020204" pitchFamily="34" charset="0"/>
              <a:cs typeface="Arial" panose="020B0604020202020204" pitchFamily="34" charset="0"/>
            </a:rPr>
            <a:t>Delivering education </a:t>
          </a:r>
          <a:endParaRPr lang="en-GB" sz="1300">
            <a:effectLst/>
            <a:latin typeface="Aptos" panose="020B0004020202020204" pitchFamily="34" charset="0"/>
            <a:ea typeface="Aptos" panose="020B0004020202020204" pitchFamily="34" charset="0"/>
            <a:cs typeface="Times New Roman" panose="02020603050405020304" pitchFamily="18" charset="0"/>
          </a:endParaRPr>
        </a:p>
      </dgm:t>
    </dgm:pt>
    <dgm:pt modelId="{BCB86646-D8CE-4DA1-97CD-F4585B531544}" type="parTrans" cxnId="{4CED0FB8-E0CA-4BC8-9321-A7C53AC61A13}">
      <dgm:prSet/>
      <dgm:spPr/>
      <dgm:t>
        <a:bodyPr/>
        <a:lstStyle/>
        <a:p>
          <a:endParaRPr lang="en-GB" sz="1300"/>
        </a:p>
      </dgm:t>
    </dgm:pt>
    <dgm:pt modelId="{0F50AD59-3951-48A4-9769-FF7F2E9BEDBF}" type="sibTrans" cxnId="{4CED0FB8-E0CA-4BC8-9321-A7C53AC61A13}">
      <dgm:prSet/>
      <dgm:spPr/>
      <dgm:t>
        <a:bodyPr/>
        <a:lstStyle/>
        <a:p>
          <a:endParaRPr lang="en-GB" sz="1300"/>
        </a:p>
      </dgm:t>
    </dgm:pt>
    <dgm:pt modelId="{88215141-D2D1-4511-800A-3C59F91183C9}">
      <dgm:prSet custT="1"/>
      <dgm:spPr>
        <a:ln>
          <a:solidFill>
            <a:srgbClr val="A65588"/>
          </a:solidFill>
        </a:ln>
      </dgm:spPr>
      <dgm:t>
        <a:bodyPr/>
        <a:lstStyle/>
        <a:p>
          <a:r>
            <a:rPr lang="en-GB" sz="1300">
              <a:effectLst/>
              <a:latin typeface="Aptos" panose="020B0004020202020204" pitchFamily="34" charset="0"/>
              <a:ea typeface="Aptos" panose="020B0004020202020204" pitchFamily="34" charset="0"/>
              <a:cs typeface="Arial" panose="020B0604020202020204" pitchFamily="34" charset="0"/>
            </a:rPr>
            <a:t>Rigid policies and lack of flexibility</a:t>
          </a:r>
          <a:endParaRPr lang="en-GB" sz="1300">
            <a:effectLst/>
            <a:latin typeface="Aptos" panose="020B0004020202020204" pitchFamily="34" charset="0"/>
            <a:ea typeface="Aptos" panose="020B0004020202020204" pitchFamily="34" charset="0"/>
            <a:cs typeface="Times New Roman" panose="02020603050405020304" pitchFamily="18" charset="0"/>
          </a:endParaRPr>
        </a:p>
      </dgm:t>
    </dgm:pt>
    <dgm:pt modelId="{D3DA8FD7-0F50-4C70-9A8D-C5CFEEB0BC9C}" type="parTrans" cxnId="{606E2826-6275-478A-888A-0BFC74A11FCA}">
      <dgm:prSet/>
      <dgm:spPr/>
      <dgm:t>
        <a:bodyPr/>
        <a:lstStyle/>
        <a:p>
          <a:endParaRPr lang="en-GB" sz="1300"/>
        </a:p>
      </dgm:t>
    </dgm:pt>
    <dgm:pt modelId="{1EECEFF8-02BE-4AE7-AA68-662CAC042E4A}" type="sibTrans" cxnId="{606E2826-6275-478A-888A-0BFC74A11FCA}">
      <dgm:prSet/>
      <dgm:spPr/>
      <dgm:t>
        <a:bodyPr/>
        <a:lstStyle/>
        <a:p>
          <a:endParaRPr lang="en-GB" sz="1300"/>
        </a:p>
      </dgm:t>
    </dgm:pt>
    <dgm:pt modelId="{A1C39E71-909E-4A19-9AF4-9DFE95113F67}">
      <dgm:prSet custT="1"/>
      <dgm:spPr>
        <a:ln>
          <a:solidFill>
            <a:srgbClr val="A65588"/>
          </a:solidFill>
        </a:ln>
      </dgm:spPr>
      <dgm:t>
        <a:bodyPr/>
        <a:lstStyle/>
        <a:p>
          <a:r>
            <a:rPr lang="en-GB" sz="1300">
              <a:effectLst/>
              <a:latin typeface="Aptos" panose="020B0004020202020204" pitchFamily="34" charset="0"/>
              <a:ea typeface="Aptos" panose="020B0004020202020204" pitchFamily="34" charset="0"/>
              <a:cs typeface="Arial" panose="020B0604020202020204" pitchFamily="34" charset="0"/>
            </a:rPr>
            <a:t>Institutional barriers</a:t>
          </a:r>
          <a:endParaRPr lang="en-GB" sz="1300">
            <a:effectLst/>
            <a:latin typeface="Aptos" panose="020B0004020202020204" pitchFamily="34" charset="0"/>
            <a:ea typeface="Aptos" panose="020B0004020202020204" pitchFamily="34" charset="0"/>
            <a:cs typeface="Times New Roman" panose="02020603050405020304" pitchFamily="18" charset="0"/>
          </a:endParaRPr>
        </a:p>
      </dgm:t>
    </dgm:pt>
    <dgm:pt modelId="{2B3F037B-CB2B-4184-B1D2-820C74596330}" type="parTrans" cxnId="{8CF478C1-40E8-4696-8189-007C5A8E0169}">
      <dgm:prSet/>
      <dgm:spPr/>
      <dgm:t>
        <a:bodyPr/>
        <a:lstStyle/>
        <a:p>
          <a:endParaRPr lang="en-GB" sz="1300"/>
        </a:p>
      </dgm:t>
    </dgm:pt>
    <dgm:pt modelId="{13F068AB-8441-4057-A7BB-D1E25FF51A45}" type="sibTrans" cxnId="{8CF478C1-40E8-4696-8189-007C5A8E0169}">
      <dgm:prSet/>
      <dgm:spPr/>
      <dgm:t>
        <a:bodyPr/>
        <a:lstStyle/>
        <a:p>
          <a:endParaRPr lang="en-GB" sz="1300"/>
        </a:p>
      </dgm:t>
    </dgm:pt>
    <dgm:pt modelId="{CA5B5EFD-F5AE-41BB-BA09-DE99106EAE35}">
      <dgm:prSet custT="1"/>
      <dgm:spPr>
        <a:ln>
          <a:solidFill>
            <a:srgbClr val="A65588"/>
          </a:solidFill>
        </a:ln>
      </dgm:spPr>
      <dgm:t>
        <a:bodyPr/>
        <a:lstStyle/>
        <a:p>
          <a:r>
            <a:rPr lang="en-GB" sz="1300">
              <a:effectLst/>
              <a:latin typeface="Aptos" panose="020B0004020202020204" pitchFamily="34" charset="0"/>
              <a:ea typeface="Aptos" panose="020B0004020202020204" pitchFamily="34" charset="0"/>
              <a:cs typeface="Arial" panose="020B0604020202020204" pitchFamily="34" charset="0"/>
            </a:rPr>
            <a:t>Skilled teachers, stronger SEN outcomes</a:t>
          </a:r>
          <a:r>
            <a:rPr lang="en-GB" sz="1300">
              <a:effectLst/>
              <a:latin typeface="Aptos" panose="020B0004020202020204" pitchFamily="34" charset="0"/>
              <a:ea typeface="Aptos" panose="020B0004020202020204" pitchFamily="34" charset="0"/>
              <a:cs typeface="Times New Roman" panose="02020603050405020304" pitchFamily="18" charset="0"/>
            </a:rPr>
            <a:t> </a:t>
          </a:r>
        </a:p>
      </dgm:t>
    </dgm:pt>
    <dgm:pt modelId="{0B54FD9A-3344-44B1-A1AA-8EA3A16075CF}" type="parTrans" cxnId="{70B03F22-8A25-493B-A325-7FF0418D4706}">
      <dgm:prSet/>
      <dgm:spPr/>
      <dgm:t>
        <a:bodyPr/>
        <a:lstStyle/>
        <a:p>
          <a:endParaRPr lang="en-GB" sz="1300"/>
        </a:p>
      </dgm:t>
    </dgm:pt>
    <dgm:pt modelId="{C0145C4A-9D66-44F5-9831-9858F61275D2}" type="sibTrans" cxnId="{70B03F22-8A25-493B-A325-7FF0418D4706}">
      <dgm:prSet/>
      <dgm:spPr/>
      <dgm:t>
        <a:bodyPr/>
        <a:lstStyle/>
        <a:p>
          <a:endParaRPr lang="en-GB" sz="1300"/>
        </a:p>
      </dgm:t>
    </dgm:pt>
    <dgm:pt modelId="{C07B9E88-4FCD-4AE0-829B-055DB5ABB0AD}" type="pres">
      <dgm:prSet presAssocID="{3FE91976-4873-4B2D-9E5A-E98C9A37CA36}" presName="linear" presStyleCnt="0">
        <dgm:presLayoutVars>
          <dgm:dir/>
          <dgm:animLvl val="lvl"/>
          <dgm:resizeHandles val="exact"/>
        </dgm:presLayoutVars>
      </dgm:prSet>
      <dgm:spPr/>
    </dgm:pt>
    <dgm:pt modelId="{8079BC4E-31FD-4DCF-B215-92A010B6021E}" type="pres">
      <dgm:prSet presAssocID="{E73CCB37-F6B9-4241-B16D-375C18F20432}" presName="parentLin" presStyleCnt="0"/>
      <dgm:spPr/>
    </dgm:pt>
    <dgm:pt modelId="{F9F577A9-59A5-4FDF-BD98-5374088298A9}" type="pres">
      <dgm:prSet presAssocID="{E73CCB37-F6B9-4241-B16D-375C18F20432}" presName="parentLeftMargin" presStyleLbl="node1" presStyleIdx="0" presStyleCnt="4"/>
      <dgm:spPr/>
    </dgm:pt>
    <dgm:pt modelId="{4C333F06-96C2-4121-BF54-2F48EE663DBD}" type="pres">
      <dgm:prSet presAssocID="{E73CCB37-F6B9-4241-B16D-375C18F20432}" presName="parentText" presStyleLbl="node1" presStyleIdx="0" presStyleCnt="4" custScaleX="113160">
        <dgm:presLayoutVars>
          <dgm:chMax val="0"/>
          <dgm:bulletEnabled val="1"/>
        </dgm:presLayoutVars>
      </dgm:prSet>
      <dgm:spPr/>
    </dgm:pt>
    <dgm:pt modelId="{38FFD005-ABC1-4F5B-A590-61FA56640CB7}" type="pres">
      <dgm:prSet presAssocID="{E73CCB37-F6B9-4241-B16D-375C18F20432}" presName="negativeSpace" presStyleCnt="0"/>
      <dgm:spPr/>
    </dgm:pt>
    <dgm:pt modelId="{F6052A10-6AC6-498E-B60B-2032D12FE232}" type="pres">
      <dgm:prSet presAssocID="{E73CCB37-F6B9-4241-B16D-375C18F20432}" presName="childText" presStyleLbl="conFgAcc1" presStyleIdx="0" presStyleCnt="4">
        <dgm:presLayoutVars>
          <dgm:bulletEnabled val="1"/>
        </dgm:presLayoutVars>
      </dgm:prSet>
      <dgm:spPr/>
    </dgm:pt>
    <dgm:pt modelId="{D0A1A3F6-236E-455B-9C45-540B14413CC2}" type="pres">
      <dgm:prSet presAssocID="{D276E2B2-37AD-433F-96CE-71B423886FC3}" presName="spaceBetweenRectangles" presStyleCnt="0"/>
      <dgm:spPr/>
    </dgm:pt>
    <dgm:pt modelId="{2B213956-1634-4AAF-A52D-BA003F5256D9}" type="pres">
      <dgm:prSet presAssocID="{4ED50281-92C7-4DC9-A69E-6A0A5B3C6A98}" presName="parentLin" presStyleCnt="0"/>
      <dgm:spPr/>
    </dgm:pt>
    <dgm:pt modelId="{E6626FEC-257D-49F9-A6B2-1E08A5B0840B}" type="pres">
      <dgm:prSet presAssocID="{4ED50281-92C7-4DC9-A69E-6A0A5B3C6A98}" presName="parentLeftMargin" presStyleLbl="node1" presStyleIdx="0" presStyleCnt="4"/>
      <dgm:spPr/>
    </dgm:pt>
    <dgm:pt modelId="{3E739C2B-E55A-49E2-8D70-84A905697B25}" type="pres">
      <dgm:prSet presAssocID="{4ED50281-92C7-4DC9-A69E-6A0A5B3C6A98}" presName="parentText" presStyleLbl="node1" presStyleIdx="1" presStyleCnt="4" custScaleX="112167">
        <dgm:presLayoutVars>
          <dgm:chMax val="0"/>
          <dgm:bulletEnabled val="1"/>
        </dgm:presLayoutVars>
      </dgm:prSet>
      <dgm:spPr/>
    </dgm:pt>
    <dgm:pt modelId="{B79BE5BD-811D-4D94-9FF4-361D09CCABF9}" type="pres">
      <dgm:prSet presAssocID="{4ED50281-92C7-4DC9-A69E-6A0A5B3C6A98}" presName="negativeSpace" presStyleCnt="0"/>
      <dgm:spPr/>
    </dgm:pt>
    <dgm:pt modelId="{D0AAFD61-000B-4023-9844-F011810196F2}" type="pres">
      <dgm:prSet presAssocID="{4ED50281-92C7-4DC9-A69E-6A0A5B3C6A98}" presName="childText" presStyleLbl="conFgAcc1" presStyleIdx="1" presStyleCnt="4">
        <dgm:presLayoutVars>
          <dgm:bulletEnabled val="1"/>
        </dgm:presLayoutVars>
      </dgm:prSet>
      <dgm:spPr/>
    </dgm:pt>
    <dgm:pt modelId="{B78F8668-FF41-474B-AA54-B9FDFE6927DA}" type="pres">
      <dgm:prSet presAssocID="{AAB98628-447C-443C-B47A-F88FD3FC9971}" presName="spaceBetweenRectangles" presStyleCnt="0"/>
      <dgm:spPr/>
    </dgm:pt>
    <dgm:pt modelId="{946537FA-0422-4675-8E39-87E331365C88}" type="pres">
      <dgm:prSet presAssocID="{52F1AA11-EA9D-4F85-90E7-1B977522A6F5}" presName="parentLin" presStyleCnt="0"/>
      <dgm:spPr/>
    </dgm:pt>
    <dgm:pt modelId="{783FC259-C062-43E4-A5EB-7E5A3DE47544}" type="pres">
      <dgm:prSet presAssocID="{52F1AA11-EA9D-4F85-90E7-1B977522A6F5}" presName="parentLeftMargin" presStyleLbl="node1" presStyleIdx="1" presStyleCnt="4"/>
      <dgm:spPr/>
    </dgm:pt>
    <dgm:pt modelId="{EDA1376B-8C09-4F7F-9FBF-C376093F9245}" type="pres">
      <dgm:prSet presAssocID="{52F1AA11-EA9D-4F85-90E7-1B977522A6F5}" presName="parentText" presStyleLbl="node1" presStyleIdx="2" presStyleCnt="4" custScaleX="112664">
        <dgm:presLayoutVars>
          <dgm:chMax val="0"/>
          <dgm:bulletEnabled val="1"/>
        </dgm:presLayoutVars>
      </dgm:prSet>
      <dgm:spPr/>
    </dgm:pt>
    <dgm:pt modelId="{4B48E65A-0166-4FD0-950F-947E239EBD13}" type="pres">
      <dgm:prSet presAssocID="{52F1AA11-EA9D-4F85-90E7-1B977522A6F5}" presName="negativeSpace" presStyleCnt="0"/>
      <dgm:spPr/>
    </dgm:pt>
    <dgm:pt modelId="{0B37316F-65D3-4FD1-8452-29658912702E}" type="pres">
      <dgm:prSet presAssocID="{52F1AA11-EA9D-4F85-90E7-1B977522A6F5}" presName="childText" presStyleLbl="conFgAcc1" presStyleIdx="2" presStyleCnt="4">
        <dgm:presLayoutVars>
          <dgm:bulletEnabled val="1"/>
        </dgm:presLayoutVars>
      </dgm:prSet>
      <dgm:spPr/>
    </dgm:pt>
    <dgm:pt modelId="{AE4D3095-FB9E-431C-9CAD-08802BE31E25}" type="pres">
      <dgm:prSet presAssocID="{D8C9E508-B551-431A-8298-EA85D89AD8F1}" presName="spaceBetweenRectangles" presStyleCnt="0"/>
      <dgm:spPr/>
    </dgm:pt>
    <dgm:pt modelId="{7DB6DF78-F823-4658-929B-284397132FA9}" type="pres">
      <dgm:prSet presAssocID="{E11FE2F2-16D1-4419-8340-2F7E82803D8E}" presName="parentLin" presStyleCnt="0"/>
      <dgm:spPr/>
    </dgm:pt>
    <dgm:pt modelId="{6982D9B3-A6EE-4CD5-BF94-560CB903E101}" type="pres">
      <dgm:prSet presAssocID="{E11FE2F2-16D1-4419-8340-2F7E82803D8E}" presName="parentLeftMargin" presStyleLbl="node1" presStyleIdx="2" presStyleCnt="4"/>
      <dgm:spPr/>
    </dgm:pt>
    <dgm:pt modelId="{B1862B9D-06DE-4F0A-BFB7-8C8AE2450D07}" type="pres">
      <dgm:prSet presAssocID="{E11FE2F2-16D1-4419-8340-2F7E82803D8E}" presName="parentText" presStyleLbl="node1" presStyleIdx="3" presStyleCnt="4" custScaleX="112912">
        <dgm:presLayoutVars>
          <dgm:chMax val="0"/>
          <dgm:bulletEnabled val="1"/>
        </dgm:presLayoutVars>
      </dgm:prSet>
      <dgm:spPr/>
    </dgm:pt>
    <dgm:pt modelId="{878AF7ED-F4F0-4D84-9270-9865DDAC0CA9}" type="pres">
      <dgm:prSet presAssocID="{E11FE2F2-16D1-4419-8340-2F7E82803D8E}" presName="negativeSpace" presStyleCnt="0"/>
      <dgm:spPr/>
    </dgm:pt>
    <dgm:pt modelId="{469188E0-64D2-4780-8850-6D9088C37BAE}" type="pres">
      <dgm:prSet presAssocID="{E11FE2F2-16D1-4419-8340-2F7E82803D8E}" presName="childText" presStyleLbl="conFgAcc1" presStyleIdx="3" presStyleCnt="4" custLinFactNeighborX="97" custLinFactNeighborY="-29407">
        <dgm:presLayoutVars>
          <dgm:bulletEnabled val="1"/>
        </dgm:presLayoutVars>
      </dgm:prSet>
      <dgm:spPr/>
    </dgm:pt>
  </dgm:ptLst>
  <dgm:cxnLst>
    <dgm:cxn modelId="{7D202100-6258-4393-B56D-92086D653233}" srcId="{3FE91976-4873-4B2D-9E5A-E98C9A37CA36}" destId="{52F1AA11-EA9D-4F85-90E7-1B977522A6F5}" srcOrd="2" destOrd="0" parTransId="{7D1B19D8-9588-43ED-84BD-A8EC21DC6FDA}" sibTransId="{D8C9E508-B551-431A-8298-EA85D89AD8F1}"/>
    <dgm:cxn modelId="{7D019E02-7C00-492E-8D26-8E0B538E2814}" srcId="{3FE91976-4873-4B2D-9E5A-E98C9A37CA36}" destId="{4ED50281-92C7-4DC9-A69E-6A0A5B3C6A98}" srcOrd="1" destOrd="0" parTransId="{FB43996B-C952-4805-8B04-3DF435944A71}" sibTransId="{AAB98628-447C-443C-B47A-F88FD3FC9971}"/>
    <dgm:cxn modelId="{439D9F06-3CD0-4399-9BCD-DDFCFC35594E}" type="presOf" srcId="{52F1AA11-EA9D-4F85-90E7-1B977522A6F5}" destId="{783FC259-C062-43E4-A5EB-7E5A3DE47544}" srcOrd="0" destOrd="0" presId="urn:microsoft.com/office/officeart/2005/8/layout/list1"/>
    <dgm:cxn modelId="{3B244409-8133-430D-844B-F34AED298A31}" type="presOf" srcId="{6FF1879D-122F-4A03-8C45-F42371F8AE6D}" destId="{0B37316F-65D3-4FD1-8452-29658912702E}" srcOrd="0" destOrd="4" presId="urn:microsoft.com/office/officeart/2005/8/layout/list1"/>
    <dgm:cxn modelId="{F947980B-2384-43E6-BE99-B3A7073DC2BD}" type="presOf" srcId="{3FE91976-4873-4B2D-9E5A-E98C9A37CA36}" destId="{C07B9E88-4FCD-4AE0-829B-055DB5ABB0AD}" srcOrd="0" destOrd="0" presId="urn:microsoft.com/office/officeart/2005/8/layout/list1"/>
    <dgm:cxn modelId="{AF476B0C-745F-45B8-A3EF-CC156C8C7B97}" type="presOf" srcId="{8108C18F-D9B8-4C00-B77A-F16F58719D59}" destId="{F6052A10-6AC6-498E-B60B-2032D12FE232}" srcOrd="0" destOrd="1" presId="urn:microsoft.com/office/officeart/2005/8/layout/list1"/>
    <dgm:cxn modelId="{45FE5A0F-480E-4549-846D-9AFA1D4CA866}" type="presOf" srcId="{E73CCB37-F6B9-4241-B16D-375C18F20432}" destId="{F9F577A9-59A5-4FDF-BD98-5374088298A9}" srcOrd="0" destOrd="0" presId="urn:microsoft.com/office/officeart/2005/8/layout/list1"/>
    <dgm:cxn modelId="{439F5912-B976-4D7A-A000-2AA80FFB067F}" type="presOf" srcId="{E73CCB37-F6B9-4241-B16D-375C18F20432}" destId="{4C333F06-96C2-4121-BF54-2F48EE663DBD}" srcOrd="1" destOrd="0" presId="urn:microsoft.com/office/officeart/2005/8/layout/list1"/>
    <dgm:cxn modelId="{3650AA1B-8D75-42BD-B36B-2951934FFF49}" srcId="{3FE91976-4873-4B2D-9E5A-E98C9A37CA36}" destId="{E73CCB37-F6B9-4241-B16D-375C18F20432}" srcOrd="0" destOrd="0" parTransId="{727B43C7-4961-42FB-98F9-2BC48C9BD455}" sibTransId="{D276E2B2-37AD-433F-96CE-71B423886FC3}"/>
    <dgm:cxn modelId="{70B03F22-8A25-493B-A325-7FF0418D4706}" srcId="{E11FE2F2-16D1-4419-8340-2F7E82803D8E}" destId="{CA5B5EFD-F5AE-41BB-BA09-DE99106EAE35}" srcOrd="2" destOrd="0" parTransId="{0B54FD9A-3344-44B1-A1AA-8EA3A16075CF}" sibTransId="{C0145C4A-9D66-44F5-9831-9858F61275D2}"/>
    <dgm:cxn modelId="{606E2826-6275-478A-888A-0BFC74A11FCA}" srcId="{E11FE2F2-16D1-4419-8340-2F7E82803D8E}" destId="{88215141-D2D1-4511-800A-3C59F91183C9}" srcOrd="0" destOrd="0" parTransId="{D3DA8FD7-0F50-4C70-9A8D-C5CFEEB0BC9C}" sibTransId="{1EECEFF8-02BE-4AE7-AA68-662CAC042E4A}"/>
    <dgm:cxn modelId="{F3D75934-3435-487F-9DE4-A298F3CF5595}" type="presOf" srcId="{85968A2B-8392-4AA6-8F6A-EA42182682E9}" destId="{D0AAFD61-000B-4023-9844-F011810196F2}" srcOrd="0" destOrd="1" presId="urn:microsoft.com/office/officeart/2005/8/layout/list1"/>
    <dgm:cxn modelId="{E13FA634-DB62-45D4-9DB6-B0A557A56A16}" type="presOf" srcId="{88215141-D2D1-4511-800A-3C59F91183C9}" destId="{469188E0-64D2-4780-8850-6D9088C37BAE}" srcOrd="0" destOrd="0" presId="urn:microsoft.com/office/officeart/2005/8/layout/list1"/>
    <dgm:cxn modelId="{DB0DE440-A761-4508-A028-4E9DC960C80D}" type="presOf" srcId="{4ED50281-92C7-4DC9-A69E-6A0A5B3C6A98}" destId="{E6626FEC-257D-49F9-A6B2-1E08A5B0840B}" srcOrd="0" destOrd="0" presId="urn:microsoft.com/office/officeart/2005/8/layout/list1"/>
    <dgm:cxn modelId="{335D3863-3D92-4BCC-AA1E-C6DF1B75FC95}" type="presOf" srcId="{4DAF90C9-BF3F-4A5A-8733-4C06E2AF6A09}" destId="{D0AAFD61-000B-4023-9844-F011810196F2}" srcOrd="0" destOrd="0" presId="urn:microsoft.com/office/officeart/2005/8/layout/list1"/>
    <dgm:cxn modelId="{E9BE0A67-05DD-4E54-9CD6-C4770768C371}" type="presOf" srcId="{041C5AE6-F937-4124-8121-0259EA67E87F}" destId="{0B37316F-65D3-4FD1-8452-29658912702E}" srcOrd="0" destOrd="1" presId="urn:microsoft.com/office/officeart/2005/8/layout/list1"/>
    <dgm:cxn modelId="{0B29DE4B-B562-4AD4-B3F5-BE95BA9F4FFE}" srcId="{52F1AA11-EA9D-4F85-90E7-1B977522A6F5}" destId="{A579BD83-0B4B-47C2-84B5-E4E0312F3EBC}" srcOrd="2" destOrd="0" parTransId="{2D462508-7097-4AE7-8DC8-80C59F0B1A39}" sibTransId="{ACF5086E-FCFF-4799-9AE2-166D9EAEDEAB}"/>
    <dgm:cxn modelId="{AAFC5871-E18D-4857-B186-931ED4396846}" srcId="{E73CCB37-F6B9-4241-B16D-375C18F20432}" destId="{8108C18F-D9B8-4C00-B77A-F16F58719D59}" srcOrd="1" destOrd="0" parTransId="{5EEB272C-2308-4A40-8682-C458BFE2E151}" sibTransId="{A4328874-0CB2-40E7-9BC0-396F9F4668C7}"/>
    <dgm:cxn modelId="{58B8B371-DF30-4241-BED7-267313E7AA64}" srcId="{52F1AA11-EA9D-4F85-90E7-1B977522A6F5}" destId="{75B64176-879E-406C-8C38-A9B83D31319B}" srcOrd="0" destOrd="0" parTransId="{650AA5C6-4A4E-443D-B9C9-96674F9948C8}" sibTransId="{F2D043BA-BF3C-4437-9149-D9D0D382090E}"/>
    <dgm:cxn modelId="{93E90472-05C8-40FE-A39F-069C30D133C1}" type="presOf" srcId="{CA5B5EFD-F5AE-41BB-BA09-DE99106EAE35}" destId="{469188E0-64D2-4780-8850-6D9088C37BAE}" srcOrd="0" destOrd="2" presId="urn:microsoft.com/office/officeart/2005/8/layout/list1"/>
    <dgm:cxn modelId="{19AB965A-6541-4FBC-A981-07B9A8209DD3}" type="presOf" srcId="{E11FE2F2-16D1-4419-8340-2F7E82803D8E}" destId="{B1862B9D-06DE-4F0A-BFB7-8C8AE2450D07}" srcOrd="1" destOrd="0" presId="urn:microsoft.com/office/officeart/2005/8/layout/list1"/>
    <dgm:cxn modelId="{7C45EA82-4968-44E3-AF7B-BD4E9053D44C}" type="presOf" srcId="{E11FE2F2-16D1-4419-8340-2F7E82803D8E}" destId="{6982D9B3-A6EE-4CD5-BF94-560CB903E101}" srcOrd="0" destOrd="0" presId="urn:microsoft.com/office/officeart/2005/8/layout/list1"/>
    <dgm:cxn modelId="{8D3F3B84-EF5E-4B2B-B2FA-6DE27CFD2ACE}" type="presOf" srcId="{871DA53A-8A56-42EC-A714-752D07AC0092}" destId="{0B37316F-65D3-4FD1-8452-29658912702E}" srcOrd="0" destOrd="3" presId="urn:microsoft.com/office/officeart/2005/8/layout/list1"/>
    <dgm:cxn modelId="{FD70C38D-4D0C-480E-B071-046CB5820300}" srcId="{4ED50281-92C7-4DC9-A69E-6A0A5B3C6A98}" destId="{85968A2B-8392-4AA6-8F6A-EA42182682E9}" srcOrd="1" destOrd="0" parTransId="{83A02DA4-AED3-4F30-9D07-41B619832300}" sibTransId="{69909BFA-17E2-4D13-99A8-C16A0F0CA9D8}"/>
    <dgm:cxn modelId="{F1657796-2266-4F1E-A1DC-5E327C0B3219}" srcId="{E73CCB37-F6B9-4241-B16D-375C18F20432}" destId="{91624DC0-E41C-47B8-8C6E-D4A494019DE1}" srcOrd="0" destOrd="0" parTransId="{C92DCA16-1B60-4A66-B483-117334AC38DD}" sibTransId="{47FDDD8B-782A-42FA-BD14-90CEBCA2F736}"/>
    <dgm:cxn modelId="{D0ED50A7-7765-433C-A9EB-CE04B32D55B0}" srcId="{52F1AA11-EA9D-4F85-90E7-1B977522A6F5}" destId="{6FF1879D-122F-4A03-8C45-F42371F8AE6D}" srcOrd="4" destOrd="0" parTransId="{014419EF-66D4-4AD3-B651-D74600F672BA}" sibTransId="{F77F4694-FB07-4350-8946-E3CB5ABE6F51}"/>
    <dgm:cxn modelId="{503991A7-86A9-4DA8-9F5F-BD3C7038A999}" type="presOf" srcId="{A579BD83-0B4B-47C2-84B5-E4E0312F3EBC}" destId="{0B37316F-65D3-4FD1-8452-29658912702E}" srcOrd="0" destOrd="2" presId="urn:microsoft.com/office/officeart/2005/8/layout/list1"/>
    <dgm:cxn modelId="{DC7DAEB2-9DFE-4D7C-9039-2EF6F3A4BD86}" srcId="{4ED50281-92C7-4DC9-A69E-6A0A5B3C6A98}" destId="{CFE2EBF1-3BA9-4A6C-ADE5-0863774F23E8}" srcOrd="2" destOrd="0" parTransId="{20E9D5C4-48CA-4F1E-9FB1-802132FEA31A}" sibTransId="{3B34A90D-630F-4D78-81E0-5581C461B406}"/>
    <dgm:cxn modelId="{483940B3-492C-4B85-B2B9-E62E03B4DED5}" srcId="{52F1AA11-EA9D-4F85-90E7-1B977522A6F5}" destId="{871DA53A-8A56-42EC-A714-752D07AC0092}" srcOrd="3" destOrd="0" parTransId="{EB1BA10D-9FD1-4424-8D4B-9FC34CF8398F}" sibTransId="{2B2622A1-1B8C-4C64-9942-DFB104373144}"/>
    <dgm:cxn modelId="{4CED0FB8-E0CA-4BC8-9321-A7C53AC61A13}" srcId="{3FE91976-4873-4B2D-9E5A-E98C9A37CA36}" destId="{E11FE2F2-16D1-4419-8340-2F7E82803D8E}" srcOrd="3" destOrd="0" parTransId="{BCB86646-D8CE-4DA1-97CD-F4585B531544}" sibTransId="{0F50AD59-3951-48A4-9769-FF7F2E9BEDBF}"/>
    <dgm:cxn modelId="{8CF478C1-40E8-4696-8189-007C5A8E0169}" srcId="{E11FE2F2-16D1-4419-8340-2F7E82803D8E}" destId="{A1C39E71-909E-4A19-9AF4-9DFE95113F67}" srcOrd="1" destOrd="0" parTransId="{2B3F037B-CB2B-4184-B1D2-820C74596330}" sibTransId="{13F068AB-8441-4057-A7BB-D1E25FF51A45}"/>
    <dgm:cxn modelId="{11949DC8-D91D-4E11-8543-30A0A1659FF3}" type="presOf" srcId="{4ED50281-92C7-4DC9-A69E-6A0A5B3C6A98}" destId="{3E739C2B-E55A-49E2-8D70-84A905697B25}" srcOrd="1" destOrd="0" presId="urn:microsoft.com/office/officeart/2005/8/layout/list1"/>
    <dgm:cxn modelId="{0579ECCB-4561-471D-A08D-800677B630B4}" type="presOf" srcId="{91624DC0-E41C-47B8-8C6E-D4A494019DE1}" destId="{F6052A10-6AC6-498E-B60B-2032D12FE232}" srcOrd="0" destOrd="0" presId="urn:microsoft.com/office/officeart/2005/8/layout/list1"/>
    <dgm:cxn modelId="{03AE0BCF-7116-41C5-BE77-5EA1796218E4}" type="presOf" srcId="{A1C39E71-909E-4A19-9AF4-9DFE95113F67}" destId="{469188E0-64D2-4780-8850-6D9088C37BAE}" srcOrd="0" destOrd="1" presId="urn:microsoft.com/office/officeart/2005/8/layout/list1"/>
    <dgm:cxn modelId="{94600CD6-E949-4FFB-AB93-0F904E16360D}" type="presOf" srcId="{0C69F6BF-D8F3-4782-AA04-4F07826E8275}" destId="{F6052A10-6AC6-498E-B60B-2032D12FE232}" srcOrd="0" destOrd="2" presId="urn:microsoft.com/office/officeart/2005/8/layout/list1"/>
    <dgm:cxn modelId="{566B1FDF-D7E4-4C45-963D-31B7E88997F3}" type="presOf" srcId="{52F1AA11-EA9D-4F85-90E7-1B977522A6F5}" destId="{EDA1376B-8C09-4F7F-9FBF-C376093F9245}" srcOrd="1" destOrd="0" presId="urn:microsoft.com/office/officeart/2005/8/layout/list1"/>
    <dgm:cxn modelId="{D82BAEE4-9E9C-4F42-96E1-86AE85F14AA4}" srcId="{52F1AA11-EA9D-4F85-90E7-1B977522A6F5}" destId="{041C5AE6-F937-4124-8121-0259EA67E87F}" srcOrd="1" destOrd="0" parTransId="{145E2F36-C0D3-450B-8DBD-7588DB1CDFDB}" sibTransId="{668430E9-8892-4EEA-981D-B3C0625F97B0}"/>
    <dgm:cxn modelId="{78887CE6-56C6-4C67-8BDA-80E8CDB43D85}" srcId="{E73CCB37-F6B9-4241-B16D-375C18F20432}" destId="{0C69F6BF-D8F3-4782-AA04-4F07826E8275}" srcOrd="2" destOrd="0" parTransId="{A1003A77-D3D4-47F3-BB63-4E04AFB5683D}" sibTransId="{C7D6767B-CB36-47C3-B01F-568179066F0C}"/>
    <dgm:cxn modelId="{660C63F3-92B2-4FC8-B563-65D859FFB8B1}" srcId="{4ED50281-92C7-4DC9-A69E-6A0A5B3C6A98}" destId="{4DAF90C9-BF3F-4A5A-8733-4C06E2AF6A09}" srcOrd="0" destOrd="0" parTransId="{6BD9E4ED-94EC-4DDB-B70C-4B41028A9211}" sibTransId="{9F3A9C06-07AE-42CA-A94F-95B4D24A6F13}"/>
    <dgm:cxn modelId="{C5EB9DF7-191D-4436-B7E7-02DF0EC58D98}" type="presOf" srcId="{75B64176-879E-406C-8C38-A9B83D31319B}" destId="{0B37316F-65D3-4FD1-8452-29658912702E}" srcOrd="0" destOrd="0" presId="urn:microsoft.com/office/officeart/2005/8/layout/list1"/>
    <dgm:cxn modelId="{B83FF4F8-1A14-448A-8C94-90D40BE1CD93}" type="presOf" srcId="{CFE2EBF1-3BA9-4A6C-ADE5-0863774F23E8}" destId="{D0AAFD61-000B-4023-9844-F011810196F2}" srcOrd="0" destOrd="2" presId="urn:microsoft.com/office/officeart/2005/8/layout/list1"/>
    <dgm:cxn modelId="{E7D8906C-7EFD-4C4D-8EC7-210839E727BF}" type="presParOf" srcId="{C07B9E88-4FCD-4AE0-829B-055DB5ABB0AD}" destId="{8079BC4E-31FD-4DCF-B215-92A010B6021E}" srcOrd="0" destOrd="0" presId="urn:microsoft.com/office/officeart/2005/8/layout/list1"/>
    <dgm:cxn modelId="{1E143738-D42D-4699-A048-BC5D21384E9E}" type="presParOf" srcId="{8079BC4E-31FD-4DCF-B215-92A010B6021E}" destId="{F9F577A9-59A5-4FDF-BD98-5374088298A9}" srcOrd="0" destOrd="0" presId="urn:microsoft.com/office/officeart/2005/8/layout/list1"/>
    <dgm:cxn modelId="{89B3A8F1-C523-411C-816C-7D08A2FA84D2}" type="presParOf" srcId="{8079BC4E-31FD-4DCF-B215-92A010B6021E}" destId="{4C333F06-96C2-4121-BF54-2F48EE663DBD}" srcOrd="1" destOrd="0" presId="urn:microsoft.com/office/officeart/2005/8/layout/list1"/>
    <dgm:cxn modelId="{149F22D2-140B-4D2C-8941-A70B46315FDE}" type="presParOf" srcId="{C07B9E88-4FCD-4AE0-829B-055DB5ABB0AD}" destId="{38FFD005-ABC1-4F5B-A590-61FA56640CB7}" srcOrd="1" destOrd="0" presId="urn:microsoft.com/office/officeart/2005/8/layout/list1"/>
    <dgm:cxn modelId="{C875C290-1A66-4B48-9A1A-3448443CC3D9}" type="presParOf" srcId="{C07B9E88-4FCD-4AE0-829B-055DB5ABB0AD}" destId="{F6052A10-6AC6-498E-B60B-2032D12FE232}" srcOrd="2" destOrd="0" presId="urn:microsoft.com/office/officeart/2005/8/layout/list1"/>
    <dgm:cxn modelId="{A8A6995D-7064-474F-B620-325BD717D97D}" type="presParOf" srcId="{C07B9E88-4FCD-4AE0-829B-055DB5ABB0AD}" destId="{D0A1A3F6-236E-455B-9C45-540B14413CC2}" srcOrd="3" destOrd="0" presId="urn:microsoft.com/office/officeart/2005/8/layout/list1"/>
    <dgm:cxn modelId="{14DC5B74-6F48-44A7-815D-29BDD898100A}" type="presParOf" srcId="{C07B9E88-4FCD-4AE0-829B-055DB5ABB0AD}" destId="{2B213956-1634-4AAF-A52D-BA003F5256D9}" srcOrd="4" destOrd="0" presId="urn:microsoft.com/office/officeart/2005/8/layout/list1"/>
    <dgm:cxn modelId="{2827F925-E4DD-4A18-B7C1-5D158B0852AA}" type="presParOf" srcId="{2B213956-1634-4AAF-A52D-BA003F5256D9}" destId="{E6626FEC-257D-49F9-A6B2-1E08A5B0840B}" srcOrd="0" destOrd="0" presId="urn:microsoft.com/office/officeart/2005/8/layout/list1"/>
    <dgm:cxn modelId="{E0BBB178-9692-44E3-99E4-7C1B35409DDC}" type="presParOf" srcId="{2B213956-1634-4AAF-A52D-BA003F5256D9}" destId="{3E739C2B-E55A-49E2-8D70-84A905697B25}" srcOrd="1" destOrd="0" presId="urn:microsoft.com/office/officeart/2005/8/layout/list1"/>
    <dgm:cxn modelId="{DD808A6A-45C6-4B16-BF07-47D479139BCB}" type="presParOf" srcId="{C07B9E88-4FCD-4AE0-829B-055DB5ABB0AD}" destId="{B79BE5BD-811D-4D94-9FF4-361D09CCABF9}" srcOrd="5" destOrd="0" presId="urn:microsoft.com/office/officeart/2005/8/layout/list1"/>
    <dgm:cxn modelId="{D6020770-5E75-4DF7-B96A-4AD272C3D173}" type="presParOf" srcId="{C07B9E88-4FCD-4AE0-829B-055DB5ABB0AD}" destId="{D0AAFD61-000B-4023-9844-F011810196F2}" srcOrd="6" destOrd="0" presId="urn:microsoft.com/office/officeart/2005/8/layout/list1"/>
    <dgm:cxn modelId="{4126D744-ECB9-49E6-B3B3-D0BF39C100AD}" type="presParOf" srcId="{C07B9E88-4FCD-4AE0-829B-055DB5ABB0AD}" destId="{B78F8668-FF41-474B-AA54-B9FDFE6927DA}" srcOrd="7" destOrd="0" presId="urn:microsoft.com/office/officeart/2005/8/layout/list1"/>
    <dgm:cxn modelId="{50A777AC-53C0-4FCB-9F50-8C84ACBDAC20}" type="presParOf" srcId="{C07B9E88-4FCD-4AE0-829B-055DB5ABB0AD}" destId="{946537FA-0422-4675-8E39-87E331365C88}" srcOrd="8" destOrd="0" presId="urn:microsoft.com/office/officeart/2005/8/layout/list1"/>
    <dgm:cxn modelId="{AB618E98-159D-4876-B546-E5330D949203}" type="presParOf" srcId="{946537FA-0422-4675-8E39-87E331365C88}" destId="{783FC259-C062-43E4-A5EB-7E5A3DE47544}" srcOrd="0" destOrd="0" presId="urn:microsoft.com/office/officeart/2005/8/layout/list1"/>
    <dgm:cxn modelId="{6B8FC575-3778-425F-BBCB-90D5FBDCCAF4}" type="presParOf" srcId="{946537FA-0422-4675-8E39-87E331365C88}" destId="{EDA1376B-8C09-4F7F-9FBF-C376093F9245}" srcOrd="1" destOrd="0" presId="urn:microsoft.com/office/officeart/2005/8/layout/list1"/>
    <dgm:cxn modelId="{D9E4D4CF-E1FA-49F4-A77D-9A912E817886}" type="presParOf" srcId="{C07B9E88-4FCD-4AE0-829B-055DB5ABB0AD}" destId="{4B48E65A-0166-4FD0-950F-947E239EBD13}" srcOrd="9" destOrd="0" presId="urn:microsoft.com/office/officeart/2005/8/layout/list1"/>
    <dgm:cxn modelId="{C70EA0DF-9F2B-4AE9-AFDA-5E79E3379927}" type="presParOf" srcId="{C07B9E88-4FCD-4AE0-829B-055DB5ABB0AD}" destId="{0B37316F-65D3-4FD1-8452-29658912702E}" srcOrd="10" destOrd="0" presId="urn:microsoft.com/office/officeart/2005/8/layout/list1"/>
    <dgm:cxn modelId="{51F2382D-DE5D-4125-A8E4-0A3403674C1E}" type="presParOf" srcId="{C07B9E88-4FCD-4AE0-829B-055DB5ABB0AD}" destId="{AE4D3095-FB9E-431C-9CAD-08802BE31E25}" srcOrd="11" destOrd="0" presId="urn:microsoft.com/office/officeart/2005/8/layout/list1"/>
    <dgm:cxn modelId="{CCE54CB2-4701-4748-97DB-70EC18FC1177}" type="presParOf" srcId="{C07B9E88-4FCD-4AE0-829B-055DB5ABB0AD}" destId="{7DB6DF78-F823-4658-929B-284397132FA9}" srcOrd="12" destOrd="0" presId="urn:microsoft.com/office/officeart/2005/8/layout/list1"/>
    <dgm:cxn modelId="{87C3C65B-01EF-4B01-B9AB-7ADACC1A2DBE}" type="presParOf" srcId="{7DB6DF78-F823-4658-929B-284397132FA9}" destId="{6982D9B3-A6EE-4CD5-BF94-560CB903E101}" srcOrd="0" destOrd="0" presId="urn:microsoft.com/office/officeart/2005/8/layout/list1"/>
    <dgm:cxn modelId="{950B46B2-6E95-4B7D-87BC-2328526C4B47}" type="presParOf" srcId="{7DB6DF78-F823-4658-929B-284397132FA9}" destId="{B1862B9D-06DE-4F0A-BFB7-8C8AE2450D07}" srcOrd="1" destOrd="0" presId="urn:microsoft.com/office/officeart/2005/8/layout/list1"/>
    <dgm:cxn modelId="{E7ACBCC9-3A1C-4369-9D93-C0ABBAC64B45}" type="presParOf" srcId="{C07B9E88-4FCD-4AE0-829B-055DB5ABB0AD}" destId="{878AF7ED-F4F0-4D84-9270-9865DDAC0CA9}" srcOrd="13" destOrd="0" presId="urn:microsoft.com/office/officeart/2005/8/layout/list1"/>
    <dgm:cxn modelId="{06674FEA-9F4E-471D-8D5C-BCC488FC7227}" type="presParOf" srcId="{C07B9E88-4FCD-4AE0-829B-055DB5ABB0AD}" destId="{469188E0-64D2-4780-8850-6D9088C37BAE}" srcOrd="14" destOrd="0" presId="urn:microsoft.com/office/officeart/2005/8/layout/list1"/>
  </dgm:cxnLst>
  <dgm:bg/>
  <dgm:whole/>
  <dgm:extLst>
    <a:ext uri="http://schemas.microsoft.com/office/drawing/2008/diagram">
      <dsp:dataModelExt xmlns:dsp="http://schemas.microsoft.com/office/drawing/2008/diagram" relId="rId1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A26B94E-1DBB-481B-A318-B85E658D91EE}" type="doc">
      <dgm:prSet loTypeId="urn:microsoft.com/office/officeart/2005/8/layout/vList2" loCatId="list" qsTypeId="urn:microsoft.com/office/officeart/2005/8/quickstyle/simple1" qsCatId="simple" csTypeId="urn:microsoft.com/office/officeart/2005/8/colors/colorful1" csCatId="colorful" phldr="1"/>
      <dgm:spPr/>
      <dgm:t>
        <a:bodyPr/>
        <a:lstStyle/>
        <a:p>
          <a:endParaRPr lang="en-GB"/>
        </a:p>
      </dgm:t>
    </dgm:pt>
    <dgm:pt modelId="{9A3C430E-7789-4C0F-B8EE-CE45DF674C5A}">
      <dgm:prSet phldrT="[Text]" custT="1"/>
      <dgm:spPr/>
      <dgm:t>
        <a:bodyPr/>
        <a:lstStyle/>
        <a:p>
          <a:pPr algn="l"/>
          <a:r>
            <a:rPr lang="en-GB" sz="1400">
              <a:latin typeface="Arial" panose="020B0604020202020204" pitchFamily="34" charset="0"/>
              <a:cs typeface="Arial" panose="020B0604020202020204" pitchFamily="34" charset="0"/>
            </a:rPr>
            <a:t>Systems and processes to support good outcomes</a:t>
          </a:r>
        </a:p>
      </dgm:t>
    </dgm:pt>
    <dgm:pt modelId="{2C87C384-056E-4808-8B7A-C6080A208315}" type="parTrans" cxnId="{D473CB8A-2D65-483C-B546-42778DD34B41}">
      <dgm:prSet/>
      <dgm:spPr/>
      <dgm:t>
        <a:bodyPr/>
        <a:lstStyle/>
        <a:p>
          <a:endParaRPr lang="en-GB" sz="1400">
            <a:latin typeface="Arial" panose="020B0604020202020204" pitchFamily="34" charset="0"/>
            <a:cs typeface="Arial" panose="020B0604020202020204" pitchFamily="34" charset="0"/>
          </a:endParaRPr>
        </a:p>
      </dgm:t>
    </dgm:pt>
    <dgm:pt modelId="{9BAEFB29-833C-4325-848D-5452031BDB88}" type="sibTrans" cxnId="{D473CB8A-2D65-483C-B546-42778DD34B41}">
      <dgm:prSet/>
      <dgm:spPr/>
      <dgm:t>
        <a:bodyPr/>
        <a:lstStyle/>
        <a:p>
          <a:endParaRPr lang="en-GB" sz="1400">
            <a:latin typeface="Arial" panose="020B0604020202020204" pitchFamily="34" charset="0"/>
            <a:cs typeface="Arial" panose="020B0604020202020204" pitchFamily="34" charset="0"/>
          </a:endParaRPr>
        </a:p>
      </dgm:t>
    </dgm:pt>
    <dgm:pt modelId="{42D42741-6402-465C-97D0-AF7F20BC7C75}">
      <dgm:prSet phldrT="[Text]" custT="1"/>
      <dgm:spPr/>
      <dgm:t>
        <a:bodyPr/>
        <a:lstStyle/>
        <a:p>
          <a:pPr algn="l">
            <a:buNone/>
          </a:pPr>
          <a:r>
            <a:rPr lang="en-GB" sz="1400">
              <a:latin typeface="Arial" panose="020B0604020202020204" pitchFamily="34" charset="0"/>
              <a:cs typeface="Arial" panose="020B0604020202020204" pitchFamily="34" charset="0"/>
            </a:rPr>
            <a:t>Employment</a:t>
          </a:r>
        </a:p>
      </dgm:t>
    </dgm:pt>
    <dgm:pt modelId="{FDF0306B-5F99-4B50-81FB-60C71E48E8BA}" type="parTrans" cxnId="{2DF639DE-AD8C-47AA-9D4B-0208A6D01E93}">
      <dgm:prSet/>
      <dgm:spPr/>
      <dgm:t>
        <a:bodyPr/>
        <a:lstStyle/>
        <a:p>
          <a:endParaRPr lang="en-GB" sz="1400">
            <a:latin typeface="Arial" panose="020B0604020202020204" pitchFamily="34" charset="0"/>
            <a:cs typeface="Arial" panose="020B0604020202020204" pitchFamily="34" charset="0"/>
          </a:endParaRPr>
        </a:p>
      </dgm:t>
    </dgm:pt>
    <dgm:pt modelId="{5314A511-C942-4136-A844-7307A4EA70C3}" type="sibTrans" cxnId="{2DF639DE-AD8C-47AA-9D4B-0208A6D01E93}">
      <dgm:prSet/>
      <dgm:spPr/>
      <dgm:t>
        <a:bodyPr/>
        <a:lstStyle/>
        <a:p>
          <a:endParaRPr lang="en-GB" sz="1400">
            <a:latin typeface="Arial" panose="020B0604020202020204" pitchFamily="34" charset="0"/>
            <a:cs typeface="Arial" panose="020B0604020202020204" pitchFamily="34" charset="0"/>
          </a:endParaRPr>
        </a:p>
      </dgm:t>
    </dgm:pt>
    <dgm:pt modelId="{1936B1EF-A13F-4B57-A5AF-A8409698DB89}">
      <dgm:prSet phldrT="[Text]" custT="1"/>
      <dgm:spPr/>
      <dgm:t>
        <a:bodyPr/>
        <a:lstStyle/>
        <a:p>
          <a:pPr algn="l">
            <a:buNone/>
          </a:pPr>
          <a:r>
            <a:rPr lang="en-GB" sz="1400">
              <a:latin typeface="Arial" panose="020B0604020202020204" pitchFamily="34" charset="0"/>
              <a:cs typeface="Arial" panose="020B0604020202020204" pitchFamily="34" charset="0"/>
            </a:rPr>
            <a:t>Friends and community inclusion</a:t>
          </a:r>
        </a:p>
      </dgm:t>
    </dgm:pt>
    <dgm:pt modelId="{6390DD81-B7E3-43CF-98F6-E5628E0A6FA2}" type="parTrans" cxnId="{87D74499-49DE-4F42-A5B7-9FCA8C1F728F}">
      <dgm:prSet/>
      <dgm:spPr/>
      <dgm:t>
        <a:bodyPr/>
        <a:lstStyle/>
        <a:p>
          <a:endParaRPr lang="en-GB" sz="1400">
            <a:latin typeface="Arial" panose="020B0604020202020204" pitchFamily="34" charset="0"/>
            <a:cs typeface="Arial" panose="020B0604020202020204" pitchFamily="34" charset="0"/>
          </a:endParaRPr>
        </a:p>
      </dgm:t>
    </dgm:pt>
    <dgm:pt modelId="{32B18D49-9255-4DDE-91DF-9D8620FA99CB}" type="sibTrans" cxnId="{87D74499-49DE-4F42-A5B7-9FCA8C1F728F}">
      <dgm:prSet/>
      <dgm:spPr/>
      <dgm:t>
        <a:bodyPr/>
        <a:lstStyle/>
        <a:p>
          <a:endParaRPr lang="en-GB" sz="1400">
            <a:latin typeface="Arial" panose="020B0604020202020204" pitchFamily="34" charset="0"/>
            <a:cs typeface="Arial" panose="020B0604020202020204" pitchFamily="34" charset="0"/>
          </a:endParaRPr>
        </a:p>
      </dgm:t>
    </dgm:pt>
    <dgm:pt modelId="{868545CE-DD21-401C-96F5-2995DE5B32C2}">
      <dgm:prSet custT="1"/>
      <dgm:spPr/>
      <dgm:t>
        <a:bodyPr/>
        <a:lstStyle/>
        <a:p>
          <a:pPr algn="l"/>
          <a:r>
            <a:rPr lang="en-GB" sz="1400">
              <a:latin typeface="Arial" panose="020B0604020202020204" pitchFamily="34" charset="0"/>
              <a:cs typeface="Arial" panose="020B0604020202020204" pitchFamily="34" charset="0"/>
            </a:rPr>
            <a:t>Co-production</a:t>
          </a:r>
        </a:p>
      </dgm:t>
    </dgm:pt>
    <dgm:pt modelId="{1E92A864-33CE-4A8E-86FF-31253F67100B}" type="parTrans" cxnId="{1BDCA5F5-DF6D-4AE4-BFB4-A50366A01694}">
      <dgm:prSet/>
      <dgm:spPr/>
      <dgm:t>
        <a:bodyPr/>
        <a:lstStyle/>
        <a:p>
          <a:endParaRPr lang="en-GB" sz="1400">
            <a:latin typeface="Arial" panose="020B0604020202020204" pitchFamily="34" charset="0"/>
            <a:cs typeface="Arial" panose="020B0604020202020204" pitchFamily="34" charset="0"/>
          </a:endParaRPr>
        </a:p>
      </dgm:t>
    </dgm:pt>
    <dgm:pt modelId="{BB884F26-81C3-48B0-A17B-6FF91F175EAD}" type="sibTrans" cxnId="{1BDCA5F5-DF6D-4AE4-BFB4-A50366A01694}">
      <dgm:prSet/>
      <dgm:spPr/>
      <dgm:t>
        <a:bodyPr/>
        <a:lstStyle/>
        <a:p>
          <a:endParaRPr lang="en-GB" sz="1400">
            <a:latin typeface="Arial" panose="020B0604020202020204" pitchFamily="34" charset="0"/>
            <a:cs typeface="Arial" panose="020B0604020202020204" pitchFamily="34" charset="0"/>
          </a:endParaRPr>
        </a:p>
      </dgm:t>
    </dgm:pt>
    <dgm:pt modelId="{0F242F0C-3F23-4A88-8FB4-96396625FE1E}">
      <dgm:prSet custT="1"/>
      <dgm:spPr/>
      <dgm:t>
        <a:bodyPr/>
        <a:lstStyle/>
        <a:p>
          <a:pPr algn="l"/>
          <a:r>
            <a:rPr lang="en-GB" sz="1400">
              <a:latin typeface="Arial" panose="020B0604020202020204" pitchFamily="34" charset="0"/>
              <a:cs typeface="Arial" panose="020B0604020202020204" pitchFamily="34" charset="0"/>
            </a:rPr>
            <a:t>Information and communication</a:t>
          </a:r>
        </a:p>
      </dgm:t>
    </dgm:pt>
    <dgm:pt modelId="{69E9E691-4710-4F5C-B396-8C4A2CA66F42}" type="parTrans" cxnId="{7ED04B2F-14AE-4F40-93F9-E55C2ADBF47D}">
      <dgm:prSet/>
      <dgm:spPr/>
      <dgm:t>
        <a:bodyPr/>
        <a:lstStyle/>
        <a:p>
          <a:endParaRPr lang="en-GB" sz="1400">
            <a:latin typeface="Arial" panose="020B0604020202020204" pitchFamily="34" charset="0"/>
            <a:cs typeface="Arial" panose="020B0604020202020204" pitchFamily="34" charset="0"/>
          </a:endParaRPr>
        </a:p>
      </dgm:t>
    </dgm:pt>
    <dgm:pt modelId="{5B7905AA-B20F-4DE7-94FC-B713AAF59754}" type="sibTrans" cxnId="{7ED04B2F-14AE-4F40-93F9-E55C2ADBF47D}">
      <dgm:prSet/>
      <dgm:spPr/>
      <dgm:t>
        <a:bodyPr/>
        <a:lstStyle/>
        <a:p>
          <a:endParaRPr lang="en-GB" sz="1400">
            <a:latin typeface="Arial" panose="020B0604020202020204" pitchFamily="34" charset="0"/>
            <a:cs typeface="Arial" panose="020B0604020202020204" pitchFamily="34" charset="0"/>
          </a:endParaRPr>
        </a:p>
      </dgm:t>
    </dgm:pt>
    <dgm:pt modelId="{BFE2C855-8F65-429E-8663-C79BA88E991A}">
      <dgm:prSet custT="1"/>
      <dgm:spPr/>
      <dgm:t>
        <a:bodyPr/>
        <a:lstStyle/>
        <a:p>
          <a:pPr algn="l"/>
          <a:r>
            <a:rPr lang="en-GB" sz="1400">
              <a:latin typeface="Arial" panose="020B0604020202020204" pitchFamily="34" charset="0"/>
              <a:cs typeface="Arial" panose="020B0604020202020204" pitchFamily="34" charset="0"/>
            </a:rPr>
            <a:t>Education</a:t>
          </a:r>
        </a:p>
      </dgm:t>
    </dgm:pt>
    <dgm:pt modelId="{DEEF28EE-B96C-460D-981E-E1BCE6A94430}" type="parTrans" cxnId="{FE5EFA8D-9B4D-4645-AD9E-63D656208AB2}">
      <dgm:prSet/>
      <dgm:spPr/>
      <dgm:t>
        <a:bodyPr/>
        <a:lstStyle/>
        <a:p>
          <a:endParaRPr lang="en-GB" sz="1400">
            <a:latin typeface="Arial" panose="020B0604020202020204" pitchFamily="34" charset="0"/>
            <a:cs typeface="Arial" panose="020B0604020202020204" pitchFamily="34" charset="0"/>
          </a:endParaRPr>
        </a:p>
      </dgm:t>
    </dgm:pt>
    <dgm:pt modelId="{354A3A79-2A04-4160-A9B8-073D49DE1995}" type="sibTrans" cxnId="{FE5EFA8D-9B4D-4645-AD9E-63D656208AB2}">
      <dgm:prSet/>
      <dgm:spPr/>
      <dgm:t>
        <a:bodyPr/>
        <a:lstStyle/>
        <a:p>
          <a:endParaRPr lang="en-GB" sz="1400">
            <a:latin typeface="Arial" panose="020B0604020202020204" pitchFamily="34" charset="0"/>
            <a:cs typeface="Arial" panose="020B0604020202020204" pitchFamily="34" charset="0"/>
          </a:endParaRPr>
        </a:p>
      </dgm:t>
    </dgm:pt>
    <dgm:pt modelId="{D016C10C-CB72-4129-B471-82E20F55AE7B}">
      <dgm:prSet custT="1"/>
      <dgm:spPr/>
      <dgm:t>
        <a:bodyPr/>
        <a:lstStyle/>
        <a:p>
          <a:r>
            <a:rPr lang="en-GB" sz="1400">
              <a:latin typeface="Arial" panose="020B0604020202020204" pitchFamily="34" charset="0"/>
              <a:cs typeface="Arial" panose="020B0604020202020204" pitchFamily="34" charset="0"/>
            </a:rPr>
            <a:t>Health</a:t>
          </a:r>
        </a:p>
      </dgm:t>
    </dgm:pt>
    <dgm:pt modelId="{8BC8B9E5-A656-4204-B170-629D9FBBDA88}" type="parTrans" cxnId="{5269B257-9467-4EA1-89FA-34DACBBEABC1}">
      <dgm:prSet/>
      <dgm:spPr/>
      <dgm:t>
        <a:bodyPr/>
        <a:lstStyle/>
        <a:p>
          <a:endParaRPr lang="en-GB" sz="1400">
            <a:latin typeface="Arial" panose="020B0604020202020204" pitchFamily="34" charset="0"/>
            <a:cs typeface="Arial" panose="020B0604020202020204" pitchFamily="34" charset="0"/>
          </a:endParaRPr>
        </a:p>
      </dgm:t>
    </dgm:pt>
    <dgm:pt modelId="{E0B6E0AF-EF7C-4161-B8A2-18DBDBF95984}" type="sibTrans" cxnId="{5269B257-9467-4EA1-89FA-34DACBBEABC1}">
      <dgm:prSet/>
      <dgm:spPr/>
      <dgm:t>
        <a:bodyPr/>
        <a:lstStyle/>
        <a:p>
          <a:endParaRPr lang="en-GB" sz="1400">
            <a:latin typeface="Arial" panose="020B0604020202020204" pitchFamily="34" charset="0"/>
            <a:cs typeface="Arial" panose="020B0604020202020204" pitchFamily="34" charset="0"/>
          </a:endParaRPr>
        </a:p>
      </dgm:t>
    </dgm:pt>
    <dgm:pt modelId="{C29C0FC9-8675-4C4C-924F-F6BCE8452C01}">
      <dgm:prSet custT="1"/>
      <dgm:spPr/>
      <dgm:t>
        <a:bodyPr/>
        <a:lstStyle/>
        <a:p>
          <a:r>
            <a:rPr lang="en-GB" sz="1400">
              <a:latin typeface="Arial" panose="020B0604020202020204" pitchFamily="34" charset="0"/>
              <a:cs typeface="Arial" panose="020B0604020202020204" pitchFamily="34" charset="0"/>
            </a:rPr>
            <a:t>Independent living</a:t>
          </a:r>
        </a:p>
      </dgm:t>
    </dgm:pt>
    <dgm:pt modelId="{33BB30AE-FB6A-4061-87D1-23A5C9789E32}" type="parTrans" cxnId="{B768568C-FCED-474C-BDC2-81DD3C573DFA}">
      <dgm:prSet/>
      <dgm:spPr/>
      <dgm:t>
        <a:bodyPr/>
        <a:lstStyle/>
        <a:p>
          <a:endParaRPr lang="en-GB" sz="1400">
            <a:latin typeface="Arial" panose="020B0604020202020204" pitchFamily="34" charset="0"/>
            <a:cs typeface="Arial" panose="020B0604020202020204" pitchFamily="34" charset="0"/>
          </a:endParaRPr>
        </a:p>
      </dgm:t>
    </dgm:pt>
    <dgm:pt modelId="{32754B66-56AA-46FB-A0D9-1228D941A086}" type="sibTrans" cxnId="{B768568C-FCED-474C-BDC2-81DD3C573DFA}">
      <dgm:prSet/>
      <dgm:spPr/>
      <dgm:t>
        <a:bodyPr/>
        <a:lstStyle/>
        <a:p>
          <a:endParaRPr lang="en-GB" sz="1400">
            <a:latin typeface="Arial" panose="020B0604020202020204" pitchFamily="34" charset="0"/>
            <a:cs typeface="Arial" panose="020B0604020202020204" pitchFamily="34" charset="0"/>
          </a:endParaRPr>
        </a:p>
      </dgm:t>
    </dgm:pt>
    <dgm:pt modelId="{810741A0-E65D-4F92-859B-62643FD40AB3}">
      <dgm:prSet custT="1"/>
      <dgm:spPr/>
      <dgm:t>
        <a:bodyPr/>
        <a:lstStyle/>
        <a:p>
          <a:r>
            <a:rPr lang="en-GB" sz="1400">
              <a:latin typeface="Arial" panose="020B0604020202020204" pitchFamily="34" charset="0"/>
              <a:cs typeface="Arial" panose="020B0604020202020204" pitchFamily="34" charset="0"/>
            </a:rPr>
            <a:t>Transitional safeguarding</a:t>
          </a:r>
        </a:p>
      </dgm:t>
    </dgm:pt>
    <dgm:pt modelId="{47A9A11E-3B38-44BB-99A6-874A1703A6D9}" type="parTrans" cxnId="{BB5DDD02-7285-4D98-ADFC-A98FCE3F75B2}">
      <dgm:prSet/>
      <dgm:spPr/>
      <dgm:t>
        <a:bodyPr/>
        <a:lstStyle/>
        <a:p>
          <a:endParaRPr lang="en-GB" sz="1400">
            <a:latin typeface="Arial" panose="020B0604020202020204" pitchFamily="34" charset="0"/>
            <a:cs typeface="Arial" panose="020B0604020202020204" pitchFamily="34" charset="0"/>
          </a:endParaRPr>
        </a:p>
      </dgm:t>
    </dgm:pt>
    <dgm:pt modelId="{EC2460F5-C921-4ACE-A2FC-B93DD0E0F7D5}" type="sibTrans" cxnId="{BB5DDD02-7285-4D98-ADFC-A98FCE3F75B2}">
      <dgm:prSet/>
      <dgm:spPr/>
      <dgm:t>
        <a:bodyPr/>
        <a:lstStyle/>
        <a:p>
          <a:endParaRPr lang="en-GB" sz="1400">
            <a:latin typeface="Arial" panose="020B0604020202020204" pitchFamily="34" charset="0"/>
            <a:cs typeface="Arial" panose="020B0604020202020204" pitchFamily="34" charset="0"/>
          </a:endParaRPr>
        </a:p>
      </dgm:t>
    </dgm:pt>
    <dgm:pt modelId="{5CF2EE6E-E952-4058-87EC-DF9F70D357B2}" type="pres">
      <dgm:prSet presAssocID="{4A26B94E-1DBB-481B-A318-B85E658D91EE}" presName="linear" presStyleCnt="0">
        <dgm:presLayoutVars>
          <dgm:animLvl val="lvl"/>
          <dgm:resizeHandles val="exact"/>
        </dgm:presLayoutVars>
      </dgm:prSet>
      <dgm:spPr/>
    </dgm:pt>
    <dgm:pt modelId="{5B476028-E8C7-4E5E-A446-9148FDA89F14}" type="pres">
      <dgm:prSet presAssocID="{868545CE-DD21-401C-96F5-2995DE5B32C2}" presName="parentText" presStyleLbl="node1" presStyleIdx="0" presStyleCnt="9">
        <dgm:presLayoutVars>
          <dgm:chMax val="0"/>
          <dgm:bulletEnabled val="1"/>
        </dgm:presLayoutVars>
      </dgm:prSet>
      <dgm:spPr/>
    </dgm:pt>
    <dgm:pt modelId="{2E7B99C1-285A-4942-918E-1D3CDCA9CA32}" type="pres">
      <dgm:prSet presAssocID="{BB884F26-81C3-48B0-A17B-6FF91F175EAD}" presName="spacer" presStyleCnt="0"/>
      <dgm:spPr/>
    </dgm:pt>
    <dgm:pt modelId="{2989F57B-1ACF-4AC2-970E-D5C1173C8D17}" type="pres">
      <dgm:prSet presAssocID="{0F242F0C-3F23-4A88-8FB4-96396625FE1E}" presName="parentText" presStyleLbl="node1" presStyleIdx="1" presStyleCnt="9">
        <dgm:presLayoutVars>
          <dgm:chMax val="0"/>
          <dgm:bulletEnabled val="1"/>
        </dgm:presLayoutVars>
      </dgm:prSet>
      <dgm:spPr/>
    </dgm:pt>
    <dgm:pt modelId="{F5EE8524-B11B-45A5-8F10-D2734D44681A}" type="pres">
      <dgm:prSet presAssocID="{5B7905AA-B20F-4DE7-94FC-B713AAF59754}" presName="spacer" presStyleCnt="0"/>
      <dgm:spPr/>
    </dgm:pt>
    <dgm:pt modelId="{1028C968-9378-4E9C-AC5F-F15AEBE9FBDA}" type="pres">
      <dgm:prSet presAssocID="{9A3C430E-7789-4C0F-B8EE-CE45DF674C5A}" presName="parentText" presStyleLbl="node1" presStyleIdx="2" presStyleCnt="9">
        <dgm:presLayoutVars>
          <dgm:chMax val="0"/>
          <dgm:bulletEnabled val="1"/>
        </dgm:presLayoutVars>
      </dgm:prSet>
      <dgm:spPr/>
    </dgm:pt>
    <dgm:pt modelId="{AF4E099C-381D-4DC2-8DE2-FDDD6E841A15}" type="pres">
      <dgm:prSet presAssocID="{9BAEFB29-833C-4325-848D-5452031BDB88}" presName="spacer" presStyleCnt="0"/>
      <dgm:spPr/>
    </dgm:pt>
    <dgm:pt modelId="{AF0CD276-955C-402E-8CC9-1C9899476986}" type="pres">
      <dgm:prSet presAssocID="{BFE2C855-8F65-429E-8663-C79BA88E991A}" presName="parentText" presStyleLbl="node1" presStyleIdx="3" presStyleCnt="9">
        <dgm:presLayoutVars>
          <dgm:chMax val="0"/>
          <dgm:bulletEnabled val="1"/>
        </dgm:presLayoutVars>
      </dgm:prSet>
      <dgm:spPr/>
    </dgm:pt>
    <dgm:pt modelId="{CB200399-02FB-4328-8146-5F2C4824AB0D}" type="pres">
      <dgm:prSet presAssocID="{354A3A79-2A04-4160-A9B8-073D49DE1995}" presName="spacer" presStyleCnt="0"/>
      <dgm:spPr/>
    </dgm:pt>
    <dgm:pt modelId="{CCD9440C-8849-4055-A226-EA3A8672D9C1}" type="pres">
      <dgm:prSet presAssocID="{42D42741-6402-465C-97D0-AF7F20BC7C75}" presName="parentText" presStyleLbl="node1" presStyleIdx="4" presStyleCnt="9">
        <dgm:presLayoutVars>
          <dgm:chMax val="0"/>
          <dgm:bulletEnabled val="1"/>
        </dgm:presLayoutVars>
      </dgm:prSet>
      <dgm:spPr/>
    </dgm:pt>
    <dgm:pt modelId="{A14EA38E-E2BF-4D14-B41F-1F815A528399}" type="pres">
      <dgm:prSet presAssocID="{5314A511-C942-4136-A844-7307A4EA70C3}" presName="spacer" presStyleCnt="0"/>
      <dgm:spPr/>
    </dgm:pt>
    <dgm:pt modelId="{95405012-1F91-4FFD-AC34-CD1B520DF98E}" type="pres">
      <dgm:prSet presAssocID="{1936B1EF-A13F-4B57-A5AF-A8409698DB89}" presName="parentText" presStyleLbl="node1" presStyleIdx="5" presStyleCnt="9">
        <dgm:presLayoutVars>
          <dgm:chMax val="0"/>
          <dgm:bulletEnabled val="1"/>
        </dgm:presLayoutVars>
      </dgm:prSet>
      <dgm:spPr/>
    </dgm:pt>
    <dgm:pt modelId="{0A6AC9EB-5A1B-4F81-B7A2-A6C2EFB37B6E}" type="pres">
      <dgm:prSet presAssocID="{32B18D49-9255-4DDE-91DF-9D8620FA99CB}" presName="spacer" presStyleCnt="0"/>
      <dgm:spPr/>
    </dgm:pt>
    <dgm:pt modelId="{301E668F-EDE0-44DD-94D5-BD7EC3DFDF9C}" type="pres">
      <dgm:prSet presAssocID="{D016C10C-CB72-4129-B471-82E20F55AE7B}" presName="parentText" presStyleLbl="node1" presStyleIdx="6" presStyleCnt="9">
        <dgm:presLayoutVars>
          <dgm:chMax val="0"/>
          <dgm:bulletEnabled val="1"/>
        </dgm:presLayoutVars>
      </dgm:prSet>
      <dgm:spPr/>
    </dgm:pt>
    <dgm:pt modelId="{85BF14C6-87AA-4285-998B-EB43D432C44B}" type="pres">
      <dgm:prSet presAssocID="{E0B6E0AF-EF7C-4161-B8A2-18DBDBF95984}" presName="spacer" presStyleCnt="0"/>
      <dgm:spPr/>
    </dgm:pt>
    <dgm:pt modelId="{0EB89AA4-FDDE-4CBE-8398-F21020A8523D}" type="pres">
      <dgm:prSet presAssocID="{C29C0FC9-8675-4C4C-924F-F6BCE8452C01}" presName="parentText" presStyleLbl="node1" presStyleIdx="7" presStyleCnt="9">
        <dgm:presLayoutVars>
          <dgm:chMax val="0"/>
          <dgm:bulletEnabled val="1"/>
        </dgm:presLayoutVars>
      </dgm:prSet>
      <dgm:spPr/>
    </dgm:pt>
    <dgm:pt modelId="{8ED16E53-212F-427A-86AA-EC7B9FA6A8D0}" type="pres">
      <dgm:prSet presAssocID="{32754B66-56AA-46FB-A0D9-1228D941A086}" presName="spacer" presStyleCnt="0"/>
      <dgm:spPr/>
    </dgm:pt>
    <dgm:pt modelId="{C7498679-E606-406A-8026-585EE0C3FDE1}" type="pres">
      <dgm:prSet presAssocID="{810741A0-E65D-4F92-859B-62643FD40AB3}" presName="parentText" presStyleLbl="node1" presStyleIdx="8" presStyleCnt="9">
        <dgm:presLayoutVars>
          <dgm:chMax val="0"/>
          <dgm:bulletEnabled val="1"/>
        </dgm:presLayoutVars>
      </dgm:prSet>
      <dgm:spPr/>
    </dgm:pt>
  </dgm:ptLst>
  <dgm:cxnLst>
    <dgm:cxn modelId="{BB5DDD02-7285-4D98-ADFC-A98FCE3F75B2}" srcId="{4A26B94E-1DBB-481B-A318-B85E658D91EE}" destId="{810741A0-E65D-4F92-859B-62643FD40AB3}" srcOrd="8" destOrd="0" parTransId="{47A9A11E-3B38-44BB-99A6-874A1703A6D9}" sibTransId="{EC2460F5-C921-4ACE-A2FC-B93DD0E0F7D5}"/>
    <dgm:cxn modelId="{7ED04B2F-14AE-4F40-93F9-E55C2ADBF47D}" srcId="{4A26B94E-1DBB-481B-A318-B85E658D91EE}" destId="{0F242F0C-3F23-4A88-8FB4-96396625FE1E}" srcOrd="1" destOrd="0" parTransId="{69E9E691-4710-4F5C-B396-8C4A2CA66F42}" sibTransId="{5B7905AA-B20F-4DE7-94FC-B713AAF59754}"/>
    <dgm:cxn modelId="{FF98964D-715A-4610-8DD3-D74B58AD79D9}" type="presOf" srcId="{D016C10C-CB72-4129-B471-82E20F55AE7B}" destId="{301E668F-EDE0-44DD-94D5-BD7EC3DFDF9C}" srcOrd="0" destOrd="0" presId="urn:microsoft.com/office/officeart/2005/8/layout/vList2"/>
    <dgm:cxn modelId="{CBCE676F-ADBA-48C4-AC72-7EF24555D5F2}" type="presOf" srcId="{42D42741-6402-465C-97D0-AF7F20BC7C75}" destId="{CCD9440C-8849-4055-A226-EA3A8672D9C1}" srcOrd="0" destOrd="0" presId="urn:microsoft.com/office/officeart/2005/8/layout/vList2"/>
    <dgm:cxn modelId="{5269B257-9467-4EA1-89FA-34DACBBEABC1}" srcId="{4A26B94E-1DBB-481B-A318-B85E658D91EE}" destId="{D016C10C-CB72-4129-B471-82E20F55AE7B}" srcOrd="6" destOrd="0" parTransId="{8BC8B9E5-A656-4204-B170-629D9FBBDA88}" sibTransId="{E0B6E0AF-EF7C-4161-B8A2-18DBDBF95984}"/>
    <dgm:cxn modelId="{D473CB8A-2D65-483C-B546-42778DD34B41}" srcId="{4A26B94E-1DBB-481B-A318-B85E658D91EE}" destId="{9A3C430E-7789-4C0F-B8EE-CE45DF674C5A}" srcOrd="2" destOrd="0" parTransId="{2C87C384-056E-4808-8B7A-C6080A208315}" sibTransId="{9BAEFB29-833C-4325-848D-5452031BDB88}"/>
    <dgm:cxn modelId="{B768568C-FCED-474C-BDC2-81DD3C573DFA}" srcId="{4A26B94E-1DBB-481B-A318-B85E658D91EE}" destId="{C29C0FC9-8675-4C4C-924F-F6BCE8452C01}" srcOrd="7" destOrd="0" parTransId="{33BB30AE-FB6A-4061-87D1-23A5C9789E32}" sibTransId="{32754B66-56AA-46FB-A0D9-1228D941A086}"/>
    <dgm:cxn modelId="{FE5EFA8D-9B4D-4645-AD9E-63D656208AB2}" srcId="{4A26B94E-1DBB-481B-A318-B85E658D91EE}" destId="{BFE2C855-8F65-429E-8663-C79BA88E991A}" srcOrd="3" destOrd="0" parTransId="{DEEF28EE-B96C-460D-981E-E1BCE6A94430}" sibTransId="{354A3A79-2A04-4160-A9B8-073D49DE1995}"/>
    <dgm:cxn modelId="{B8FA5E92-9EBB-494E-93B5-F94F355C9505}" type="presOf" srcId="{0F242F0C-3F23-4A88-8FB4-96396625FE1E}" destId="{2989F57B-1ACF-4AC2-970E-D5C1173C8D17}" srcOrd="0" destOrd="0" presId="urn:microsoft.com/office/officeart/2005/8/layout/vList2"/>
    <dgm:cxn modelId="{87D74499-49DE-4F42-A5B7-9FCA8C1F728F}" srcId="{4A26B94E-1DBB-481B-A318-B85E658D91EE}" destId="{1936B1EF-A13F-4B57-A5AF-A8409698DB89}" srcOrd="5" destOrd="0" parTransId="{6390DD81-B7E3-43CF-98F6-E5628E0A6FA2}" sibTransId="{32B18D49-9255-4DDE-91DF-9D8620FA99CB}"/>
    <dgm:cxn modelId="{116597B2-710A-4F42-BDC0-FED967092E04}" type="presOf" srcId="{9A3C430E-7789-4C0F-B8EE-CE45DF674C5A}" destId="{1028C968-9378-4E9C-AC5F-F15AEBE9FBDA}" srcOrd="0" destOrd="0" presId="urn:microsoft.com/office/officeart/2005/8/layout/vList2"/>
    <dgm:cxn modelId="{F2D178B5-D4BE-4C0A-9023-CAE6D78068E2}" type="presOf" srcId="{BFE2C855-8F65-429E-8663-C79BA88E991A}" destId="{AF0CD276-955C-402E-8CC9-1C9899476986}" srcOrd="0" destOrd="0" presId="urn:microsoft.com/office/officeart/2005/8/layout/vList2"/>
    <dgm:cxn modelId="{AC8871CA-407E-482A-B397-844B1BE0AA6B}" type="presOf" srcId="{810741A0-E65D-4F92-859B-62643FD40AB3}" destId="{C7498679-E606-406A-8026-585EE0C3FDE1}" srcOrd="0" destOrd="0" presId="urn:microsoft.com/office/officeart/2005/8/layout/vList2"/>
    <dgm:cxn modelId="{729E83D2-A18D-4FC8-975C-85D6648962CD}" type="presOf" srcId="{C29C0FC9-8675-4C4C-924F-F6BCE8452C01}" destId="{0EB89AA4-FDDE-4CBE-8398-F21020A8523D}" srcOrd="0" destOrd="0" presId="urn:microsoft.com/office/officeart/2005/8/layout/vList2"/>
    <dgm:cxn modelId="{EC9C6EDA-5E40-4FA7-A9B6-37413B6E68FA}" type="presOf" srcId="{4A26B94E-1DBB-481B-A318-B85E658D91EE}" destId="{5CF2EE6E-E952-4058-87EC-DF9F70D357B2}" srcOrd="0" destOrd="0" presId="urn:microsoft.com/office/officeart/2005/8/layout/vList2"/>
    <dgm:cxn modelId="{2DF639DE-AD8C-47AA-9D4B-0208A6D01E93}" srcId="{4A26B94E-1DBB-481B-A318-B85E658D91EE}" destId="{42D42741-6402-465C-97D0-AF7F20BC7C75}" srcOrd="4" destOrd="0" parTransId="{FDF0306B-5F99-4B50-81FB-60C71E48E8BA}" sibTransId="{5314A511-C942-4136-A844-7307A4EA70C3}"/>
    <dgm:cxn modelId="{E9047DE8-EDF9-46D0-94C1-8951BC87BAE1}" type="presOf" srcId="{868545CE-DD21-401C-96F5-2995DE5B32C2}" destId="{5B476028-E8C7-4E5E-A446-9148FDA89F14}" srcOrd="0" destOrd="0" presId="urn:microsoft.com/office/officeart/2005/8/layout/vList2"/>
    <dgm:cxn modelId="{35F78AF5-71A1-42EB-BEA9-BD3FF67DFA7C}" type="presOf" srcId="{1936B1EF-A13F-4B57-A5AF-A8409698DB89}" destId="{95405012-1F91-4FFD-AC34-CD1B520DF98E}" srcOrd="0" destOrd="0" presId="urn:microsoft.com/office/officeart/2005/8/layout/vList2"/>
    <dgm:cxn modelId="{1BDCA5F5-DF6D-4AE4-BFB4-A50366A01694}" srcId="{4A26B94E-1DBB-481B-A318-B85E658D91EE}" destId="{868545CE-DD21-401C-96F5-2995DE5B32C2}" srcOrd="0" destOrd="0" parTransId="{1E92A864-33CE-4A8E-86FF-31253F67100B}" sibTransId="{BB884F26-81C3-48B0-A17B-6FF91F175EAD}"/>
    <dgm:cxn modelId="{4744A6E0-4973-470A-8C67-4D728FA7DB21}" type="presParOf" srcId="{5CF2EE6E-E952-4058-87EC-DF9F70D357B2}" destId="{5B476028-E8C7-4E5E-A446-9148FDA89F14}" srcOrd="0" destOrd="0" presId="urn:microsoft.com/office/officeart/2005/8/layout/vList2"/>
    <dgm:cxn modelId="{FE1D6EF3-47D3-4362-A75F-93CFDA105744}" type="presParOf" srcId="{5CF2EE6E-E952-4058-87EC-DF9F70D357B2}" destId="{2E7B99C1-285A-4942-918E-1D3CDCA9CA32}" srcOrd="1" destOrd="0" presId="urn:microsoft.com/office/officeart/2005/8/layout/vList2"/>
    <dgm:cxn modelId="{587A752A-0A96-469B-8591-DF2EA1F93426}" type="presParOf" srcId="{5CF2EE6E-E952-4058-87EC-DF9F70D357B2}" destId="{2989F57B-1ACF-4AC2-970E-D5C1173C8D17}" srcOrd="2" destOrd="0" presId="urn:microsoft.com/office/officeart/2005/8/layout/vList2"/>
    <dgm:cxn modelId="{F0D89180-DEF8-47A0-971F-1F52D1BB50DF}" type="presParOf" srcId="{5CF2EE6E-E952-4058-87EC-DF9F70D357B2}" destId="{F5EE8524-B11B-45A5-8F10-D2734D44681A}" srcOrd="3" destOrd="0" presId="urn:microsoft.com/office/officeart/2005/8/layout/vList2"/>
    <dgm:cxn modelId="{3DF5E6BD-EF10-472E-8BD8-457BC71027B3}" type="presParOf" srcId="{5CF2EE6E-E952-4058-87EC-DF9F70D357B2}" destId="{1028C968-9378-4E9C-AC5F-F15AEBE9FBDA}" srcOrd="4" destOrd="0" presId="urn:microsoft.com/office/officeart/2005/8/layout/vList2"/>
    <dgm:cxn modelId="{BE30D46B-CE5A-473C-96A2-968DB6DB921A}" type="presParOf" srcId="{5CF2EE6E-E952-4058-87EC-DF9F70D357B2}" destId="{AF4E099C-381D-4DC2-8DE2-FDDD6E841A15}" srcOrd="5" destOrd="0" presId="urn:microsoft.com/office/officeart/2005/8/layout/vList2"/>
    <dgm:cxn modelId="{C4A3C095-9BA3-4EAC-AEB4-95C88AE3B181}" type="presParOf" srcId="{5CF2EE6E-E952-4058-87EC-DF9F70D357B2}" destId="{AF0CD276-955C-402E-8CC9-1C9899476986}" srcOrd="6" destOrd="0" presId="urn:microsoft.com/office/officeart/2005/8/layout/vList2"/>
    <dgm:cxn modelId="{DCEE61A6-1959-4058-85AE-0EC1B430E5A5}" type="presParOf" srcId="{5CF2EE6E-E952-4058-87EC-DF9F70D357B2}" destId="{CB200399-02FB-4328-8146-5F2C4824AB0D}" srcOrd="7" destOrd="0" presId="urn:microsoft.com/office/officeart/2005/8/layout/vList2"/>
    <dgm:cxn modelId="{CD948FE1-BFD0-419E-96AB-A6221F52B7DB}" type="presParOf" srcId="{5CF2EE6E-E952-4058-87EC-DF9F70D357B2}" destId="{CCD9440C-8849-4055-A226-EA3A8672D9C1}" srcOrd="8" destOrd="0" presId="urn:microsoft.com/office/officeart/2005/8/layout/vList2"/>
    <dgm:cxn modelId="{1C793576-E831-4784-BACA-9C8E3773E8A8}" type="presParOf" srcId="{5CF2EE6E-E952-4058-87EC-DF9F70D357B2}" destId="{A14EA38E-E2BF-4D14-B41F-1F815A528399}" srcOrd="9" destOrd="0" presId="urn:microsoft.com/office/officeart/2005/8/layout/vList2"/>
    <dgm:cxn modelId="{FC7D97B9-1461-4BCA-A29D-3694054D9988}" type="presParOf" srcId="{5CF2EE6E-E952-4058-87EC-DF9F70D357B2}" destId="{95405012-1F91-4FFD-AC34-CD1B520DF98E}" srcOrd="10" destOrd="0" presId="urn:microsoft.com/office/officeart/2005/8/layout/vList2"/>
    <dgm:cxn modelId="{16965C14-2EB8-4139-85BD-E4C5E5958CDB}" type="presParOf" srcId="{5CF2EE6E-E952-4058-87EC-DF9F70D357B2}" destId="{0A6AC9EB-5A1B-4F81-B7A2-A6C2EFB37B6E}" srcOrd="11" destOrd="0" presId="urn:microsoft.com/office/officeart/2005/8/layout/vList2"/>
    <dgm:cxn modelId="{1BA77CC7-B793-44E3-BAE5-5545E66ABA8F}" type="presParOf" srcId="{5CF2EE6E-E952-4058-87EC-DF9F70D357B2}" destId="{301E668F-EDE0-44DD-94D5-BD7EC3DFDF9C}" srcOrd="12" destOrd="0" presId="urn:microsoft.com/office/officeart/2005/8/layout/vList2"/>
    <dgm:cxn modelId="{1562768B-E7F2-4DC0-BC52-0D967879851B}" type="presParOf" srcId="{5CF2EE6E-E952-4058-87EC-DF9F70D357B2}" destId="{85BF14C6-87AA-4285-998B-EB43D432C44B}" srcOrd="13" destOrd="0" presId="urn:microsoft.com/office/officeart/2005/8/layout/vList2"/>
    <dgm:cxn modelId="{2CE17D1A-ABE6-4DF7-907B-9D578812138F}" type="presParOf" srcId="{5CF2EE6E-E952-4058-87EC-DF9F70D357B2}" destId="{0EB89AA4-FDDE-4CBE-8398-F21020A8523D}" srcOrd="14" destOrd="0" presId="urn:microsoft.com/office/officeart/2005/8/layout/vList2"/>
    <dgm:cxn modelId="{D713D2D4-20DE-4007-AB3F-ADF83E2182DE}" type="presParOf" srcId="{5CF2EE6E-E952-4058-87EC-DF9F70D357B2}" destId="{8ED16E53-212F-427A-86AA-EC7B9FA6A8D0}" srcOrd="15" destOrd="0" presId="urn:microsoft.com/office/officeart/2005/8/layout/vList2"/>
    <dgm:cxn modelId="{20C093EF-7793-49E9-B2BD-D232915DD678}" type="presParOf" srcId="{5CF2EE6E-E952-4058-87EC-DF9F70D357B2}" destId="{C7498679-E606-406A-8026-585EE0C3FDE1}" srcOrd="16" destOrd="0" presId="urn:microsoft.com/office/officeart/2005/8/layout/vList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A26B94E-1DBB-481B-A318-B85E658D91EE}" type="doc">
      <dgm:prSet loTypeId="urn:microsoft.com/office/officeart/2005/8/layout/vList2" loCatId="list" qsTypeId="urn:microsoft.com/office/officeart/2005/8/quickstyle/simple1" qsCatId="simple" csTypeId="urn:microsoft.com/office/officeart/2005/8/colors/colorful1" csCatId="colorful" phldr="1"/>
      <dgm:spPr/>
      <dgm:t>
        <a:bodyPr/>
        <a:lstStyle/>
        <a:p>
          <a:endParaRPr lang="en-GB"/>
        </a:p>
      </dgm:t>
    </dgm:pt>
    <dgm:pt modelId="{9A3C430E-7789-4C0F-B8EE-CE45DF674C5A}">
      <dgm:prSet phldrT="[Text]" custT="1"/>
      <dgm:spPr/>
      <dgm:t>
        <a:bodyPr/>
        <a:lstStyle/>
        <a:p>
          <a:pPr algn="l"/>
          <a:r>
            <a:rPr lang="en-GB" sz="1400">
              <a:latin typeface="Arial" panose="020B0604020202020204" pitchFamily="34" charset="0"/>
              <a:cs typeface="Arial" panose="020B0604020202020204" pitchFamily="34" charset="0"/>
            </a:rPr>
            <a:t>Adults with learning disabilities have access to a range of activities, work &amp; learning opportunities with the appropriate level of support they need</a:t>
          </a:r>
        </a:p>
      </dgm:t>
    </dgm:pt>
    <dgm:pt modelId="{2C87C384-056E-4808-8B7A-C6080A208315}" type="parTrans" cxnId="{D473CB8A-2D65-483C-B546-42778DD34B41}">
      <dgm:prSet/>
      <dgm:spPr/>
      <dgm:t>
        <a:bodyPr/>
        <a:lstStyle/>
        <a:p>
          <a:endParaRPr lang="en-GB" sz="1400">
            <a:latin typeface="Arial" panose="020B0604020202020204" pitchFamily="34" charset="0"/>
            <a:cs typeface="Arial" panose="020B0604020202020204" pitchFamily="34" charset="0"/>
          </a:endParaRPr>
        </a:p>
      </dgm:t>
    </dgm:pt>
    <dgm:pt modelId="{9BAEFB29-833C-4325-848D-5452031BDB88}" type="sibTrans" cxnId="{D473CB8A-2D65-483C-B546-42778DD34B41}">
      <dgm:prSet/>
      <dgm:spPr/>
      <dgm:t>
        <a:bodyPr/>
        <a:lstStyle/>
        <a:p>
          <a:endParaRPr lang="en-GB" sz="1400">
            <a:latin typeface="Arial" panose="020B0604020202020204" pitchFamily="34" charset="0"/>
            <a:cs typeface="Arial" panose="020B0604020202020204" pitchFamily="34" charset="0"/>
          </a:endParaRPr>
        </a:p>
      </dgm:t>
    </dgm:pt>
    <dgm:pt modelId="{42D42741-6402-465C-97D0-AF7F20BC7C75}">
      <dgm:prSet phldrT="[Text]" custT="1"/>
      <dgm:spPr/>
      <dgm:t>
        <a:bodyPr/>
        <a:lstStyle/>
        <a:p>
          <a:pPr algn="l">
            <a:buNone/>
          </a:pPr>
          <a:r>
            <a:rPr lang="en-GB" sz="1400">
              <a:latin typeface="Arial" panose="020B0604020202020204" pitchFamily="34" charset="0"/>
              <a:cs typeface="Arial" panose="020B0604020202020204" pitchFamily="34" charset="0"/>
            </a:rPr>
            <a:t>Moves between services or changes in provision, across all ages, are smooth, seamless and supportive</a:t>
          </a:r>
        </a:p>
      </dgm:t>
    </dgm:pt>
    <dgm:pt modelId="{FDF0306B-5F99-4B50-81FB-60C71E48E8BA}" type="parTrans" cxnId="{2DF639DE-AD8C-47AA-9D4B-0208A6D01E93}">
      <dgm:prSet/>
      <dgm:spPr/>
      <dgm:t>
        <a:bodyPr/>
        <a:lstStyle/>
        <a:p>
          <a:endParaRPr lang="en-GB" sz="1400">
            <a:latin typeface="Arial" panose="020B0604020202020204" pitchFamily="34" charset="0"/>
            <a:cs typeface="Arial" panose="020B0604020202020204" pitchFamily="34" charset="0"/>
          </a:endParaRPr>
        </a:p>
      </dgm:t>
    </dgm:pt>
    <dgm:pt modelId="{5314A511-C942-4136-A844-7307A4EA70C3}" type="sibTrans" cxnId="{2DF639DE-AD8C-47AA-9D4B-0208A6D01E93}">
      <dgm:prSet/>
      <dgm:spPr/>
      <dgm:t>
        <a:bodyPr/>
        <a:lstStyle/>
        <a:p>
          <a:endParaRPr lang="en-GB" sz="1400">
            <a:latin typeface="Arial" panose="020B0604020202020204" pitchFamily="34" charset="0"/>
            <a:cs typeface="Arial" panose="020B0604020202020204" pitchFamily="34" charset="0"/>
          </a:endParaRPr>
        </a:p>
      </dgm:t>
    </dgm:pt>
    <dgm:pt modelId="{1936B1EF-A13F-4B57-A5AF-A8409698DB89}">
      <dgm:prSet phldrT="[Text]" custT="1"/>
      <dgm:spPr/>
      <dgm:t>
        <a:bodyPr/>
        <a:lstStyle/>
        <a:p>
          <a:pPr algn="l">
            <a:buNone/>
          </a:pPr>
          <a:r>
            <a:rPr lang="en-GB" sz="1400">
              <a:latin typeface="Arial" panose="020B0604020202020204" pitchFamily="34" charset="0"/>
              <a:cs typeface="Arial" panose="020B0604020202020204" pitchFamily="34" charset="0"/>
            </a:rPr>
            <a:t>Adults with learning disabilities and their carers have access and know where to go for advice and information on services in the city</a:t>
          </a:r>
        </a:p>
      </dgm:t>
    </dgm:pt>
    <dgm:pt modelId="{6390DD81-B7E3-43CF-98F6-E5628E0A6FA2}" type="parTrans" cxnId="{87D74499-49DE-4F42-A5B7-9FCA8C1F728F}">
      <dgm:prSet/>
      <dgm:spPr/>
      <dgm:t>
        <a:bodyPr/>
        <a:lstStyle/>
        <a:p>
          <a:endParaRPr lang="en-GB" sz="1400">
            <a:latin typeface="Arial" panose="020B0604020202020204" pitchFamily="34" charset="0"/>
            <a:cs typeface="Arial" panose="020B0604020202020204" pitchFamily="34" charset="0"/>
          </a:endParaRPr>
        </a:p>
      </dgm:t>
    </dgm:pt>
    <dgm:pt modelId="{32B18D49-9255-4DDE-91DF-9D8620FA99CB}" type="sibTrans" cxnId="{87D74499-49DE-4F42-A5B7-9FCA8C1F728F}">
      <dgm:prSet/>
      <dgm:spPr/>
      <dgm:t>
        <a:bodyPr/>
        <a:lstStyle/>
        <a:p>
          <a:endParaRPr lang="en-GB" sz="1400">
            <a:latin typeface="Arial" panose="020B0604020202020204" pitchFamily="34" charset="0"/>
            <a:cs typeface="Arial" panose="020B0604020202020204" pitchFamily="34" charset="0"/>
          </a:endParaRPr>
        </a:p>
      </dgm:t>
    </dgm:pt>
    <dgm:pt modelId="{868545CE-DD21-401C-96F5-2995DE5B32C2}">
      <dgm:prSet custT="1"/>
      <dgm:spPr/>
      <dgm:t>
        <a:bodyPr/>
        <a:lstStyle/>
        <a:p>
          <a:pPr algn="l"/>
          <a:r>
            <a:rPr lang="en-GB" sz="1400">
              <a:latin typeface="Arial" panose="020B0604020202020204" pitchFamily="34" charset="0"/>
              <a:cs typeface="Arial" panose="020B0604020202020204" pitchFamily="34" charset="0"/>
            </a:rPr>
            <a:t>Adults with learning disabilities are empowered to develop and maintain relationships and friendships and are supported to understand how to keep themselves safe</a:t>
          </a:r>
        </a:p>
      </dgm:t>
    </dgm:pt>
    <dgm:pt modelId="{1E92A864-33CE-4A8E-86FF-31253F67100B}" type="parTrans" cxnId="{1BDCA5F5-DF6D-4AE4-BFB4-A50366A01694}">
      <dgm:prSet/>
      <dgm:spPr/>
      <dgm:t>
        <a:bodyPr/>
        <a:lstStyle/>
        <a:p>
          <a:endParaRPr lang="en-GB" sz="1400">
            <a:latin typeface="Arial" panose="020B0604020202020204" pitchFamily="34" charset="0"/>
            <a:cs typeface="Arial" panose="020B0604020202020204" pitchFamily="34" charset="0"/>
          </a:endParaRPr>
        </a:p>
      </dgm:t>
    </dgm:pt>
    <dgm:pt modelId="{BB884F26-81C3-48B0-A17B-6FF91F175EAD}" type="sibTrans" cxnId="{1BDCA5F5-DF6D-4AE4-BFB4-A50366A01694}">
      <dgm:prSet/>
      <dgm:spPr/>
      <dgm:t>
        <a:bodyPr/>
        <a:lstStyle/>
        <a:p>
          <a:endParaRPr lang="en-GB" sz="1400">
            <a:latin typeface="Arial" panose="020B0604020202020204" pitchFamily="34" charset="0"/>
            <a:cs typeface="Arial" panose="020B0604020202020204" pitchFamily="34" charset="0"/>
          </a:endParaRPr>
        </a:p>
      </dgm:t>
    </dgm:pt>
    <dgm:pt modelId="{0F242F0C-3F23-4A88-8FB4-96396625FE1E}">
      <dgm:prSet custT="1"/>
      <dgm:spPr/>
      <dgm:t>
        <a:bodyPr/>
        <a:lstStyle/>
        <a:p>
          <a:pPr algn="l"/>
          <a:r>
            <a:rPr lang="en-GB" sz="1400">
              <a:latin typeface="Arial" panose="020B0604020202020204" pitchFamily="34" charset="0"/>
              <a:cs typeface="Arial" panose="020B0604020202020204" pitchFamily="34" charset="0"/>
            </a:rPr>
            <a:t>Adults with a learning disability live longer &amp; have healthier and happier lives</a:t>
          </a:r>
        </a:p>
      </dgm:t>
    </dgm:pt>
    <dgm:pt modelId="{69E9E691-4710-4F5C-B396-8C4A2CA66F42}" type="parTrans" cxnId="{7ED04B2F-14AE-4F40-93F9-E55C2ADBF47D}">
      <dgm:prSet/>
      <dgm:spPr/>
      <dgm:t>
        <a:bodyPr/>
        <a:lstStyle/>
        <a:p>
          <a:endParaRPr lang="en-GB" sz="1400">
            <a:latin typeface="Arial" panose="020B0604020202020204" pitchFamily="34" charset="0"/>
            <a:cs typeface="Arial" panose="020B0604020202020204" pitchFamily="34" charset="0"/>
          </a:endParaRPr>
        </a:p>
      </dgm:t>
    </dgm:pt>
    <dgm:pt modelId="{5B7905AA-B20F-4DE7-94FC-B713AAF59754}" type="sibTrans" cxnId="{7ED04B2F-14AE-4F40-93F9-E55C2ADBF47D}">
      <dgm:prSet/>
      <dgm:spPr/>
      <dgm:t>
        <a:bodyPr/>
        <a:lstStyle/>
        <a:p>
          <a:endParaRPr lang="en-GB" sz="1400">
            <a:latin typeface="Arial" panose="020B0604020202020204" pitchFamily="34" charset="0"/>
            <a:cs typeface="Arial" panose="020B0604020202020204" pitchFamily="34" charset="0"/>
          </a:endParaRPr>
        </a:p>
      </dgm:t>
    </dgm:pt>
    <dgm:pt modelId="{BFE2C855-8F65-429E-8663-C79BA88E991A}">
      <dgm:prSet custT="1"/>
      <dgm:spPr/>
      <dgm:t>
        <a:bodyPr/>
        <a:lstStyle/>
        <a:p>
          <a:pPr algn="l"/>
          <a:r>
            <a:rPr lang="en-GB" sz="1400">
              <a:latin typeface="Arial" panose="020B0604020202020204" pitchFamily="34" charset="0"/>
              <a:cs typeface="Arial" panose="020B0604020202020204" pitchFamily="34" charset="0"/>
            </a:rPr>
            <a:t>Adults with learning disabilities live in good quality accommodation that encourages independence with appropriate support to achieve this with choice of where and whom to live with</a:t>
          </a:r>
        </a:p>
      </dgm:t>
    </dgm:pt>
    <dgm:pt modelId="{DEEF28EE-B96C-460D-981E-E1BCE6A94430}" type="parTrans" cxnId="{FE5EFA8D-9B4D-4645-AD9E-63D656208AB2}">
      <dgm:prSet/>
      <dgm:spPr/>
      <dgm:t>
        <a:bodyPr/>
        <a:lstStyle/>
        <a:p>
          <a:endParaRPr lang="en-GB" sz="1400">
            <a:latin typeface="Arial" panose="020B0604020202020204" pitchFamily="34" charset="0"/>
            <a:cs typeface="Arial" panose="020B0604020202020204" pitchFamily="34" charset="0"/>
          </a:endParaRPr>
        </a:p>
      </dgm:t>
    </dgm:pt>
    <dgm:pt modelId="{354A3A79-2A04-4160-A9B8-073D49DE1995}" type="sibTrans" cxnId="{FE5EFA8D-9B4D-4645-AD9E-63D656208AB2}">
      <dgm:prSet/>
      <dgm:spPr/>
      <dgm:t>
        <a:bodyPr/>
        <a:lstStyle/>
        <a:p>
          <a:endParaRPr lang="en-GB" sz="1400">
            <a:latin typeface="Arial" panose="020B0604020202020204" pitchFamily="34" charset="0"/>
            <a:cs typeface="Arial" panose="020B0604020202020204" pitchFamily="34" charset="0"/>
          </a:endParaRPr>
        </a:p>
      </dgm:t>
    </dgm:pt>
    <dgm:pt modelId="{5CF2EE6E-E952-4058-87EC-DF9F70D357B2}" type="pres">
      <dgm:prSet presAssocID="{4A26B94E-1DBB-481B-A318-B85E658D91EE}" presName="linear" presStyleCnt="0">
        <dgm:presLayoutVars>
          <dgm:animLvl val="lvl"/>
          <dgm:resizeHandles val="exact"/>
        </dgm:presLayoutVars>
      </dgm:prSet>
      <dgm:spPr/>
    </dgm:pt>
    <dgm:pt modelId="{5B476028-E8C7-4E5E-A446-9148FDA89F14}" type="pres">
      <dgm:prSet presAssocID="{868545CE-DD21-401C-96F5-2995DE5B32C2}" presName="parentText" presStyleLbl="node1" presStyleIdx="0" presStyleCnt="6" custScaleY="89665">
        <dgm:presLayoutVars>
          <dgm:chMax val="0"/>
          <dgm:bulletEnabled val="1"/>
        </dgm:presLayoutVars>
      </dgm:prSet>
      <dgm:spPr/>
    </dgm:pt>
    <dgm:pt modelId="{2E7B99C1-285A-4942-918E-1D3CDCA9CA32}" type="pres">
      <dgm:prSet presAssocID="{BB884F26-81C3-48B0-A17B-6FF91F175EAD}" presName="spacer" presStyleCnt="0"/>
      <dgm:spPr/>
    </dgm:pt>
    <dgm:pt modelId="{2989F57B-1ACF-4AC2-970E-D5C1173C8D17}" type="pres">
      <dgm:prSet presAssocID="{0F242F0C-3F23-4A88-8FB4-96396625FE1E}" presName="parentText" presStyleLbl="node1" presStyleIdx="1" presStyleCnt="6" custScaleY="41687">
        <dgm:presLayoutVars>
          <dgm:chMax val="0"/>
          <dgm:bulletEnabled val="1"/>
        </dgm:presLayoutVars>
      </dgm:prSet>
      <dgm:spPr/>
    </dgm:pt>
    <dgm:pt modelId="{F5EE8524-B11B-45A5-8F10-D2734D44681A}" type="pres">
      <dgm:prSet presAssocID="{5B7905AA-B20F-4DE7-94FC-B713AAF59754}" presName="spacer" presStyleCnt="0"/>
      <dgm:spPr/>
    </dgm:pt>
    <dgm:pt modelId="{1028C968-9378-4E9C-AC5F-F15AEBE9FBDA}" type="pres">
      <dgm:prSet presAssocID="{9A3C430E-7789-4C0F-B8EE-CE45DF674C5A}" presName="parentText" presStyleLbl="node1" presStyleIdx="2" presStyleCnt="6" custScaleY="69628">
        <dgm:presLayoutVars>
          <dgm:chMax val="0"/>
          <dgm:bulletEnabled val="1"/>
        </dgm:presLayoutVars>
      </dgm:prSet>
      <dgm:spPr/>
    </dgm:pt>
    <dgm:pt modelId="{AF4E099C-381D-4DC2-8DE2-FDDD6E841A15}" type="pres">
      <dgm:prSet presAssocID="{9BAEFB29-833C-4325-848D-5452031BDB88}" presName="spacer" presStyleCnt="0"/>
      <dgm:spPr/>
    </dgm:pt>
    <dgm:pt modelId="{AF0CD276-955C-402E-8CC9-1C9899476986}" type="pres">
      <dgm:prSet presAssocID="{BFE2C855-8F65-429E-8663-C79BA88E991A}" presName="parentText" presStyleLbl="node1" presStyleIdx="3" presStyleCnt="6" custScaleY="83388">
        <dgm:presLayoutVars>
          <dgm:chMax val="0"/>
          <dgm:bulletEnabled val="1"/>
        </dgm:presLayoutVars>
      </dgm:prSet>
      <dgm:spPr/>
    </dgm:pt>
    <dgm:pt modelId="{CB200399-02FB-4328-8146-5F2C4824AB0D}" type="pres">
      <dgm:prSet presAssocID="{354A3A79-2A04-4160-A9B8-073D49DE1995}" presName="spacer" presStyleCnt="0"/>
      <dgm:spPr/>
    </dgm:pt>
    <dgm:pt modelId="{CCD9440C-8849-4055-A226-EA3A8672D9C1}" type="pres">
      <dgm:prSet presAssocID="{42D42741-6402-465C-97D0-AF7F20BC7C75}" presName="parentText" presStyleLbl="node1" presStyleIdx="4" presStyleCnt="6" custScaleY="59355">
        <dgm:presLayoutVars>
          <dgm:chMax val="0"/>
          <dgm:bulletEnabled val="1"/>
        </dgm:presLayoutVars>
      </dgm:prSet>
      <dgm:spPr/>
    </dgm:pt>
    <dgm:pt modelId="{A14EA38E-E2BF-4D14-B41F-1F815A528399}" type="pres">
      <dgm:prSet presAssocID="{5314A511-C942-4136-A844-7307A4EA70C3}" presName="spacer" presStyleCnt="0"/>
      <dgm:spPr/>
    </dgm:pt>
    <dgm:pt modelId="{95405012-1F91-4FFD-AC34-CD1B520DF98E}" type="pres">
      <dgm:prSet presAssocID="{1936B1EF-A13F-4B57-A5AF-A8409698DB89}" presName="parentText" presStyleLbl="node1" presStyleIdx="5" presStyleCnt="6" custScaleY="70649">
        <dgm:presLayoutVars>
          <dgm:chMax val="0"/>
          <dgm:bulletEnabled val="1"/>
        </dgm:presLayoutVars>
      </dgm:prSet>
      <dgm:spPr/>
    </dgm:pt>
  </dgm:ptLst>
  <dgm:cxnLst>
    <dgm:cxn modelId="{7ED04B2F-14AE-4F40-93F9-E55C2ADBF47D}" srcId="{4A26B94E-1DBB-481B-A318-B85E658D91EE}" destId="{0F242F0C-3F23-4A88-8FB4-96396625FE1E}" srcOrd="1" destOrd="0" parTransId="{69E9E691-4710-4F5C-B396-8C4A2CA66F42}" sibTransId="{5B7905AA-B20F-4DE7-94FC-B713AAF59754}"/>
    <dgm:cxn modelId="{CBCE676F-ADBA-48C4-AC72-7EF24555D5F2}" type="presOf" srcId="{42D42741-6402-465C-97D0-AF7F20BC7C75}" destId="{CCD9440C-8849-4055-A226-EA3A8672D9C1}" srcOrd="0" destOrd="0" presId="urn:microsoft.com/office/officeart/2005/8/layout/vList2"/>
    <dgm:cxn modelId="{D473CB8A-2D65-483C-B546-42778DD34B41}" srcId="{4A26B94E-1DBB-481B-A318-B85E658D91EE}" destId="{9A3C430E-7789-4C0F-B8EE-CE45DF674C5A}" srcOrd="2" destOrd="0" parTransId="{2C87C384-056E-4808-8B7A-C6080A208315}" sibTransId="{9BAEFB29-833C-4325-848D-5452031BDB88}"/>
    <dgm:cxn modelId="{FE5EFA8D-9B4D-4645-AD9E-63D656208AB2}" srcId="{4A26B94E-1DBB-481B-A318-B85E658D91EE}" destId="{BFE2C855-8F65-429E-8663-C79BA88E991A}" srcOrd="3" destOrd="0" parTransId="{DEEF28EE-B96C-460D-981E-E1BCE6A94430}" sibTransId="{354A3A79-2A04-4160-A9B8-073D49DE1995}"/>
    <dgm:cxn modelId="{B8FA5E92-9EBB-494E-93B5-F94F355C9505}" type="presOf" srcId="{0F242F0C-3F23-4A88-8FB4-96396625FE1E}" destId="{2989F57B-1ACF-4AC2-970E-D5C1173C8D17}" srcOrd="0" destOrd="0" presId="urn:microsoft.com/office/officeart/2005/8/layout/vList2"/>
    <dgm:cxn modelId="{87D74499-49DE-4F42-A5B7-9FCA8C1F728F}" srcId="{4A26B94E-1DBB-481B-A318-B85E658D91EE}" destId="{1936B1EF-A13F-4B57-A5AF-A8409698DB89}" srcOrd="5" destOrd="0" parTransId="{6390DD81-B7E3-43CF-98F6-E5628E0A6FA2}" sibTransId="{32B18D49-9255-4DDE-91DF-9D8620FA99CB}"/>
    <dgm:cxn modelId="{116597B2-710A-4F42-BDC0-FED967092E04}" type="presOf" srcId="{9A3C430E-7789-4C0F-B8EE-CE45DF674C5A}" destId="{1028C968-9378-4E9C-AC5F-F15AEBE9FBDA}" srcOrd="0" destOrd="0" presId="urn:microsoft.com/office/officeart/2005/8/layout/vList2"/>
    <dgm:cxn modelId="{F2D178B5-D4BE-4C0A-9023-CAE6D78068E2}" type="presOf" srcId="{BFE2C855-8F65-429E-8663-C79BA88E991A}" destId="{AF0CD276-955C-402E-8CC9-1C9899476986}" srcOrd="0" destOrd="0" presId="urn:microsoft.com/office/officeart/2005/8/layout/vList2"/>
    <dgm:cxn modelId="{EC9C6EDA-5E40-4FA7-A9B6-37413B6E68FA}" type="presOf" srcId="{4A26B94E-1DBB-481B-A318-B85E658D91EE}" destId="{5CF2EE6E-E952-4058-87EC-DF9F70D357B2}" srcOrd="0" destOrd="0" presId="urn:microsoft.com/office/officeart/2005/8/layout/vList2"/>
    <dgm:cxn modelId="{2DF639DE-AD8C-47AA-9D4B-0208A6D01E93}" srcId="{4A26B94E-1DBB-481B-A318-B85E658D91EE}" destId="{42D42741-6402-465C-97D0-AF7F20BC7C75}" srcOrd="4" destOrd="0" parTransId="{FDF0306B-5F99-4B50-81FB-60C71E48E8BA}" sibTransId="{5314A511-C942-4136-A844-7307A4EA70C3}"/>
    <dgm:cxn modelId="{E9047DE8-EDF9-46D0-94C1-8951BC87BAE1}" type="presOf" srcId="{868545CE-DD21-401C-96F5-2995DE5B32C2}" destId="{5B476028-E8C7-4E5E-A446-9148FDA89F14}" srcOrd="0" destOrd="0" presId="urn:microsoft.com/office/officeart/2005/8/layout/vList2"/>
    <dgm:cxn modelId="{35F78AF5-71A1-42EB-BEA9-BD3FF67DFA7C}" type="presOf" srcId="{1936B1EF-A13F-4B57-A5AF-A8409698DB89}" destId="{95405012-1F91-4FFD-AC34-CD1B520DF98E}" srcOrd="0" destOrd="0" presId="urn:microsoft.com/office/officeart/2005/8/layout/vList2"/>
    <dgm:cxn modelId="{1BDCA5F5-DF6D-4AE4-BFB4-A50366A01694}" srcId="{4A26B94E-1DBB-481B-A318-B85E658D91EE}" destId="{868545CE-DD21-401C-96F5-2995DE5B32C2}" srcOrd="0" destOrd="0" parTransId="{1E92A864-33CE-4A8E-86FF-31253F67100B}" sibTransId="{BB884F26-81C3-48B0-A17B-6FF91F175EAD}"/>
    <dgm:cxn modelId="{4744A6E0-4973-470A-8C67-4D728FA7DB21}" type="presParOf" srcId="{5CF2EE6E-E952-4058-87EC-DF9F70D357B2}" destId="{5B476028-E8C7-4E5E-A446-9148FDA89F14}" srcOrd="0" destOrd="0" presId="urn:microsoft.com/office/officeart/2005/8/layout/vList2"/>
    <dgm:cxn modelId="{FE1D6EF3-47D3-4362-A75F-93CFDA105744}" type="presParOf" srcId="{5CF2EE6E-E952-4058-87EC-DF9F70D357B2}" destId="{2E7B99C1-285A-4942-918E-1D3CDCA9CA32}" srcOrd="1" destOrd="0" presId="urn:microsoft.com/office/officeart/2005/8/layout/vList2"/>
    <dgm:cxn modelId="{587A752A-0A96-469B-8591-DF2EA1F93426}" type="presParOf" srcId="{5CF2EE6E-E952-4058-87EC-DF9F70D357B2}" destId="{2989F57B-1ACF-4AC2-970E-D5C1173C8D17}" srcOrd="2" destOrd="0" presId="urn:microsoft.com/office/officeart/2005/8/layout/vList2"/>
    <dgm:cxn modelId="{F0D89180-DEF8-47A0-971F-1F52D1BB50DF}" type="presParOf" srcId="{5CF2EE6E-E952-4058-87EC-DF9F70D357B2}" destId="{F5EE8524-B11B-45A5-8F10-D2734D44681A}" srcOrd="3" destOrd="0" presId="urn:microsoft.com/office/officeart/2005/8/layout/vList2"/>
    <dgm:cxn modelId="{3DF5E6BD-EF10-472E-8BD8-457BC71027B3}" type="presParOf" srcId="{5CF2EE6E-E952-4058-87EC-DF9F70D357B2}" destId="{1028C968-9378-4E9C-AC5F-F15AEBE9FBDA}" srcOrd="4" destOrd="0" presId="urn:microsoft.com/office/officeart/2005/8/layout/vList2"/>
    <dgm:cxn modelId="{BE30D46B-CE5A-473C-96A2-968DB6DB921A}" type="presParOf" srcId="{5CF2EE6E-E952-4058-87EC-DF9F70D357B2}" destId="{AF4E099C-381D-4DC2-8DE2-FDDD6E841A15}" srcOrd="5" destOrd="0" presId="urn:microsoft.com/office/officeart/2005/8/layout/vList2"/>
    <dgm:cxn modelId="{C4A3C095-9BA3-4EAC-AEB4-95C88AE3B181}" type="presParOf" srcId="{5CF2EE6E-E952-4058-87EC-DF9F70D357B2}" destId="{AF0CD276-955C-402E-8CC9-1C9899476986}" srcOrd="6" destOrd="0" presId="urn:microsoft.com/office/officeart/2005/8/layout/vList2"/>
    <dgm:cxn modelId="{DCEE61A6-1959-4058-85AE-0EC1B430E5A5}" type="presParOf" srcId="{5CF2EE6E-E952-4058-87EC-DF9F70D357B2}" destId="{CB200399-02FB-4328-8146-5F2C4824AB0D}" srcOrd="7" destOrd="0" presId="urn:microsoft.com/office/officeart/2005/8/layout/vList2"/>
    <dgm:cxn modelId="{CD948FE1-BFD0-419E-96AB-A6221F52B7DB}" type="presParOf" srcId="{5CF2EE6E-E952-4058-87EC-DF9F70D357B2}" destId="{CCD9440C-8849-4055-A226-EA3A8672D9C1}" srcOrd="8" destOrd="0" presId="urn:microsoft.com/office/officeart/2005/8/layout/vList2"/>
    <dgm:cxn modelId="{1C793576-E831-4784-BACA-9C8E3773E8A8}" type="presParOf" srcId="{5CF2EE6E-E952-4058-87EC-DF9F70D357B2}" destId="{A14EA38E-E2BF-4D14-B41F-1F815A528399}" srcOrd="9" destOrd="0" presId="urn:microsoft.com/office/officeart/2005/8/layout/vList2"/>
    <dgm:cxn modelId="{FC7D97B9-1461-4BCA-A29D-3694054D9988}" type="presParOf" srcId="{5CF2EE6E-E952-4058-87EC-DF9F70D357B2}" destId="{95405012-1F91-4FFD-AC34-CD1B520DF98E}" srcOrd="10" destOrd="0" presId="urn:microsoft.com/office/officeart/2005/8/layout/vList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A26B94E-1DBB-481B-A318-B85E658D91EE}" type="doc">
      <dgm:prSet loTypeId="urn:microsoft.com/office/officeart/2005/8/layout/vList2" loCatId="list" qsTypeId="urn:microsoft.com/office/officeart/2005/8/quickstyle/simple1" qsCatId="simple" csTypeId="urn:microsoft.com/office/officeart/2005/8/colors/colorful1" csCatId="colorful" phldr="1"/>
      <dgm:spPr/>
      <dgm:t>
        <a:bodyPr/>
        <a:lstStyle/>
        <a:p>
          <a:endParaRPr lang="en-GB"/>
        </a:p>
      </dgm:t>
    </dgm:pt>
    <dgm:pt modelId="{9A3C430E-7789-4C0F-B8EE-CE45DF674C5A}">
      <dgm:prSet phldrT="[Text]" custT="1"/>
      <dgm:spPr/>
      <dgm:t>
        <a:bodyPr/>
        <a:lstStyle/>
        <a:p>
          <a:pPr algn="l"/>
          <a:r>
            <a:rPr lang="en-GB" sz="1400">
              <a:latin typeface="Arial" panose="020B0604020202020204" pitchFamily="34" charset="0"/>
              <a:cs typeface="Arial" panose="020B0604020202020204" pitchFamily="34" charset="0"/>
            </a:rPr>
            <a:t>Mental health</a:t>
          </a:r>
        </a:p>
      </dgm:t>
    </dgm:pt>
    <dgm:pt modelId="{2C87C384-056E-4808-8B7A-C6080A208315}" type="parTrans" cxnId="{D473CB8A-2D65-483C-B546-42778DD34B41}">
      <dgm:prSet/>
      <dgm:spPr/>
      <dgm:t>
        <a:bodyPr/>
        <a:lstStyle/>
        <a:p>
          <a:endParaRPr lang="en-GB" sz="1400">
            <a:latin typeface="Arial" panose="020B0604020202020204" pitchFamily="34" charset="0"/>
            <a:cs typeface="Arial" panose="020B0604020202020204" pitchFamily="34" charset="0"/>
          </a:endParaRPr>
        </a:p>
      </dgm:t>
    </dgm:pt>
    <dgm:pt modelId="{9BAEFB29-833C-4325-848D-5452031BDB88}" type="sibTrans" cxnId="{D473CB8A-2D65-483C-B546-42778DD34B41}">
      <dgm:prSet/>
      <dgm:spPr/>
      <dgm:t>
        <a:bodyPr/>
        <a:lstStyle/>
        <a:p>
          <a:endParaRPr lang="en-GB" sz="1400">
            <a:latin typeface="Arial" panose="020B0604020202020204" pitchFamily="34" charset="0"/>
            <a:cs typeface="Arial" panose="020B0604020202020204" pitchFamily="34" charset="0"/>
          </a:endParaRPr>
        </a:p>
      </dgm:t>
    </dgm:pt>
    <dgm:pt modelId="{42D42741-6402-465C-97D0-AF7F20BC7C75}">
      <dgm:prSet phldrT="[Text]" custT="1"/>
      <dgm:spPr/>
      <dgm:t>
        <a:bodyPr/>
        <a:lstStyle/>
        <a:p>
          <a:pPr algn="l">
            <a:buNone/>
          </a:pPr>
          <a:r>
            <a:rPr lang="en-GB" sz="1400">
              <a:latin typeface="Arial" panose="020B0604020202020204" pitchFamily="34" charset="0"/>
              <a:cs typeface="Arial" panose="020B0604020202020204" pitchFamily="34" charset="0"/>
            </a:rPr>
            <a:t>Social care</a:t>
          </a:r>
        </a:p>
      </dgm:t>
    </dgm:pt>
    <dgm:pt modelId="{FDF0306B-5F99-4B50-81FB-60C71E48E8BA}" type="parTrans" cxnId="{2DF639DE-AD8C-47AA-9D4B-0208A6D01E93}">
      <dgm:prSet/>
      <dgm:spPr/>
      <dgm:t>
        <a:bodyPr/>
        <a:lstStyle/>
        <a:p>
          <a:endParaRPr lang="en-GB" sz="1400">
            <a:latin typeface="Arial" panose="020B0604020202020204" pitchFamily="34" charset="0"/>
            <a:cs typeface="Arial" panose="020B0604020202020204" pitchFamily="34" charset="0"/>
          </a:endParaRPr>
        </a:p>
      </dgm:t>
    </dgm:pt>
    <dgm:pt modelId="{5314A511-C942-4136-A844-7307A4EA70C3}" type="sibTrans" cxnId="{2DF639DE-AD8C-47AA-9D4B-0208A6D01E93}">
      <dgm:prSet/>
      <dgm:spPr/>
      <dgm:t>
        <a:bodyPr/>
        <a:lstStyle/>
        <a:p>
          <a:endParaRPr lang="en-GB" sz="1400">
            <a:latin typeface="Arial" panose="020B0604020202020204" pitchFamily="34" charset="0"/>
            <a:cs typeface="Arial" panose="020B0604020202020204" pitchFamily="34" charset="0"/>
          </a:endParaRPr>
        </a:p>
      </dgm:t>
    </dgm:pt>
    <dgm:pt modelId="{1936B1EF-A13F-4B57-A5AF-A8409698DB89}">
      <dgm:prSet phldrT="[Text]" custT="1"/>
      <dgm:spPr/>
      <dgm:t>
        <a:bodyPr/>
        <a:lstStyle/>
        <a:p>
          <a:pPr algn="l">
            <a:buNone/>
          </a:pPr>
          <a:r>
            <a:rPr lang="en-GB" sz="1400">
              <a:latin typeface="Arial" panose="020B0604020202020204" pitchFamily="34" charset="0"/>
              <a:cs typeface="Arial" panose="020B0604020202020204" pitchFamily="34" charset="0"/>
            </a:rPr>
            <a:t>Neurodevelopmental assessment and support</a:t>
          </a:r>
        </a:p>
      </dgm:t>
    </dgm:pt>
    <dgm:pt modelId="{6390DD81-B7E3-43CF-98F6-E5628E0A6FA2}" type="parTrans" cxnId="{87D74499-49DE-4F42-A5B7-9FCA8C1F728F}">
      <dgm:prSet/>
      <dgm:spPr/>
      <dgm:t>
        <a:bodyPr/>
        <a:lstStyle/>
        <a:p>
          <a:endParaRPr lang="en-GB" sz="1400">
            <a:latin typeface="Arial" panose="020B0604020202020204" pitchFamily="34" charset="0"/>
            <a:cs typeface="Arial" panose="020B0604020202020204" pitchFamily="34" charset="0"/>
          </a:endParaRPr>
        </a:p>
      </dgm:t>
    </dgm:pt>
    <dgm:pt modelId="{32B18D49-9255-4DDE-91DF-9D8620FA99CB}" type="sibTrans" cxnId="{87D74499-49DE-4F42-A5B7-9FCA8C1F728F}">
      <dgm:prSet/>
      <dgm:spPr/>
      <dgm:t>
        <a:bodyPr/>
        <a:lstStyle/>
        <a:p>
          <a:endParaRPr lang="en-GB" sz="1400">
            <a:latin typeface="Arial" panose="020B0604020202020204" pitchFamily="34" charset="0"/>
            <a:cs typeface="Arial" panose="020B0604020202020204" pitchFamily="34" charset="0"/>
          </a:endParaRPr>
        </a:p>
      </dgm:t>
    </dgm:pt>
    <dgm:pt modelId="{868545CE-DD21-401C-96F5-2995DE5B32C2}">
      <dgm:prSet custT="1"/>
      <dgm:spPr/>
      <dgm:t>
        <a:bodyPr/>
        <a:lstStyle/>
        <a:p>
          <a:pPr algn="l"/>
          <a:r>
            <a:rPr lang="en-GB" sz="1400">
              <a:latin typeface="Arial" panose="020B0604020202020204" pitchFamily="34" charset="0"/>
              <a:cs typeface="Arial" panose="020B0604020202020204" pitchFamily="34" charset="0"/>
            </a:rPr>
            <a:t>Relationships and feeling safe and part of the community</a:t>
          </a:r>
        </a:p>
      </dgm:t>
    </dgm:pt>
    <dgm:pt modelId="{1E92A864-33CE-4A8E-86FF-31253F67100B}" type="parTrans" cxnId="{1BDCA5F5-DF6D-4AE4-BFB4-A50366A01694}">
      <dgm:prSet/>
      <dgm:spPr/>
      <dgm:t>
        <a:bodyPr/>
        <a:lstStyle/>
        <a:p>
          <a:endParaRPr lang="en-GB" sz="1400">
            <a:latin typeface="Arial" panose="020B0604020202020204" pitchFamily="34" charset="0"/>
            <a:cs typeface="Arial" panose="020B0604020202020204" pitchFamily="34" charset="0"/>
          </a:endParaRPr>
        </a:p>
      </dgm:t>
    </dgm:pt>
    <dgm:pt modelId="{BB884F26-81C3-48B0-A17B-6FF91F175EAD}" type="sibTrans" cxnId="{1BDCA5F5-DF6D-4AE4-BFB4-A50366A01694}">
      <dgm:prSet/>
      <dgm:spPr/>
      <dgm:t>
        <a:bodyPr/>
        <a:lstStyle/>
        <a:p>
          <a:endParaRPr lang="en-GB" sz="1400">
            <a:latin typeface="Arial" panose="020B0604020202020204" pitchFamily="34" charset="0"/>
            <a:cs typeface="Arial" panose="020B0604020202020204" pitchFamily="34" charset="0"/>
          </a:endParaRPr>
        </a:p>
      </dgm:t>
    </dgm:pt>
    <dgm:pt modelId="{0F242F0C-3F23-4A88-8FB4-96396625FE1E}">
      <dgm:prSet custT="1"/>
      <dgm:spPr/>
      <dgm:t>
        <a:bodyPr/>
        <a:lstStyle/>
        <a:p>
          <a:pPr algn="l"/>
          <a:r>
            <a:rPr lang="en-GB" sz="1400">
              <a:latin typeface="Arial" panose="020B0604020202020204" pitchFamily="34" charset="0"/>
              <a:cs typeface="Arial" panose="020B0604020202020204" pitchFamily="34" charset="0"/>
            </a:rPr>
            <a:t>Housing</a:t>
          </a:r>
        </a:p>
      </dgm:t>
    </dgm:pt>
    <dgm:pt modelId="{69E9E691-4710-4F5C-B396-8C4A2CA66F42}" type="parTrans" cxnId="{7ED04B2F-14AE-4F40-93F9-E55C2ADBF47D}">
      <dgm:prSet/>
      <dgm:spPr/>
      <dgm:t>
        <a:bodyPr/>
        <a:lstStyle/>
        <a:p>
          <a:endParaRPr lang="en-GB" sz="1400">
            <a:latin typeface="Arial" panose="020B0604020202020204" pitchFamily="34" charset="0"/>
            <a:cs typeface="Arial" panose="020B0604020202020204" pitchFamily="34" charset="0"/>
          </a:endParaRPr>
        </a:p>
      </dgm:t>
    </dgm:pt>
    <dgm:pt modelId="{5B7905AA-B20F-4DE7-94FC-B713AAF59754}" type="sibTrans" cxnId="{7ED04B2F-14AE-4F40-93F9-E55C2ADBF47D}">
      <dgm:prSet/>
      <dgm:spPr/>
      <dgm:t>
        <a:bodyPr/>
        <a:lstStyle/>
        <a:p>
          <a:endParaRPr lang="en-GB" sz="1400">
            <a:latin typeface="Arial" panose="020B0604020202020204" pitchFamily="34" charset="0"/>
            <a:cs typeface="Arial" panose="020B0604020202020204" pitchFamily="34" charset="0"/>
          </a:endParaRPr>
        </a:p>
      </dgm:t>
    </dgm:pt>
    <dgm:pt modelId="{BFE2C855-8F65-429E-8663-C79BA88E991A}">
      <dgm:prSet custT="1"/>
      <dgm:spPr/>
      <dgm:t>
        <a:bodyPr/>
        <a:lstStyle/>
        <a:p>
          <a:pPr algn="l"/>
          <a:r>
            <a:rPr lang="en-GB" sz="1400">
              <a:latin typeface="Arial" panose="020B0604020202020204" pitchFamily="34" charset="0"/>
              <a:cs typeface="Arial" panose="020B0604020202020204" pitchFamily="34" charset="0"/>
            </a:rPr>
            <a:t>Physical health</a:t>
          </a:r>
        </a:p>
      </dgm:t>
    </dgm:pt>
    <dgm:pt modelId="{DEEF28EE-B96C-460D-981E-E1BCE6A94430}" type="parTrans" cxnId="{FE5EFA8D-9B4D-4645-AD9E-63D656208AB2}">
      <dgm:prSet/>
      <dgm:spPr/>
      <dgm:t>
        <a:bodyPr/>
        <a:lstStyle/>
        <a:p>
          <a:endParaRPr lang="en-GB" sz="1400">
            <a:latin typeface="Arial" panose="020B0604020202020204" pitchFamily="34" charset="0"/>
            <a:cs typeface="Arial" panose="020B0604020202020204" pitchFamily="34" charset="0"/>
          </a:endParaRPr>
        </a:p>
      </dgm:t>
    </dgm:pt>
    <dgm:pt modelId="{354A3A79-2A04-4160-A9B8-073D49DE1995}" type="sibTrans" cxnId="{FE5EFA8D-9B4D-4645-AD9E-63D656208AB2}">
      <dgm:prSet/>
      <dgm:spPr/>
      <dgm:t>
        <a:bodyPr/>
        <a:lstStyle/>
        <a:p>
          <a:endParaRPr lang="en-GB" sz="1400">
            <a:latin typeface="Arial" panose="020B0604020202020204" pitchFamily="34" charset="0"/>
            <a:cs typeface="Arial" panose="020B0604020202020204" pitchFamily="34" charset="0"/>
          </a:endParaRPr>
        </a:p>
      </dgm:t>
    </dgm:pt>
    <dgm:pt modelId="{5CF2EE6E-E952-4058-87EC-DF9F70D357B2}" type="pres">
      <dgm:prSet presAssocID="{4A26B94E-1DBB-481B-A318-B85E658D91EE}" presName="linear" presStyleCnt="0">
        <dgm:presLayoutVars>
          <dgm:animLvl val="lvl"/>
          <dgm:resizeHandles val="exact"/>
        </dgm:presLayoutVars>
      </dgm:prSet>
      <dgm:spPr/>
    </dgm:pt>
    <dgm:pt modelId="{5B476028-E8C7-4E5E-A446-9148FDA89F14}" type="pres">
      <dgm:prSet presAssocID="{868545CE-DD21-401C-96F5-2995DE5B32C2}" presName="parentText" presStyleLbl="node1" presStyleIdx="0" presStyleCnt="6">
        <dgm:presLayoutVars>
          <dgm:chMax val="0"/>
          <dgm:bulletEnabled val="1"/>
        </dgm:presLayoutVars>
      </dgm:prSet>
      <dgm:spPr/>
    </dgm:pt>
    <dgm:pt modelId="{2E7B99C1-285A-4942-918E-1D3CDCA9CA32}" type="pres">
      <dgm:prSet presAssocID="{BB884F26-81C3-48B0-A17B-6FF91F175EAD}" presName="spacer" presStyleCnt="0"/>
      <dgm:spPr/>
    </dgm:pt>
    <dgm:pt modelId="{2989F57B-1ACF-4AC2-970E-D5C1173C8D17}" type="pres">
      <dgm:prSet presAssocID="{0F242F0C-3F23-4A88-8FB4-96396625FE1E}" presName="parentText" presStyleLbl="node1" presStyleIdx="1" presStyleCnt="6">
        <dgm:presLayoutVars>
          <dgm:chMax val="0"/>
          <dgm:bulletEnabled val="1"/>
        </dgm:presLayoutVars>
      </dgm:prSet>
      <dgm:spPr/>
    </dgm:pt>
    <dgm:pt modelId="{F5EE8524-B11B-45A5-8F10-D2734D44681A}" type="pres">
      <dgm:prSet presAssocID="{5B7905AA-B20F-4DE7-94FC-B713AAF59754}" presName="spacer" presStyleCnt="0"/>
      <dgm:spPr/>
    </dgm:pt>
    <dgm:pt modelId="{1028C968-9378-4E9C-AC5F-F15AEBE9FBDA}" type="pres">
      <dgm:prSet presAssocID="{9A3C430E-7789-4C0F-B8EE-CE45DF674C5A}" presName="parentText" presStyleLbl="node1" presStyleIdx="2" presStyleCnt="6">
        <dgm:presLayoutVars>
          <dgm:chMax val="0"/>
          <dgm:bulletEnabled val="1"/>
        </dgm:presLayoutVars>
      </dgm:prSet>
      <dgm:spPr/>
    </dgm:pt>
    <dgm:pt modelId="{AF4E099C-381D-4DC2-8DE2-FDDD6E841A15}" type="pres">
      <dgm:prSet presAssocID="{9BAEFB29-833C-4325-848D-5452031BDB88}" presName="spacer" presStyleCnt="0"/>
      <dgm:spPr/>
    </dgm:pt>
    <dgm:pt modelId="{AF0CD276-955C-402E-8CC9-1C9899476986}" type="pres">
      <dgm:prSet presAssocID="{BFE2C855-8F65-429E-8663-C79BA88E991A}" presName="parentText" presStyleLbl="node1" presStyleIdx="3" presStyleCnt="6">
        <dgm:presLayoutVars>
          <dgm:chMax val="0"/>
          <dgm:bulletEnabled val="1"/>
        </dgm:presLayoutVars>
      </dgm:prSet>
      <dgm:spPr/>
    </dgm:pt>
    <dgm:pt modelId="{CB200399-02FB-4328-8146-5F2C4824AB0D}" type="pres">
      <dgm:prSet presAssocID="{354A3A79-2A04-4160-A9B8-073D49DE1995}" presName="spacer" presStyleCnt="0"/>
      <dgm:spPr/>
    </dgm:pt>
    <dgm:pt modelId="{CCD9440C-8849-4055-A226-EA3A8672D9C1}" type="pres">
      <dgm:prSet presAssocID="{42D42741-6402-465C-97D0-AF7F20BC7C75}" presName="parentText" presStyleLbl="node1" presStyleIdx="4" presStyleCnt="6">
        <dgm:presLayoutVars>
          <dgm:chMax val="0"/>
          <dgm:bulletEnabled val="1"/>
        </dgm:presLayoutVars>
      </dgm:prSet>
      <dgm:spPr/>
    </dgm:pt>
    <dgm:pt modelId="{A14EA38E-E2BF-4D14-B41F-1F815A528399}" type="pres">
      <dgm:prSet presAssocID="{5314A511-C942-4136-A844-7307A4EA70C3}" presName="spacer" presStyleCnt="0"/>
      <dgm:spPr/>
    </dgm:pt>
    <dgm:pt modelId="{95405012-1F91-4FFD-AC34-CD1B520DF98E}" type="pres">
      <dgm:prSet presAssocID="{1936B1EF-A13F-4B57-A5AF-A8409698DB89}" presName="parentText" presStyleLbl="node1" presStyleIdx="5" presStyleCnt="6">
        <dgm:presLayoutVars>
          <dgm:chMax val="0"/>
          <dgm:bulletEnabled val="1"/>
        </dgm:presLayoutVars>
      </dgm:prSet>
      <dgm:spPr/>
    </dgm:pt>
  </dgm:ptLst>
  <dgm:cxnLst>
    <dgm:cxn modelId="{7ED04B2F-14AE-4F40-93F9-E55C2ADBF47D}" srcId="{4A26B94E-1DBB-481B-A318-B85E658D91EE}" destId="{0F242F0C-3F23-4A88-8FB4-96396625FE1E}" srcOrd="1" destOrd="0" parTransId="{69E9E691-4710-4F5C-B396-8C4A2CA66F42}" sibTransId="{5B7905AA-B20F-4DE7-94FC-B713AAF59754}"/>
    <dgm:cxn modelId="{CBCE676F-ADBA-48C4-AC72-7EF24555D5F2}" type="presOf" srcId="{42D42741-6402-465C-97D0-AF7F20BC7C75}" destId="{CCD9440C-8849-4055-A226-EA3A8672D9C1}" srcOrd="0" destOrd="0" presId="urn:microsoft.com/office/officeart/2005/8/layout/vList2"/>
    <dgm:cxn modelId="{D473CB8A-2D65-483C-B546-42778DD34B41}" srcId="{4A26B94E-1DBB-481B-A318-B85E658D91EE}" destId="{9A3C430E-7789-4C0F-B8EE-CE45DF674C5A}" srcOrd="2" destOrd="0" parTransId="{2C87C384-056E-4808-8B7A-C6080A208315}" sibTransId="{9BAEFB29-833C-4325-848D-5452031BDB88}"/>
    <dgm:cxn modelId="{FE5EFA8D-9B4D-4645-AD9E-63D656208AB2}" srcId="{4A26B94E-1DBB-481B-A318-B85E658D91EE}" destId="{BFE2C855-8F65-429E-8663-C79BA88E991A}" srcOrd="3" destOrd="0" parTransId="{DEEF28EE-B96C-460D-981E-E1BCE6A94430}" sibTransId="{354A3A79-2A04-4160-A9B8-073D49DE1995}"/>
    <dgm:cxn modelId="{B8FA5E92-9EBB-494E-93B5-F94F355C9505}" type="presOf" srcId="{0F242F0C-3F23-4A88-8FB4-96396625FE1E}" destId="{2989F57B-1ACF-4AC2-970E-D5C1173C8D17}" srcOrd="0" destOrd="0" presId="urn:microsoft.com/office/officeart/2005/8/layout/vList2"/>
    <dgm:cxn modelId="{87D74499-49DE-4F42-A5B7-9FCA8C1F728F}" srcId="{4A26B94E-1DBB-481B-A318-B85E658D91EE}" destId="{1936B1EF-A13F-4B57-A5AF-A8409698DB89}" srcOrd="5" destOrd="0" parTransId="{6390DD81-B7E3-43CF-98F6-E5628E0A6FA2}" sibTransId="{32B18D49-9255-4DDE-91DF-9D8620FA99CB}"/>
    <dgm:cxn modelId="{116597B2-710A-4F42-BDC0-FED967092E04}" type="presOf" srcId="{9A3C430E-7789-4C0F-B8EE-CE45DF674C5A}" destId="{1028C968-9378-4E9C-AC5F-F15AEBE9FBDA}" srcOrd="0" destOrd="0" presId="urn:microsoft.com/office/officeart/2005/8/layout/vList2"/>
    <dgm:cxn modelId="{F2D178B5-D4BE-4C0A-9023-CAE6D78068E2}" type="presOf" srcId="{BFE2C855-8F65-429E-8663-C79BA88E991A}" destId="{AF0CD276-955C-402E-8CC9-1C9899476986}" srcOrd="0" destOrd="0" presId="urn:microsoft.com/office/officeart/2005/8/layout/vList2"/>
    <dgm:cxn modelId="{EC9C6EDA-5E40-4FA7-A9B6-37413B6E68FA}" type="presOf" srcId="{4A26B94E-1DBB-481B-A318-B85E658D91EE}" destId="{5CF2EE6E-E952-4058-87EC-DF9F70D357B2}" srcOrd="0" destOrd="0" presId="urn:microsoft.com/office/officeart/2005/8/layout/vList2"/>
    <dgm:cxn modelId="{2DF639DE-AD8C-47AA-9D4B-0208A6D01E93}" srcId="{4A26B94E-1DBB-481B-A318-B85E658D91EE}" destId="{42D42741-6402-465C-97D0-AF7F20BC7C75}" srcOrd="4" destOrd="0" parTransId="{FDF0306B-5F99-4B50-81FB-60C71E48E8BA}" sibTransId="{5314A511-C942-4136-A844-7307A4EA70C3}"/>
    <dgm:cxn modelId="{E9047DE8-EDF9-46D0-94C1-8951BC87BAE1}" type="presOf" srcId="{868545CE-DD21-401C-96F5-2995DE5B32C2}" destId="{5B476028-E8C7-4E5E-A446-9148FDA89F14}" srcOrd="0" destOrd="0" presId="urn:microsoft.com/office/officeart/2005/8/layout/vList2"/>
    <dgm:cxn modelId="{35F78AF5-71A1-42EB-BEA9-BD3FF67DFA7C}" type="presOf" srcId="{1936B1EF-A13F-4B57-A5AF-A8409698DB89}" destId="{95405012-1F91-4FFD-AC34-CD1B520DF98E}" srcOrd="0" destOrd="0" presId="urn:microsoft.com/office/officeart/2005/8/layout/vList2"/>
    <dgm:cxn modelId="{1BDCA5F5-DF6D-4AE4-BFB4-A50366A01694}" srcId="{4A26B94E-1DBB-481B-A318-B85E658D91EE}" destId="{868545CE-DD21-401C-96F5-2995DE5B32C2}" srcOrd="0" destOrd="0" parTransId="{1E92A864-33CE-4A8E-86FF-31253F67100B}" sibTransId="{BB884F26-81C3-48B0-A17B-6FF91F175EAD}"/>
    <dgm:cxn modelId="{4744A6E0-4973-470A-8C67-4D728FA7DB21}" type="presParOf" srcId="{5CF2EE6E-E952-4058-87EC-DF9F70D357B2}" destId="{5B476028-E8C7-4E5E-A446-9148FDA89F14}" srcOrd="0" destOrd="0" presId="urn:microsoft.com/office/officeart/2005/8/layout/vList2"/>
    <dgm:cxn modelId="{FE1D6EF3-47D3-4362-A75F-93CFDA105744}" type="presParOf" srcId="{5CF2EE6E-E952-4058-87EC-DF9F70D357B2}" destId="{2E7B99C1-285A-4942-918E-1D3CDCA9CA32}" srcOrd="1" destOrd="0" presId="urn:microsoft.com/office/officeart/2005/8/layout/vList2"/>
    <dgm:cxn modelId="{587A752A-0A96-469B-8591-DF2EA1F93426}" type="presParOf" srcId="{5CF2EE6E-E952-4058-87EC-DF9F70D357B2}" destId="{2989F57B-1ACF-4AC2-970E-D5C1173C8D17}" srcOrd="2" destOrd="0" presId="urn:microsoft.com/office/officeart/2005/8/layout/vList2"/>
    <dgm:cxn modelId="{F0D89180-DEF8-47A0-971F-1F52D1BB50DF}" type="presParOf" srcId="{5CF2EE6E-E952-4058-87EC-DF9F70D357B2}" destId="{F5EE8524-B11B-45A5-8F10-D2734D44681A}" srcOrd="3" destOrd="0" presId="urn:microsoft.com/office/officeart/2005/8/layout/vList2"/>
    <dgm:cxn modelId="{3DF5E6BD-EF10-472E-8BD8-457BC71027B3}" type="presParOf" srcId="{5CF2EE6E-E952-4058-87EC-DF9F70D357B2}" destId="{1028C968-9378-4E9C-AC5F-F15AEBE9FBDA}" srcOrd="4" destOrd="0" presId="urn:microsoft.com/office/officeart/2005/8/layout/vList2"/>
    <dgm:cxn modelId="{BE30D46B-CE5A-473C-96A2-968DB6DB921A}" type="presParOf" srcId="{5CF2EE6E-E952-4058-87EC-DF9F70D357B2}" destId="{AF4E099C-381D-4DC2-8DE2-FDDD6E841A15}" srcOrd="5" destOrd="0" presId="urn:microsoft.com/office/officeart/2005/8/layout/vList2"/>
    <dgm:cxn modelId="{C4A3C095-9BA3-4EAC-AEB4-95C88AE3B181}" type="presParOf" srcId="{5CF2EE6E-E952-4058-87EC-DF9F70D357B2}" destId="{AF0CD276-955C-402E-8CC9-1C9899476986}" srcOrd="6" destOrd="0" presId="urn:microsoft.com/office/officeart/2005/8/layout/vList2"/>
    <dgm:cxn modelId="{DCEE61A6-1959-4058-85AE-0EC1B430E5A5}" type="presParOf" srcId="{5CF2EE6E-E952-4058-87EC-DF9F70D357B2}" destId="{CB200399-02FB-4328-8146-5F2C4824AB0D}" srcOrd="7" destOrd="0" presId="urn:microsoft.com/office/officeart/2005/8/layout/vList2"/>
    <dgm:cxn modelId="{CD948FE1-BFD0-419E-96AB-A6221F52B7DB}" type="presParOf" srcId="{5CF2EE6E-E952-4058-87EC-DF9F70D357B2}" destId="{CCD9440C-8849-4055-A226-EA3A8672D9C1}" srcOrd="8" destOrd="0" presId="urn:microsoft.com/office/officeart/2005/8/layout/vList2"/>
    <dgm:cxn modelId="{1C793576-E831-4784-BACA-9C8E3773E8A8}" type="presParOf" srcId="{5CF2EE6E-E952-4058-87EC-DF9F70D357B2}" destId="{A14EA38E-E2BF-4D14-B41F-1F815A528399}" srcOrd="9" destOrd="0" presId="urn:microsoft.com/office/officeart/2005/8/layout/vList2"/>
    <dgm:cxn modelId="{FC7D97B9-1461-4BCA-A29D-3694054D9988}" type="presParOf" srcId="{5CF2EE6E-E952-4058-87EC-DF9F70D357B2}" destId="{95405012-1F91-4FFD-AC34-CD1B520DF98E}" srcOrd="10" destOrd="0" presId="urn:microsoft.com/office/officeart/2005/8/layout/vList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A26B94E-1DBB-481B-A318-B85E658D91EE}" type="doc">
      <dgm:prSet loTypeId="urn:microsoft.com/office/officeart/2005/8/layout/vList2" loCatId="list" qsTypeId="urn:microsoft.com/office/officeart/2005/8/quickstyle/simple1" qsCatId="simple" csTypeId="urn:microsoft.com/office/officeart/2005/8/colors/colorful1" csCatId="colorful" phldr="1"/>
      <dgm:spPr/>
      <dgm:t>
        <a:bodyPr/>
        <a:lstStyle/>
        <a:p>
          <a:endParaRPr lang="en-GB"/>
        </a:p>
      </dgm:t>
    </dgm:pt>
    <dgm:pt modelId="{9A3C430E-7789-4C0F-B8EE-CE45DF674C5A}">
      <dgm:prSet phldrT="[Text]" custT="1"/>
      <dgm:spPr/>
      <dgm:t>
        <a:bodyPr/>
        <a:lstStyle/>
        <a:p>
          <a:pPr algn="l"/>
          <a:r>
            <a:rPr lang="en-GB" sz="1400">
              <a:latin typeface="Arial" panose="020B0604020202020204" pitchFamily="34" charset="0"/>
              <a:cs typeface="Arial" panose="020B0604020202020204" pitchFamily="34" charset="0"/>
            </a:rPr>
            <a:t>Using the talent, knowledge &amp; skills of experts by experience to design better services</a:t>
          </a:r>
        </a:p>
      </dgm:t>
    </dgm:pt>
    <dgm:pt modelId="{2C87C384-056E-4808-8B7A-C6080A208315}" type="parTrans" cxnId="{D473CB8A-2D65-483C-B546-42778DD34B41}">
      <dgm:prSet/>
      <dgm:spPr/>
      <dgm:t>
        <a:bodyPr/>
        <a:lstStyle/>
        <a:p>
          <a:endParaRPr lang="en-GB" sz="1400">
            <a:latin typeface="Arial" panose="020B0604020202020204" pitchFamily="34" charset="0"/>
            <a:cs typeface="Arial" panose="020B0604020202020204" pitchFamily="34" charset="0"/>
          </a:endParaRPr>
        </a:p>
      </dgm:t>
    </dgm:pt>
    <dgm:pt modelId="{9BAEFB29-833C-4325-848D-5452031BDB88}" type="sibTrans" cxnId="{D473CB8A-2D65-483C-B546-42778DD34B41}">
      <dgm:prSet/>
      <dgm:spPr/>
      <dgm:t>
        <a:bodyPr/>
        <a:lstStyle/>
        <a:p>
          <a:endParaRPr lang="en-GB" sz="1400">
            <a:latin typeface="Arial" panose="020B0604020202020204" pitchFamily="34" charset="0"/>
            <a:cs typeface="Arial" panose="020B0604020202020204" pitchFamily="34" charset="0"/>
          </a:endParaRPr>
        </a:p>
      </dgm:t>
    </dgm:pt>
    <dgm:pt modelId="{868545CE-DD21-401C-96F5-2995DE5B32C2}">
      <dgm:prSet custT="1"/>
      <dgm:spPr/>
      <dgm:t>
        <a:bodyPr/>
        <a:lstStyle/>
        <a:p>
          <a:pPr algn="l"/>
          <a:r>
            <a:rPr lang="en-GB" sz="1400">
              <a:latin typeface="Arial" panose="020B0604020202020204" pitchFamily="34" charset="0"/>
              <a:cs typeface="Arial" panose="020B0604020202020204" pitchFamily="34" charset="0"/>
            </a:rPr>
            <a:t>Closing the gap in physical and mental health outcomes for people with a learning disability, autism, or both and friendships and are supported to understand how to keep themselves safe</a:t>
          </a:r>
        </a:p>
      </dgm:t>
    </dgm:pt>
    <dgm:pt modelId="{1E92A864-33CE-4A8E-86FF-31253F67100B}" type="parTrans" cxnId="{1BDCA5F5-DF6D-4AE4-BFB4-A50366A01694}">
      <dgm:prSet/>
      <dgm:spPr/>
      <dgm:t>
        <a:bodyPr/>
        <a:lstStyle/>
        <a:p>
          <a:endParaRPr lang="en-GB" sz="1400">
            <a:latin typeface="Arial" panose="020B0604020202020204" pitchFamily="34" charset="0"/>
            <a:cs typeface="Arial" panose="020B0604020202020204" pitchFamily="34" charset="0"/>
          </a:endParaRPr>
        </a:p>
      </dgm:t>
    </dgm:pt>
    <dgm:pt modelId="{BB884F26-81C3-48B0-A17B-6FF91F175EAD}" type="sibTrans" cxnId="{1BDCA5F5-DF6D-4AE4-BFB4-A50366A01694}">
      <dgm:prSet/>
      <dgm:spPr/>
      <dgm:t>
        <a:bodyPr/>
        <a:lstStyle/>
        <a:p>
          <a:endParaRPr lang="en-GB" sz="1400">
            <a:latin typeface="Arial" panose="020B0604020202020204" pitchFamily="34" charset="0"/>
            <a:cs typeface="Arial" panose="020B0604020202020204" pitchFamily="34" charset="0"/>
          </a:endParaRPr>
        </a:p>
      </dgm:t>
    </dgm:pt>
    <dgm:pt modelId="{0F242F0C-3F23-4A88-8FB4-96396625FE1E}">
      <dgm:prSet custT="1"/>
      <dgm:spPr/>
      <dgm:t>
        <a:bodyPr/>
        <a:lstStyle/>
        <a:p>
          <a:pPr algn="l"/>
          <a:r>
            <a:rPr lang="en-GB" sz="1400">
              <a:latin typeface="Arial" panose="020B0604020202020204" pitchFamily="34" charset="0"/>
              <a:cs typeface="Arial" panose="020B0604020202020204" pitchFamily="34" charset="0"/>
            </a:rPr>
            <a:t>Securing equitable access to early intervention &amp; prevention services across the local NHS lives</a:t>
          </a:r>
        </a:p>
      </dgm:t>
    </dgm:pt>
    <dgm:pt modelId="{69E9E691-4710-4F5C-B396-8C4A2CA66F42}" type="parTrans" cxnId="{7ED04B2F-14AE-4F40-93F9-E55C2ADBF47D}">
      <dgm:prSet/>
      <dgm:spPr/>
      <dgm:t>
        <a:bodyPr/>
        <a:lstStyle/>
        <a:p>
          <a:endParaRPr lang="en-GB" sz="1400">
            <a:latin typeface="Arial" panose="020B0604020202020204" pitchFamily="34" charset="0"/>
            <a:cs typeface="Arial" panose="020B0604020202020204" pitchFamily="34" charset="0"/>
          </a:endParaRPr>
        </a:p>
      </dgm:t>
    </dgm:pt>
    <dgm:pt modelId="{5B7905AA-B20F-4DE7-94FC-B713AAF59754}" type="sibTrans" cxnId="{7ED04B2F-14AE-4F40-93F9-E55C2ADBF47D}">
      <dgm:prSet/>
      <dgm:spPr/>
      <dgm:t>
        <a:bodyPr/>
        <a:lstStyle/>
        <a:p>
          <a:endParaRPr lang="en-GB" sz="1400">
            <a:latin typeface="Arial" panose="020B0604020202020204" pitchFamily="34" charset="0"/>
            <a:cs typeface="Arial" panose="020B0604020202020204" pitchFamily="34" charset="0"/>
          </a:endParaRPr>
        </a:p>
      </dgm:t>
    </dgm:pt>
    <dgm:pt modelId="{5CF2EE6E-E952-4058-87EC-DF9F70D357B2}" type="pres">
      <dgm:prSet presAssocID="{4A26B94E-1DBB-481B-A318-B85E658D91EE}" presName="linear" presStyleCnt="0">
        <dgm:presLayoutVars>
          <dgm:animLvl val="lvl"/>
          <dgm:resizeHandles val="exact"/>
        </dgm:presLayoutVars>
      </dgm:prSet>
      <dgm:spPr/>
    </dgm:pt>
    <dgm:pt modelId="{5B476028-E8C7-4E5E-A446-9148FDA89F14}" type="pres">
      <dgm:prSet presAssocID="{868545CE-DD21-401C-96F5-2995DE5B32C2}" presName="parentText" presStyleLbl="node1" presStyleIdx="0" presStyleCnt="3" custScaleY="124637">
        <dgm:presLayoutVars>
          <dgm:chMax val="0"/>
          <dgm:bulletEnabled val="1"/>
        </dgm:presLayoutVars>
      </dgm:prSet>
      <dgm:spPr/>
    </dgm:pt>
    <dgm:pt modelId="{2E7B99C1-285A-4942-918E-1D3CDCA9CA32}" type="pres">
      <dgm:prSet presAssocID="{BB884F26-81C3-48B0-A17B-6FF91F175EAD}" presName="spacer" presStyleCnt="0"/>
      <dgm:spPr/>
    </dgm:pt>
    <dgm:pt modelId="{2989F57B-1ACF-4AC2-970E-D5C1173C8D17}" type="pres">
      <dgm:prSet presAssocID="{0F242F0C-3F23-4A88-8FB4-96396625FE1E}" presName="parentText" presStyleLbl="node1" presStyleIdx="1" presStyleCnt="3" custScaleY="105321">
        <dgm:presLayoutVars>
          <dgm:chMax val="0"/>
          <dgm:bulletEnabled val="1"/>
        </dgm:presLayoutVars>
      </dgm:prSet>
      <dgm:spPr/>
    </dgm:pt>
    <dgm:pt modelId="{F5EE8524-B11B-45A5-8F10-D2734D44681A}" type="pres">
      <dgm:prSet presAssocID="{5B7905AA-B20F-4DE7-94FC-B713AAF59754}" presName="spacer" presStyleCnt="0"/>
      <dgm:spPr/>
    </dgm:pt>
    <dgm:pt modelId="{1028C968-9378-4E9C-AC5F-F15AEBE9FBDA}" type="pres">
      <dgm:prSet presAssocID="{9A3C430E-7789-4C0F-B8EE-CE45DF674C5A}" presName="parentText" presStyleLbl="node1" presStyleIdx="2" presStyleCnt="3" custScaleY="104182">
        <dgm:presLayoutVars>
          <dgm:chMax val="0"/>
          <dgm:bulletEnabled val="1"/>
        </dgm:presLayoutVars>
      </dgm:prSet>
      <dgm:spPr/>
    </dgm:pt>
  </dgm:ptLst>
  <dgm:cxnLst>
    <dgm:cxn modelId="{7ED04B2F-14AE-4F40-93F9-E55C2ADBF47D}" srcId="{4A26B94E-1DBB-481B-A318-B85E658D91EE}" destId="{0F242F0C-3F23-4A88-8FB4-96396625FE1E}" srcOrd="1" destOrd="0" parTransId="{69E9E691-4710-4F5C-B396-8C4A2CA66F42}" sibTransId="{5B7905AA-B20F-4DE7-94FC-B713AAF59754}"/>
    <dgm:cxn modelId="{D473CB8A-2D65-483C-B546-42778DD34B41}" srcId="{4A26B94E-1DBB-481B-A318-B85E658D91EE}" destId="{9A3C430E-7789-4C0F-B8EE-CE45DF674C5A}" srcOrd="2" destOrd="0" parTransId="{2C87C384-056E-4808-8B7A-C6080A208315}" sibTransId="{9BAEFB29-833C-4325-848D-5452031BDB88}"/>
    <dgm:cxn modelId="{B8FA5E92-9EBB-494E-93B5-F94F355C9505}" type="presOf" srcId="{0F242F0C-3F23-4A88-8FB4-96396625FE1E}" destId="{2989F57B-1ACF-4AC2-970E-D5C1173C8D17}" srcOrd="0" destOrd="0" presId="urn:microsoft.com/office/officeart/2005/8/layout/vList2"/>
    <dgm:cxn modelId="{116597B2-710A-4F42-BDC0-FED967092E04}" type="presOf" srcId="{9A3C430E-7789-4C0F-B8EE-CE45DF674C5A}" destId="{1028C968-9378-4E9C-AC5F-F15AEBE9FBDA}" srcOrd="0" destOrd="0" presId="urn:microsoft.com/office/officeart/2005/8/layout/vList2"/>
    <dgm:cxn modelId="{EC9C6EDA-5E40-4FA7-A9B6-37413B6E68FA}" type="presOf" srcId="{4A26B94E-1DBB-481B-A318-B85E658D91EE}" destId="{5CF2EE6E-E952-4058-87EC-DF9F70D357B2}" srcOrd="0" destOrd="0" presId="urn:microsoft.com/office/officeart/2005/8/layout/vList2"/>
    <dgm:cxn modelId="{E9047DE8-EDF9-46D0-94C1-8951BC87BAE1}" type="presOf" srcId="{868545CE-DD21-401C-96F5-2995DE5B32C2}" destId="{5B476028-E8C7-4E5E-A446-9148FDA89F14}" srcOrd="0" destOrd="0" presId="urn:microsoft.com/office/officeart/2005/8/layout/vList2"/>
    <dgm:cxn modelId="{1BDCA5F5-DF6D-4AE4-BFB4-A50366A01694}" srcId="{4A26B94E-1DBB-481B-A318-B85E658D91EE}" destId="{868545CE-DD21-401C-96F5-2995DE5B32C2}" srcOrd="0" destOrd="0" parTransId="{1E92A864-33CE-4A8E-86FF-31253F67100B}" sibTransId="{BB884F26-81C3-48B0-A17B-6FF91F175EAD}"/>
    <dgm:cxn modelId="{4744A6E0-4973-470A-8C67-4D728FA7DB21}" type="presParOf" srcId="{5CF2EE6E-E952-4058-87EC-DF9F70D357B2}" destId="{5B476028-E8C7-4E5E-A446-9148FDA89F14}" srcOrd="0" destOrd="0" presId="urn:microsoft.com/office/officeart/2005/8/layout/vList2"/>
    <dgm:cxn modelId="{FE1D6EF3-47D3-4362-A75F-93CFDA105744}" type="presParOf" srcId="{5CF2EE6E-E952-4058-87EC-DF9F70D357B2}" destId="{2E7B99C1-285A-4942-918E-1D3CDCA9CA32}" srcOrd="1" destOrd="0" presId="urn:microsoft.com/office/officeart/2005/8/layout/vList2"/>
    <dgm:cxn modelId="{587A752A-0A96-469B-8591-DF2EA1F93426}" type="presParOf" srcId="{5CF2EE6E-E952-4058-87EC-DF9F70D357B2}" destId="{2989F57B-1ACF-4AC2-970E-D5C1173C8D17}" srcOrd="2" destOrd="0" presId="urn:microsoft.com/office/officeart/2005/8/layout/vList2"/>
    <dgm:cxn modelId="{F0D89180-DEF8-47A0-971F-1F52D1BB50DF}" type="presParOf" srcId="{5CF2EE6E-E952-4058-87EC-DF9F70D357B2}" destId="{F5EE8524-B11B-45A5-8F10-D2734D44681A}" srcOrd="3" destOrd="0" presId="urn:microsoft.com/office/officeart/2005/8/layout/vList2"/>
    <dgm:cxn modelId="{3DF5E6BD-EF10-472E-8BD8-457BC71027B3}" type="presParOf" srcId="{5CF2EE6E-E952-4058-87EC-DF9F70D357B2}" destId="{1028C968-9378-4E9C-AC5F-F15AEBE9FBDA}" srcOrd="4" destOrd="0" presId="urn:microsoft.com/office/officeart/2005/8/layout/vList2"/>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A26B94E-1DBB-481B-A318-B85E658D91EE}" type="doc">
      <dgm:prSet loTypeId="urn:microsoft.com/office/officeart/2005/8/layout/vList2" loCatId="list" qsTypeId="urn:microsoft.com/office/officeart/2005/8/quickstyle/simple1" qsCatId="simple" csTypeId="urn:microsoft.com/office/officeart/2005/8/colors/colorful1" csCatId="colorful" phldr="1"/>
      <dgm:spPr/>
      <dgm:t>
        <a:bodyPr/>
        <a:lstStyle/>
        <a:p>
          <a:endParaRPr lang="en-GB"/>
        </a:p>
      </dgm:t>
    </dgm:pt>
    <dgm:pt modelId="{9A3C430E-7789-4C0F-B8EE-CE45DF674C5A}">
      <dgm:prSet phldrT="[Text]" custT="1"/>
      <dgm:spPr/>
      <dgm:t>
        <a:bodyPr/>
        <a:lstStyle/>
        <a:p>
          <a:pPr algn="l">
            <a:spcBef>
              <a:spcPts val="0"/>
            </a:spcBef>
            <a:spcAft>
              <a:spcPts val="0"/>
            </a:spcAft>
          </a:pPr>
          <a:r>
            <a:rPr lang="en-GB" sz="1200">
              <a:latin typeface="Arial" panose="020B0604020202020204" pitchFamily="34" charset="0"/>
              <a:cs typeface="Arial" panose="020B0604020202020204" pitchFamily="34" charset="0"/>
            </a:rPr>
            <a:t>Amazing Futures programme supports young people directly through groups, mentoring and social opportunities</a:t>
          </a:r>
        </a:p>
      </dgm:t>
    </dgm:pt>
    <dgm:pt modelId="{2C87C384-056E-4808-8B7A-C6080A208315}" type="parTrans" cxnId="{D473CB8A-2D65-483C-B546-42778DD34B41}">
      <dgm:prSet/>
      <dgm:spPr/>
      <dgm:t>
        <a:bodyPr/>
        <a:lstStyle/>
        <a:p>
          <a:pPr>
            <a:spcBef>
              <a:spcPts val="0"/>
            </a:spcBef>
            <a:spcAft>
              <a:spcPts val="0"/>
            </a:spcAft>
          </a:pPr>
          <a:endParaRPr lang="en-GB" sz="1400">
            <a:latin typeface="Arial" panose="020B0604020202020204" pitchFamily="34" charset="0"/>
            <a:cs typeface="Arial" panose="020B0604020202020204" pitchFamily="34" charset="0"/>
          </a:endParaRPr>
        </a:p>
      </dgm:t>
    </dgm:pt>
    <dgm:pt modelId="{9BAEFB29-833C-4325-848D-5452031BDB88}" type="sibTrans" cxnId="{D473CB8A-2D65-483C-B546-42778DD34B41}">
      <dgm:prSet/>
      <dgm:spPr/>
      <dgm:t>
        <a:bodyPr/>
        <a:lstStyle/>
        <a:p>
          <a:pPr>
            <a:spcBef>
              <a:spcPts val="0"/>
            </a:spcBef>
            <a:spcAft>
              <a:spcPts val="0"/>
            </a:spcAft>
          </a:pPr>
          <a:endParaRPr lang="en-GB" sz="1400">
            <a:latin typeface="Arial" panose="020B0604020202020204" pitchFamily="34" charset="0"/>
            <a:cs typeface="Arial" panose="020B0604020202020204" pitchFamily="34" charset="0"/>
          </a:endParaRPr>
        </a:p>
      </dgm:t>
    </dgm:pt>
    <dgm:pt modelId="{42D42741-6402-465C-97D0-AF7F20BC7C75}">
      <dgm:prSet phldrT="[Text]" custT="1"/>
      <dgm:spPr/>
      <dgm:t>
        <a:bodyPr/>
        <a:lstStyle/>
        <a:p>
          <a:pPr algn="l">
            <a:spcBef>
              <a:spcPts val="0"/>
            </a:spcBef>
            <a:spcAft>
              <a:spcPts val="0"/>
            </a:spcAft>
            <a:buNone/>
          </a:pPr>
          <a:r>
            <a:rPr lang="en-GB" sz="1200">
              <a:latin typeface="Arial" panose="020B0604020202020204" pitchFamily="34" charset="0"/>
              <a:cs typeface="Arial" panose="020B0604020202020204" pitchFamily="34" charset="0"/>
            </a:rPr>
            <a:t>Compass Card, managed by Amaze, further enhances access to leisure opportunities with discounted activities for eligible children and young people</a:t>
          </a:r>
        </a:p>
      </dgm:t>
    </dgm:pt>
    <dgm:pt modelId="{FDF0306B-5F99-4B50-81FB-60C71E48E8BA}" type="parTrans" cxnId="{2DF639DE-AD8C-47AA-9D4B-0208A6D01E93}">
      <dgm:prSet/>
      <dgm:spPr/>
      <dgm:t>
        <a:bodyPr/>
        <a:lstStyle/>
        <a:p>
          <a:pPr>
            <a:spcBef>
              <a:spcPts val="0"/>
            </a:spcBef>
            <a:spcAft>
              <a:spcPts val="0"/>
            </a:spcAft>
          </a:pPr>
          <a:endParaRPr lang="en-GB" sz="1400">
            <a:latin typeface="Arial" panose="020B0604020202020204" pitchFamily="34" charset="0"/>
            <a:cs typeface="Arial" panose="020B0604020202020204" pitchFamily="34" charset="0"/>
          </a:endParaRPr>
        </a:p>
      </dgm:t>
    </dgm:pt>
    <dgm:pt modelId="{5314A511-C942-4136-A844-7307A4EA70C3}" type="sibTrans" cxnId="{2DF639DE-AD8C-47AA-9D4B-0208A6D01E93}">
      <dgm:prSet/>
      <dgm:spPr/>
      <dgm:t>
        <a:bodyPr/>
        <a:lstStyle/>
        <a:p>
          <a:pPr>
            <a:spcBef>
              <a:spcPts val="0"/>
            </a:spcBef>
            <a:spcAft>
              <a:spcPts val="0"/>
            </a:spcAft>
          </a:pPr>
          <a:endParaRPr lang="en-GB" sz="1400">
            <a:latin typeface="Arial" panose="020B0604020202020204" pitchFamily="34" charset="0"/>
            <a:cs typeface="Arial" panose="020B0604020202020204" pitchFamily="34" charset="0"/>
          </a:endParaRPr>
        </a:p>
      </dgm:t>
    </dgm:pt>
    <dgm:pt modelId="{868545CE-DD21-401C-96F5-2995DE5B32C2}">
      <dgm:prSet custT="1"/>
      <dgm:spPr/>
      <dgm:t>
        <a:bodyPr/>
        <a:lstStyle/>
        <a:p>
          <a:pPr algn="l">
            <a:spcBef>
              <a:spcPts val="0"/>
            </a:spcBef>
            <a:spcAft>
              <a:spcPts val="0"/>
            </a:spcAft>
          </a:pPr>
          <a:r>
            <a:rPr lang="en-GB" sz="1200">
              <a:latin typeface="Arial" panose="020B0604020202020204" pitchFamily="34" charset="0"/>
              <a:cs typeface="Arial" panose="020B0604020202020204" pitchFamily="34" charset="0"/>
            </a:rPr>
            <a:t>SENDIASS service, provides legally informed support on education, health &amp; social care processes, ensuring families navigate systems with confidence</a:t>
          </a:r>
        </a:p>
      </dgm:t>
    </dgm:pt>
    <dgm:pt modelId="{1E92A864-33CE-4A8E-86FF-31253F67100B}" type="parTrans" cxnId="{1BDCA5F5-DF6D-4AE4-BFB4-A50366A01694}">
      <dgm:prSet/>
      <dgm:spPr/>
      <dgm:t>
        <a:bodyPr/>
        <a:lstStyle/>
        <a:p>
          <a:pPr>
            <a:spcBef>
              <a:spcPts val="0"/>
            </a:spcBef>
            <a:spcAft>
              <a:spcPts val="0"/>
            </a:spcAft>
          </a:pPr>
          <a:endParaRPr lang="en-GB" sz="1400">
            <a:latin typeface="Arial" panose="020B0604020202020204" pitchFamily="34" charset="0"/>
            <a:cs typeface="Arial" panose="020B0604020202020204" pitchFamily="34" charset="0"/>
          </a:endParaRPr>
        </a:p>
      </dgm:t>
    </dgm:pt>
    <dgm:pt modelId="{BB884F26-81C3-48B0-A17B-6FF91F175EAD}" type="sibTrans" cxnId="{1BDCA5F5-DF6D-4AE4-BFB4-A50366A01694}">
      <dgm:prSet/>
      <dgm:spPr/>
      <dgm:t>
        <a:bodyPr/>
        <a:lstStyle/>
        <a:p>
          <a:pPr>
            <a:spcBef>
              <a:spcPts val="0"/>
            </a:spcBef>
            <a:spcAft>
              <a:spcPts val="0"/>
            </a:spcAft>
          </a:pPr>
          <a:endParaRPr lang="en-GB" sz="1400">
            <a:latin typeface="Arial" panose="020B0604020202020204" pitchFamily="34" charset="0"/>
            <a:cs typeface="Arial" panose="020B0604020202020204" pitchFamily="34" charset="0"/>
          </a:endParaRPr>
        </a:p>
      </dgm:t>
    </dgm:pt>
    <dgm:pt modelId="{0F242F0C-3F23-4A88-8FB4-96396625FE1E}">
      <dgm:prSet custT="1"/>
      <dgm:spPr/>
      <dgm:t>
        <a:bodyPr/>
        <a:lstStyle/>
        <a:p>
          <a:pPr algn="l">
            <a:spcBef>
              <a:spcPts val="0"/>
            </a:spcBef>
            <a:spcAft>
              <a:spcPts val="0"/>
            </a:spcAft>
          </a:pPr>
          <a:r>
            <a:rPr lang="en-GB" sz="1200">
              <a:latin typeface="Arial" panose="020B0604020202020204" pitchFamily="34" charset="0"/>
              <a:cs typeface="Arial" panose="020B0604020202020204" pitchFamily="34" charset="0"/>
            </a:rPr>
            <a:t>ND Family Navigation and Training Service offers targeted guidance &amp; learning opportunities for families of neurodivergent children &amp; young people</a:t>
          </a:r>
        </a:p>
      </dgm:t>
    </dgm:pt>
    <dgm:pt modelId="{69E9E691-4710-4F5C-B396-8C4A2CA66F42}" type="parTrans" cxnId="{7ED04B2F-14AE-4F40-93F9-E55C2ADBF47D}">
      <dgm:prSet/>
      <dgm:spPr/>
      <dgm:t>
        <a:bodyPr/>
        <a:lstStyle/>
        <a:p>
          <a:pPr>
            <a:spcBef>
              <a:spcPts val="0"/>
            </a:spcBef>
            <a:spcAft>
              <a:spcPts val="0"/>
            </a:spcAft>
          </a:pPr>
          <a:endParaRPr lang="en-GB" sz="1400">
            <a:latin typeface="Arial" panose="020B0604020202020204" pitchFamily="34" charset="0"/>
            <a:cs typeface="Arial" panose="020B0604020202020204" pitchFamily="34" charset="0"/>
          </a:endParaRPr>
        </a:p>
      </dgm:t>
    </dgm:pt>
    <dgm:pt modelId="{5B7905AA-B20F-4DE7-94FC-B713AAF59754}" type="sibTrans" cxnId="{7ED04B2F-14AE-4F40-93F9-E55C2ADBF47D}">
      <dgm:prSet/>
      <dgm:spPr/>
      <dgm:t>
        <a:bodyPr/>
        <a:lstStyle/>
        <a:p>
          <a:pPr>
            <a:spcBef>
              <a:spcPts val="0"/>
            </a:spcBef>
            <a:spcAft>
              <a:spcPts val="0"/>
            </a:spcAft>
          </a:pPr>
          <a:endParaRPr lang="en-GB" sz="1400">
            <a:latin typeface="Arial" panose="020B0604020202020204" pitchFamily="34" charset="0"/>
            <a:cs typeface="Arial" panose="020B0604020202020204" pitchFamily="34" charset="0"/>
          </a:endParaRPr>
        </a:p>
      </dgm:t>
    </dgm:pt>
    <dgm:pt modelId="{BFE2C855-8F65-429E-8663-C79BA88E991A}">
      <dgm:prSet custT="1"/>
      <dgm:spPr/>
      <dgm:t>
        <a:bodyPr/>
        <a:lstStyle/>
        <a:p>
          <a:pPr algn="l">
            <a:spcBef>
              <a:spcPts val="0"/>
            </a:spcBef>
            <a:spcAft>
              <a:spcPts val="0"/>
            </a:spcAft>
          </a:pPr>
          <a:r>
            <a:rPr lang="en-GB" sz="1200">
              <a:latin typeface="Arial" panose="020B0604020202020204" pitchFamily="34" charset="0"/>
              <a:cs typeface="Arial" panose="020B0604020202020204" pitchFamily="34" charset="0"/>
            </a:rPr>
            <a:t>Specialist workshops &amp; peer-befriending schemes for parents &amp; young people, alongside dedicated support with DLA, PIP and other benefits</a:t>
          </a:r>
        </a:p>
      </dgm:t>
    </dgm:pt>
    <dgm:pt modelId="{DEEF28EE-B96C-460D-981E-E1BCE6A94430}" type="parTrans" cxnId="{FE5EFA8D-9B4D-4645-AD9E-63D656208AB2}">
      <dgm:prSet/>
      <dgm:spPr/>
      <dgm:t>
        <a:bodyPr/>
        <a:lstStyle/>
        <a:p>
          <a:pPr>
            <a:spcBef>
              <a:spcPts val="0"/>
            </a:spcBef>
            <a:spcAft>
              <a:spcPts val="0"/>
            </a:spcAft>
          </a:pPr>
          <a:endParaRPr lang="en-GB" sz="1400">
            <a:latin typeface="Arial" panose="020B0604020202020204" pitchFamily="34" charset="0"/>
            <a:cs typeface="Arial" panose="020B0604020202020204" pitchFamily="34" charset="0"/>
          </a:endParaRPr>
        </a:p>
      </dgm:t>
    </dgm:pt>
    <dgm:pt modelId="{354A3A79-2A04-4160-A9B8-073D49DE1995}" type="sibTrans" cxnId="{FE5EFA8D-9B4D-4645-AD9E-63D656208AB2}">
      <dgm:prSet/>
      <dgm:spPr/>
      <dgm:t>
        <a:bodyPr/>
        <a:lstStyle/>
        <a:p>
          <a:pPr>
            <a:spcBef>
              <a:spcPts val="0"/>
            </a:spcBef>
            <a:spcAft>
              <a:spcPts val="0"/>
            </a:spcAft>
          </a:pPr>
          <a:endParaRPr lang="en-GB" sz="1400">
            <a:latin typeface="Arial" panose="020B0604020202020204" pitchFamily="34" charset="0"/>
            <a:cs typeface="Arial" panose="020B0604020202020204" pitchFamily="34" charset="0"/>
          </a:endParaRPr>
        </a:p>
      </dgm:t>
    </dgm:pt>
    <dgm:pt modelId="{5CF2EE6E-E952-4058-87EC-DF9F70D357B2}" type="pres">
      <dgm:prSet presAssocID="{4A26B94E-1DBB-481B-A318-B85E658D91EE}" presName="linear" presStyleCnt="0">
        <dgm:presLayoutVars>
          <dgm:animLvl val="lvl"/>
          <dgm:resizeHandles val="exact"/>
        </dgm:presLayoutVars>
      </dgm:prSet>
      <dgm:spPr/>
    </dgm:pt>
    <dgm:pt modelId="{5B476028-E8C7-4E5E-A446-9148FDA89F14}" type="pres">
      <dgm:prSet presAssocID="{868545CE-DD21-401C-96F5-2995DE5B32C2}" presName="parentText" presStyleLbl="node1" presStyleIdx="0" presStyleCnt="5" custScaleY="78564">
        <dgm:presLayoutVars>
          <dgm:chMax val="0"/>
          <dgm:bulletEnabled val="1"/>
        </dgm:presLayoutVars>
      </dgm:prSet>
      <dgm:spPr/>
    </dgm:pt>
    <dgm:pt modelId="{2E7B99C1-285A-4942-918E-1D3CDCA9CA32}" type="pres">
      <dgm:prSet presAssocID="{BB884F26-81C3-48B0-A17B-6FF91F175EAD}" presName="spacer" presStyleCnt="0"/>
      <dgm:spPr/>
    </dgm:pt>
    <dgm:pt modelId="{2989F57B-1ACF-4AC2-970E-D5C1173C8D17}" type="pres">
      <dgm:prSet presAssocID="{0F242F0C-3F23-4A88-8FB4-96396625FE1E}" presName="parentText" presStyleLbl="node1" presStyleIdx="1" presStyleCnt="5" custScaleY="86723">
        <dgm:presLayoutVars>
          <dgm:chMax val="0"/>
          <dgm:bulletEnabled val="1"/>
        </dgm:presLayoutVars>
      </dgm:prSet>
      <dgm:spPr/>
    </dgm:pt>
    <dgm:pt modelId="{F5EE8524-B11B-45A5-8F10-D2734D44681A}" type="pres">
      <dgm:prSet presAssocID="{5B7905AA-B20F-4DE7-94FC-B713AAF59754}" presName="spacer" presStyleCnt="0"/>
      <dgm:spPr/>
    </dgm:pt>
    <dgm:pt modelId="{1028C968-9378-4E9C-AC5F-F15AEBE9FBDA}" type="pres">
      <dgm:prSet presAssocID="{9A3C430E-7789-4C0F-B8EE-CE45DF674C5A}" presName="parentText" presStyleLbl="node1" presStyleIdx="2" presStyleCnt="5" custScaleY="86587">
        <dgm:presLayoutVars>
          <dgm:chMax val="0"/>
          <dgm:bulletEnabled val="1"/>
        </dgm:presLayoutVars>
      </dgm:prSet>
      <dgm:spPr/>
    </dgm:pt>
    <dgm:pt modelId="{AF4E099C-381D-4DC2-8DE2-FDDD6E841A15}" type="pres">
      <dgm:prSet presAssocID="{9BAEFB29-833C-4325-848D-5452031BDB88}" presName="spacer" presStyleCnt="0"/>
      <dgm:spPr/>
    </dgm:pt>
    <dgm:pt modelId="{AF0CD276-955C-402E-8CC9-1C9899476986}" type="pres">
      <dgm:prSet presAssocID="{BFE2C855-8F65-429E-8663-C79BA88E991A}" presName="parentText" presStyleLbl="node1" presStyleIdx="3" presStyleCnt="5" custScaleY="84561">
        <dgm:presLayoutVars>
          <dgm:chMax val="0"/>
          <dgm:bulletEnabled val="1"/>
        </dgm:presLayoutVars>
      </dgm:prSet>
      <dgm:spPr/>
    </dgm:pt>
    <dgm:pt modelId="{CB200399-02FB-4328-8146-5F2C4824AB0D}" type="pres">
      <dgm:prSet presAssocID="{354A3A79-2A04-4160-A9B8-073D49DE1995}" presName="spacer" presStyleCnt="0"/>
      <dgm:spPr/>
    </dgm:pt>
    <dgm:pt modelId="{CCD9440C-8849-4055-A226-EA3A8672D9C1}" type="pres">
      <dgm:prSet presAssocID="{42D42741-6402-465C-97D0-AF7F20BC7C75}" presName="parentText" presStyleLbl="node1" presStyleIdx="4" presStyleCnt="5" custScaleY="76826">
        <dgm:presLayoutVars>
          <dgm:chMax val="0"/>
          <dgm:bulletEnabled val="1"/>
        </dgm:presLayoutVars>
      </dgm:prSet>
      <dgm:spPr/>
    </dgm:pt>
  </dgm:ptLst>
  <dgm:cxnLst>
    <dgm:cxn modelId="{7ED04B2F-14AE-4F40-93F9-E55C2ADBF47D}" srcId="{4A26B94E-1DBB-481B-A318-B85E658D91EE}" destId="{0F242F0C-3F23-4A88-8FB4-96396625FE1E}" srcOrd="1" destOrd="0" parTransId="{69E9E691-4710-4F5C-B396-8C4A2CA66F42}" sibTransId="{5B7905AA-B20F-4DE7-94FC-B713AAF59754}"/>
    <dgm:cxn modelId="{CBCE676F-ADBA-48C4-AC72-7EF24555D5F2}" type="presOf" srcId="{42D42741-6402-465C-97D0-AF7F20BC7C75}" destId="{CCD9440C-8849-4055-A226-EA3A8672D9C1}" srcOrd="0" destOrd="0" presId="urn:microsoft.com/office/officeart/2005/8/layout/vList2"/>
    <dgm:cxn modelId="{D473CB8A-2D65-483C-B546-42778DD34B41}" srcId="{4A26B94E-1DBB-481B-A318-B85E658D91EE}" destId="{9A3C430E-7789-4C0F-B8EE-CE45DF674C5A}" srcOrd="2" destOrd="0" parTransId="{2C87C384-056E-4808-8B7A-C6080A208315}" sibTransId="{9BAEFB29-833C-4325-848D-5452031BDB88}"/>
    <dgm:cxn modelId="{FE5EFA8D-9B4D-4645-AD9E-63D656208AB2}" srcId="{4A26B94E-1DBB-481B-A318-B85E658D91EE}" destId="{BFE2C855-8F65-429E-8663-C79BA88E991A}" srcOrd="3" destOrd="0" parTransId="{DEEF28EE-B96C-460D-981E-E1BCE6A94430}" sibTransId="{354A3A79-2A04-4160-A9B8-073D49DE1995}"/>
    <dgm:cxn modelId="{B8FA5E92-9EBB-494E-93B5-F94F355C9505}" type="presOf" srcId="{0F242F0C-3F23-4A88-8FB4-96396625FE1E}" destId="{2989F57B-1ACF-4AC2-970E-D5C1173C8D17}" srcOrd="0" destOrd="0" presId="urn:microsoft.com/office/officeart/2005/8/layout/vList2"/>
    <dgm:cxn modelId="{116597B2-710A-4F42-BDC0-FED967092E04}" type="presOf" srcId="{9A3C430E-7789-4C0F-B8EE-CE45DF674C5A}" destId="{1028C968-9378-4E9C-AC5F-F15AEBE9FBDA}" srcOrd="0" destOrd="0" presId="urn:microsoft.com/office/officeart/2005/8/layout/vList2"/>
    <dgm:cxn modelId="{F2D178B5-D4BE-4C0A-9023-CAE6D78068E2}" type="presOf" srcId="{BFE2C855-8F65-429E-8663-C79BA88E991A}" destId="{AF0CD276-955C-402E-8CC9-1C9899476986}" srcOrd="0" destOrd="0" presId="urn:microsoft.com/office/officeart/2005/8/layout/vList2"/>
    <dgm:cxn modelId="{EC9C6EDA-5E40-4FA7-A9B6-37413B6E68FA}" type="presOf" srcId="{4A26B94E-1DBB-481B-A318-B85E658D91EE}" destId="{5CF2EE6E-E952-4058-87EC-DF9F70D357B2}" srcOrd="0" destOrd="0" presId="urn:microsoft.com/office/officeart/2005/8/layout/vList2"/>
    <dgm:cxn modelId="{2DF639DE-AD8C-47AA-9D4B-0208A6D01E93}" srcId="{4A26B94E-1DBB-481B-A318-B85E658D91EE}" destId="{42D42741-6402-465C-97D0-AF7F20BC7C75}" srcOrd="4" destOrd="0" parTransId="{FDF0306B-5F99-4B50-81FB-60C71E48E8BA}" sibTransId="{5314A511-C942-4136-A844-7307A4EA70C3}"/>
    <dgm:cxn modelId="{E9047DE8-EDF9-46D0-94C1-8951BC87BAE1}" type="presOf" srcId="{868545CE-DD21-401C-96F5-2995DE5B32C2}" destId="{5B476028-E8C7-4E5E-A446-9148FDA89F14}" srcOrd="0" destOrd="0" presId="urn:microsoft.com/office/officeart/2005/8/layout/vList2"/>
    <dgm:cxn modelId="{1BDCA5F5-DF6D-4AE4-BFB4-A50366A01694}" srcId="{4A26B94E-1DBB-481B-A318-B85E658D91EE}" destId="{868545CE-DD21-401C-96F5-2995DE5B32C2}" srcOrd="0" destOrd="0" parTransId="{1E92A864-33CE-4A8E-86FF-31253F67100B}" sibTransId="{BB884F26-81C3-48B0-A17B-6FF91F175EAD}"/>
    <dgm:cxn modelId="{4744A6E0-4973-470A-8C67-4D728FA7DB21}" type="presParOf" srcId="{5CF2EE6E-E952-4058-87EC-DF9F70D357B2}" destId="{5B476028-E8C7-4E5E-A446-9148FDA89F14}" srcOrd="0" destOrd="0" presId="urn:microsoft.com/office/officeart/2005/8/layout/vList2"/>
    <dgm:cxn modelId="{FE1D6EF3-47D3-4362-A75F-93CFDA105744}" type="presParOf" srcId="{5CF2EE6E-E952-4058-87EC-DF9F70D357B2}" destId="{2E7B99C1-285A-4942-918E-1D3CDCA9CA32}" srcOrd="1" destOrd="0" presId="urn:microsoft.com/office/officeart/2005/8/layout/vList2"/>
    <dgm:cxn modelId="{587A752A-0A96-469B-8591-DF2EA1F93426}" type="presParOf" srcId="{5CF2EE6E-E952-4058-87EC-DF9F70D357B2}" destId="{2989F57B-1ACF-4AC2-970E-D5C1173C8D17}" srcOrd="2" destOrd="0" presId="urn:microsoft.com/office/officeart/2005/8/layout/vList2"/>
    <dgm:cxn modelId="{F0D89180-DEF8-47A0-971F-1F52D1BB50DF}" type="presParOf" srcId="{5CF2EE6E-E952-4058-87EC-DF9F70D357B2}" destId="{F5EE8524-B11B-45A5-8F10-D2734D44681A}" srcOrd="3" destOrd="0" presId="urn:microsoft.com/office/officeart/2005/8/layout/vList2"/>
    <dgm:cxn modelId="{3DF5E6BD-EF10-472E-8BD8-457BC71027B3}" type="presParOf" srcId="{5CF2EE6E-E952-4058-87EC-DF9F70D357B2}" destId="{1028C968-9378-4E9C-AC5F-F15AEBE9FBDA}" srcOrd="4" destOrd="0" presId="urn:microsoft.com/office/officeart/2005/8/layout/vList2"/>
    <dgm:cxn modelId="{BE30D46B-CE5A-473C-96A2-968DB6DB921A}" type="presParOf" srcId="{5CF2EE6E-E952-4058-87EC-DF9F70D357B2}" destId="{AF4E099C-381D-4DC2-8DE2-FDDD6E841A15}" srcOrd="5" destOrd="0" presId="urn:microsoft.com/office/officeart/2005/8/layout/vList2"/>
    <dgm:cxn modelId="{C4A3C095-9BA3-4EAC-AEB4-95C88AE3B181}" type="presParOf" srcId="{5CF2EE6E-E952-4058-87EC-DF9F70D357B2}" destId="{AF0CD276-955C-402E-8CC9-1C9899476986}" srcOrd="6" destOrd="0" presId="urn:microsoft.com/office/officeart/2005/8/layout/vList2"/>
    <dgm:cxn modelId="{DCEE61A6-1959-4058-85AE-0EC1B430E5A5}" type="presParOf" srcId="{5CF2EE6E-E952-4058-87EC-DF9F70D357B2}" destId="{CB200399-02FB-4328-8146-5F2C4824AB0D}" srcOrd="7" destOrd="0" presId="urn:microsoft.com/office/officeart/2005/8/layout/vList2"/>
    <dgm:cxn modelId="{CD948FE1-BFD0-419E-96AB-A6221F52B7DB}" type="presParOf" srcId="{5CF2EE6E-E952-4058-87EC-DF9F70D357B2}" destId="{CCD9440C-8849-4055-A226-EA3A8672D9C1}" srcOrd="8" destOrd="0" presId="urn:microsoft.com/office/officeart/2005/8/layout/vList2"/>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F8219B28-D225-4678-9009-97FD7E6C3683}" type="doc">
      <dgm:prSet loTypeId="urn:microsoft.com/office/officeart/2005/8/layout/default" loCatId="list" qsTypeId="urn:microsoft.com/office/officeart/2005/8/quickstyle/simple1" qsCatId="simple" csTypeId="urn:microsoft.com/office/officeart/2005/8/colors/accent5_2" csCatId="accent5" phldr="1"/>
      <dgm:spPr/>
      <dgm:t>
        <a:bodyPr/>
        <a:lstStyle/>
        <a:p>
          <a:endParaRPr lang="en-GB"/>
        </a:p>
      </dgm:t>
    </dgm:pt>
    <dgm:pt modelId="{74291ACA-4AAA-467E-8C91-E2F417BD3F7F}">
      <dgm:prSet phldrT="[Text]"/>
      <dgm:spPr/>
      <dgm:t>
        <a:bodyPr/>
        <a:lstStyle/>
        <a:p>
          <a:pPr algn="l"/>
          <a:r>
            <a:rPr lang="en-GB"/>
            <a:t>80% of all B&amp;H pupils met the expected standard in reading, writing and maths (combined)</a:t>
          </a:r>
        </a:p>
        <a:p>
          <a:pPr algn="l"/>
          <a:r>
            <a:rPr lang="en-GB"/>
            <a:t>80% England</a:t>
          </a:r>
        </a:p>
      </dgm:t>
    </dgm:pt>
    <dgm:pt modelId="{07E77492-71C4-447F-AFB1-1DC2E7FA2BFB}" type="parTrans" cxnId="{35AEBD7B-E2BB-40E6-A7B0-6C1169D28955}">
      <dgm:prSet/>
      <dgm:spPr/>
      <dgm:t>
        <a:bodyPr/>
        <a:lstStyle/>
        <a:p>
          <a:endParaRPr lang="en-GB"/>
        </a:p>
      </dgm:t>
    </dgm:pt>
    <dgm:pt modelId="{6F401DA3-3D19-422B-BC39-A0C7FF6D932F}" type="sibTrans" cxnId="{35AEBD7B-E2BB-40E6-A7B0-6C1169D28955}">
      <dgm:prSet/>
      <dgm:spPr/>
      <dgm:t>
        <a:bodyPr/>
        <a:lstStyle/>
        <a:p>
          <a:endParaRPr lang="en-GB"/>
        </a:p>
      </dgm:t>
    </dgm:pt>
    <dgm:pt modelId="{7005C320-00CC-46FE-AF45-237C616E8A0D}">
      <dgm:prSet phldrT="[Text]"/>
      <dgm:spPr/>
      <dgm:t>
        <a:bodyPr/>
        <a:lstStyle/>
        <a:p>
          <a:pPr algn="l"/>
          <a:r>
            <a:rPr lang="en-GB"/>
            <a:t>45% of all B&amp;H SEN pupils</a:t>
          </a:r>
        </a:p>
        <a:p>
          <a:pPr algn="l"/>
          <a:endParaRPr lang="en-GB"/>
        </a:p>
        <a:p>
          <a:pPr algn="l"/>
          <a:r>
            <a:rPr lang="en-GB"/>
            <a:t>44% England</a:t>
          </a:r>
        </a:p>
      </dgm:t>
    </dgm:pt>
    <dgm:pt modelId="{B0CF69CD-3C8D-493A-8DEC-1ACBE543DAD3}" type="parTrans" cxnId="{2D366B60-19C2-422F-8800-9C29F35D96BA}">
      <dgm:prSet/>
      <dgm:spPr/>
      <dgm:t>
        <a:bodyPr/>
        <a:lstStyle/>
        <a:p>
          <a:endParaRPr lang="en-GB"/>
        </a:p>
      </dgm:t>
    </dgm:pt>
    <dgm:pt modelId="{192166F9-5F31-4BFA-9062-83BBD152B26B}" type="sibTrans" cxnId="{2D366B60-19C2-422F-8800-9C29F35D96BA}">
      <dgm:prSet/>
      <dgm:spPr/>
      <dgm:t>
        <a:bodyPr/>
        <a:lstStyle/>
        <a:p>
          <a:endParaRPr lang="en-GB"/>
        </a:p>
      </dgm:t>
    </dgm:pt>
    <dgm:pt modelId="{66BB767C-C5C3-40BC-A599-568249107321}">
      <dgm:prSet phldrT="[Text]"/>
      <dgm:spPr/>
      <dgm:t>
        <a:bodyPr/>
        <a:lstStyle/>
        <a:p>
          <a:pPr algn="l"/>
          <a:r>
            <a:rPr lang="en-GB"/>
            <a:t>55% of B&amp;H pupils with SEN support</a:t>
          </a:r>
        </a:p>
        <a:p>
          <a:pPr algn="l"/>
          <a:endParaRPr lang="en-GB"/>
        </a:p>
        <a:p>
          <a:pPr algn="l"/>
          <a:r>
            <a:rPr lang="en-GB"/>
            <a:t>52% England</a:t>
          </a:r>
        </a:p>
      </dgm:t>
    </dgm:pt>
    <dgm:pt modelId="{3DA9106D-C62D-415F-A736-299F6E91FF8E}" type="parTrans" cxnId="{556CE7F4-8970-4988-8E69-CC1AF8538409}">
      <dgm:prSet/>
      <dgm:spPr/>
      <dgm:t>
        <a:bodyPr/>
        <a:lstStyle/>
        <a:p>
          <a:endParaRPr lang="en-GB"/>
        </a:p>
      </dgm:t>
    </dgm:pt>
    <dgm:pt modelId="{E9A240ED-71B3-4EC5-A6B3-F8FF4C7959B7}" type="sibTrans" cxnId="{556CE7F4-8970-4988-8E69-CC1AF8538409}">
      <dgm:prSet/>
      <dgm:spPr/>
      <dgm:t>
        <a:bodyPr/>
        <a:lstStyle/>
        <a:p>
          <a:endParaRPr lang="en-GB"/>
        </a:p>
      </dgm:t>
    </dgm:pt>
    <dgm:pt modelId="{ABA5B714-1507-43BE-AFF9-59BA3A577C28}">
      <dgm:prSet phldrT="[Text]"/>
      <dgm:spPr/>
      <dgm:t>
        <a:bodyPr/>
        <a:lstStyle/>
        <a:p>
          <a:pPr algn="l"/>
          <a:r>
            <a:rPr lang="en-GB">
              <a:solidFill>
                <a:schemeClr val="bg1"/>
              </a:solidFill>
            </a:rPr>
            <a:t>14% of B&amp;H pupils with an EHC plan</a:t>
          </a:r>
        </a:p>
        <a:p>
          <a:pPr algn="l"/>
          <a:endParaRPr lang="en-GB">
            <a:solidFill>
              <a:schemeClr val="bg1"/>
            </a:solidFill>
          </a:endParaRPr>
        </a:p>
        <a:p>
          <a:pPr algn="l"/>
          <a:r>
            <a:rPr lang="en-GB">
              <a:solidFill>
                <a:schemeClr val="bg1"/>
              </a:solidFill>
            </a:rPr>
            <a:t>20% England</a:t>
          </a:r>
        </a:p>
      </dgm:t>
    </dgm:pt>
    <dgm:pt modelId="{21C71315-3522-4D29-9A90-D176E2DD0C7B}" type="parTrans" cxnId="{1E43346A-515A-45F4-8874-1933331D6A00}">
      <dgm:prSet/>
      <dgm:spPr/>
      <dgm:t>
        <a:bodyPr/>
        <a:lstStyle/>
        <a:p>
          <a:endParaRPr lang="en-GB"/>
        </a:p>
      </dgm:t>
    </dgm:pt>
    <dgm:pt modelId="{7801B553-E2B8-4C5B-A87B-690CD5C3E4EB}" type="sibTrans" cxnId="{1E43346A-515A-45F4-8874-1933331D6A00}">
      <dgm:prSet/>
      <dgm:spPr/>
      <dgm:t>
        <a:bodyPr/>
        <a:lstStyle/>
        <a:p>
          <a:endParaRPr lang="en-GB"/>
        </a:p>
      </dgm:t>
    </dgm:pt>
    <dgm:pt modelId="{96A33BE0-93E6-4B2D-BED8-5A322AA88FE4}">
      <dgm:prSet phldrT="[Text]"/>
      <dgm:spPr/>
      <dgm:t>
        <a:bodyPr/>
        <a:lstStyle/>
        <a:p>
          <a:pPr algn="l"/>
          <a:r>
            <a:rPr lang="en-GB"/>
            <a:t>88% of B&amp;H pupils with no SEN</a:t>
          </a:r>
        </a:p>
        <a:p>
          <a:pPr algn="l"/>
          <a:endParaRPr lang="en-GB"/>
        </a:p>
        <a:p>
          <a:pPr algn="l"/>
          <a:r>
            <a:rPr lang="en-GB"/>
            <a:t>88% England</a:t>
          </a:r>
        </a:p>
      </dgm:t>
    </dgm:pt>
    <dgm:pt modelId="{89172B6E-B0AA-41D0-B4D8-EA2FBB5347B1}" type="parTrans" cxnId="{3B7F5B26-5165-47FF-8D7F-D1AF122C0483}">
      <dgm:prSet/>
      <dgm:spPr/>
      <dgm:t>
        <a:bodyPr/>
        <a:lstStyle/>
        <a:p>
          <a:endParaRPr lang="en-GB"/>
        </a:p>
      </dgm:t>
    </dgm:pt>
    <dgm:pt modelId="{F9FC8507-9EA7-42F9-9739-B33C5C44D9F9}" type="sibTrans" cxnId="{3B7F5B26-5165-47FF-8D7F-D1AF122C0483}">
      <dgm:prSet/>
      <dgm:spPr/>
      <dgm:t>
        <a:bodyPr/>
        <a:lstStyle/>
        <a:p>
          <a:endParaRPr lang="en-GB"/>
        </a:p>
      </dgm:t>
    </dgm:pt>
    <dgm:pt modelId="{1024A243-13C2-4D3E-AD24-F860C34A8821}" type="pres">
      <dgm:prSet presAssocID="{F8219B28-D225-4678-9009-97FD7E6C3683}" presName="diagram" presStyleCnt="0">
        <dgm:presLayoutVars>
          <dgm:dir/>
          <dgm:resizeHandles val="exact"/>
        </dgm:presLayoutVars>
      </dgm:prSet>
      <dgm:spPr/>
    </dgm:pt>
    <dgm:pt modelId="{22721C5E-90D4-425D-BDF0-F545628EC12A}" type="pres">
      <dgm:prSet presAssocID="{74291ACA-4AAA-467E-8C91-E2F417BD3F7F}" presName="node" presStyleLbl="node1" presStyleIdx="0" presStyleCnt="5" custScaleX="208581">
        <dgm:presLayoutVars>
          <dgm:bulletEnabled val="1"/>
        </dgm:presLayoutVars>
      </dgm:prSet>
      <dgm:spPr/>
    </dgm:pt>
    <dgm:pt modelId="{E3639BE1-6B70-4FD0-8DC5-D69EC4C576FF}" type="pres">
      <dgm:prSet presAssocID="{6F401DA3-3D19-422B-BC39-A0C7FF6D932F}" presName="sibTrans" presStyleCnt="0"/>
      <dgm:spPr/>
    </dgm:pt>
    <dgm:pt modelId="{53C26669-A06A-411F-A0D6-D9B76B879137}" type="pres">
      <dgm:prSet presAssocID="{7005C320-00CC-46FE-AF45-237C616E8A0D}" presName="node" presStyleLbl="node1" presStyleIdx="1" presStyleCnt="5">
        <dgm:presLayoutVars>
          <dgm:bulletEnabled val="1"/>
        </dgm:presLayoutVars>
      </dgm:prSet>
      <dgm:spPr/>
    </dgm:pt>
    <dgm:pt modelId="{483A6DBD-AAB6-4C1F-98DD-207F27A1A04C}" type="pres">
      <dgm:prSet presAssocID="{192166F9-5F31-4BFA-9062-83BBD152B26B}" presName="sibTrans" presStyleCnt="0"/>
      <dgm:spPr/>
    </dgm:pt>
    <dgm:pt modelId="{71D0206A-E099-4BA8-9257-620F2804466C}" type="pres">
      <dgm:prSet presAssocID="{66BB767C-C5C3-40BC-A599-568249107321}" presName="node" presStyleLbl="node1" presStyleIdx="2" presStyleCnt="5">
        <dgm:presLayoutVars>
          <dgm:bulletEnabled val="1"/>
        </dgm:presLayoutVars>
      </dgm:prSet>
      <dgm:spPr/>
    </dgm:pt>
    <dgm:pt modelId="{CE3BDC67-5359-4E0A-B147-A8CEF29F98C7}" type="pres">
      <dgm:prSet presAssocID="{E9A240ED-71B3-4EC5-A6B3-F8FF4C7959B7}" presName="sibTrans" presStyleCnt="0"/>
      <dgm:spPr/>
    </dgm:pt>
    <dgm:pt modelId="{99E71E6C-888A-4D41-A88A-3F630CC4A3E5}" type="pres">
      <dgm:prSet presAssocID="{ABA5B714-1507-43BE-AFF9-59BA3A577C28}" presName="node" presStyleLbl="node1" presStyleIdx="3" presStyleCnt="5">
        <dgm:presLayoutVars>
          <dgm:bulletEnabled val="1"/>
        </dgm:presLayoutVars>
      </dgm:prSet>
      <dgm:spPr/>
    </dgm:pt>
    <dgm:pt modelId="{D427B829-EF1C-4A87-B8BB-06FC9F2AAC71}" type="pres">
      <dgm:prSet presAssocID="{7801B553-E2B8-4C5B-A87B-690CD5C3E4EB}" presName="sibTrans" presStyleCnt="0"/>
      <dgm:spPr/>
    </dgm:pt>
    <dgm:pt modelId="{F1DE154D-0123-4A2E-917D-9385C8759E16}" type="pres">
      <dgm:prSet presAssocID="{96A33BE0-93E6-4B2D-BED8-5A322AA88FE4}" presName="node" presStyleLbl="node1" presStyleIdx="4" presStyleCnt="5">
        <dgm:presLayoutVars>
          <dgm:bulletEnabled val="1"/>
        </dgm:presLayoutVars>
      </dgm:prSet>
      <dgm:spPr/>
    </dgm:pt>
  </dgm:ptLst>
  <dgm:cxnLst>
    <dgm:cxn modelId="{3042301B-34C3-4CDB-A4E0-B2AA6A924042}" type="presOf" srcId="{F8219B28-D225-4678-9009-97FD7E6C3683}" destId="{1024A243-13C2-4D3E-AD24-F860C34A8821}" srcOrd="0" destOrd="0" presId="urn:microsoft.com/office/officeart/2005/8/layout/default"/>
    <dgm:cxn modelId="{3B7F5B26-5165-47FF-8D7F-D1AF122C0483}" srcId="{F8219B28-D225-4678-9009-97FD7E6C3683}" destId="{96A33BE0-93E6-4B2D-BED8-5A322AA88FE4}" srcOrd="4" destOrd="0" parTransId="{89172B6E-B0AA-41D0-B4D8-EA2FBB5347B1}" sibTransId="{F9FC8507-9EA7-42F9-9739-B33C5C44D9F9}"/>
    <dgm:cxn modelId="{AC51A65F-9866-4E90-9A49-7E17094AAE2D}" type="presOf" srcId="{66BB767C-C5C3-40BC-A599-568249107321}" destId="{71D0206A-E099-4BA8-9257-620F2804466C}" srcOrd="0" destOrd="0" presId="urn:microsoft.com/office/officeart/2005/8/layout/default"/>
    <dgm:cxn modelId="{2D366B60-19C2-422F-8800-9C29F35D96BA}" srcId="{F8219B28-D225-4678-9009-97FD7E6C3683}" destId="{7005C320-00CC-46FE-AF45-237C616E8A0D}" srcOrd="1" destOrd="0" parTransId="{B0CF69CD-3C8D-493A-8DEC-1ACBE543DAD3}" sibTransId="{192166F9-5F31-4BFA-9062-83BBD152B26B}"/>
    <dgm:cxn modelId="{1E43346A-515A-45F4-8874-1933331D6A00}" srcId="{F8219B28-D225-4678-9009-97FD7E6C3683}" destId="{ABA5B714-1507-43BE-AFF9-59BA3A577C28}" srcOrd="3" destOrd="0" parTransId="{21C71315-3522-4D29-9A90-D176E2DD0C7B}" sibTransId="{7801B553-E2B8-4C5B-A87B-690CD5C3E4EB}"/>
    <dgm:cxn modelId="{8A7AB677-872E-4D50-82BB-4C87D0895D0A}" type="presOf" srcId="{96A33BE0-93E6-4B2D-BED8-5A322AA88FE4}" destId="{F1DE154D-0123-4A2E-917D-9385C8759E16}" srcOrd="0" destOrd="0" presId="urn:microsoft.com/office/officeart/2005/8/layout/default"/>
    <dgm:cxn modelId="{35AEBD7B-E2BB-40E6-A7B0-6C1169D28955}" srcId="{F8219B28-D225-4678-9009-97FD7E6C3683}" destId="{74291ACA-4AAA-467E-8C91-E2F417BD3F7F}" srcOrd="0" destOrd="0" parTransId="{07E77492-71C4-447F-AFB1-1DC2E7FA2BFB}" sibTransId="{6F401DA3-3D19-422B-BC39-A0C7FF6D932F}"/>
    <dgm:cxn modelId="{2029958F-4759-46ED-96B6-748913D89C0F}" type="presOf" srcId="{74291ACA-4AAA-467E-8C91-E2F417BD3F7F}" destId="{22721C5E-90D4-425D-BDF0-F545628EC12A}" srcOrd="0" destOrd="0" presId="urn:microsoft.com/office/officeart/2005/8/layout/default"/>
    <dgm:cxn modelId="{24B4A4AE-D570-4988-827F-5815D2B2EADE}" type="presOf" srcId="{ABA5B714-1507-43BE-AFF9-59BA3A577C28}" destId="{99E71E6C-888A-4D41-A88A-3F630CC4A3E5}" srcOrd="0" destOrd="0" presId="urn:microsoft.com/office/officeart/2005/8/layout/default"/>
    <dgm:cxn modelId="{122A60DA-45E0-456C-B709-9502C7C82832}" type="presOf" srcId="{7005C320-00CC-46FE-AF45-237C616E8A0D}" destId="{53C26669-A06A-411F-A0D6-D9B76B879137}" srcOrd="0" destOrd="0" presId="urn:microsoft.com/office/officeart/2005/8/layout/default"/>
    <dgm:cxn modelId="{556CE7F4-8970-4988-8E69-CC1AF8538409}" srcId="{F8219B28-D225-4678-9009-97FD7E6C3683}" destId="{66BB767C-C5C3-40BC-A599-568249107321}" srcOrd="2" destOrd="0" parTransId="{3DA9106D-C62D-415F-A736-299F6E91FF8E}" sibTransId="{E9A240ED-71B3-4EC5-A6B3-F8FF4C7959B7}"/>
    <dgm:cxn modelId="{1CC6CC97-28EE-4607-BDA6-B742CC98C31E}" type="presParOf" srcId="{1024A243-13C2-4D3E-AD24-F860C34A8821}" destId="{22721C5E-90D4-425D-BDF0-F545628EC12A}" srcOrd="0" destOrd="0" presId="urn:microsoft.com/office/officeart/2005/8/layout/default"/>
    <dgm:cxn modelId="{9163153A-9D46-45B5-AD4E-EE6156BCCFCC}" type="presParOf" srcId="{1024A243-13C2-4D3E-AD24-F860C34A8821}" destId="{E3639BE1-6B70-4FD0-8DC5-D69EC4C576FF}" srcOrd="1" destOrd="0" presId="urn:microsoft.com/office/officeart/2005/8/layout/default"/>
    <dgm:cxn modelId="{528A0080-9F03-42DC-B4DF-898AD1AFB667}" type="presParOf" srcId="{1024A243-13C2-4D3E-AD24-F860C34A8821}" destId="{53C26669-A06A-411F-A0D6-D9B76B879137}" srcOrd="2" destOrd="0" presId="urn:microsoft.com/office/officeart/2005/8/layout/default"/>
    <dgm:cxn modelId="{08E6A3D6-D76C-4950-858F-E8A692C0FB95}" type="presParOf" srcId="{1024A243-13C2-4D3E-AD24-F860C34A8821}" destId="{483A6DBD-AAB6-4C1F-98DD-207F27A1A04C}" srcOrd="3" destOrd="0" presId="urn:microsoft.com/office/officeart/2005/8/layout/default"/>
    <dgm:cxn modelId="{BB8063FF-AF0D-42A7-BBF2-C082926C8EE2}" type="presParOf" srcId="{1024A243-13C2-4D3E-AD24-F860C34A8821}" destId="{71D0206A-E099-4BA8-9257-620F2804466C}" srcOrd="4" destOrd="0" presId="urn:microsoft.com/office/officeart/2005/8/layout/default"/>
    <dgm:cxn modelId="{EAF44598-36D5-47E0-ADF0-BEB180604AFD}" type="presParOf" srcId="{1024A243-13C2-4D3E-AD24-F860C34A8821}" destId="{CE3BDC67-5359-4E0A-B147-A8CEF29F98C7}" srcOrd="5" destOrd="0" presId="urn:microsoft.com/office/officeart/2005/8/layout/default"/>
    <dgm:cxn modelId="{0BA9B402-DB01-49B2-BE83-681CDB271589}" type="presParOf" srcId="{1024A243-13C2-4D3E-AD24-F860C34A8821}" destId="{99E71E6C-888A-4D41-A88A-3F630CC4A3E5}" srcOrd="6" destOrd="0" presId="urn:microsoft.com/office/officeart/2005/8/layout/default"/>
    <dgm:cxn modelId="{745816BA-53FD-458E-A966-DA58F6456719}" type="presParOf" srcId="{1024A243-13C2-4D3E-AD24-F860C34A8821}" destId="{D427B829-EF1C-4A87-B8BB-06FC9F2AAC71}" srcOrd="7" destOrd="0" presId="urn:microsoft.com/office/officeart/2005/8/layout/default"/>
    <dgm:cxn modelId="{FBB2C310-DDEE-45B6-98B7-E26489B29928}" type="presParOf" srcId="{1024A243-13C2-4D3E-AD24-F860C34A8821}" destId="{F1DE154D-0123-4A2E-917D-9385C8759E16}" srcOrd="8" destOrd="0" presId="urn:microsoft.com/office/officeart/2005/8/layout/default"/>
  </dgm:cxnLst>
  <dgm:bg/>
  <dgm:whole/>
  <dgm:extLst>
    <a:ext uri="http://schemas.microsoft.com/office/drawing/2008/diagram">
      <dsp:dataModelExt xmlns:dsp="http://schemas.microsoft.com/office/drawing/2008/diagram" relId="rId79" minVer="http://schemas.openxmlformats.org/drawingml/2006/diagram"/>
    </a:ext>
    <a:ext uri="{C62137D5-CB1D-491B-B009-E17868A290BF}">
      <dgm14:recolorImg xmlns:dgm14="http://schemas.microsoft.com/office/drawing/2010/diagram" val="1"/>
    </a:ext>
  </dgm:extLst>
</dgm:dataModel>
</file>

<file path=word/diagrams/data8.xml><?xml version="1.0" encoding="utf-8"?>
<dgm:dataModel xmlns:dgm="http://schemas.openxmlformats.org/drawingml/2006/diagram" xmlns:a="http://schemas.openxmlformats.org/drawingml/2006/main">
  <dgm:ptLst>
    <dgm:pt modelId="{F8219B28-D225-4678-9009-97FD7E6C3683}" type="doc">
      <dgm:prSet loTypeId="urn:microsoft.com/office/officeart/2005/8/layout/default" loCatId="list" qsTypeId="urn:microsoft.com/office/officeart/2005/8/quickstyle/simple1" qsCatId="simple" csTypeId="urn:microsoft.com/office/officeart/2005/8/colors/accent5_2" csCatId="accent5" phldr="1"/>
      <dgm:spPr/>
      <dgm:t>
        <a:bodyPr/>
        <a:lstStyle/>
        <a:p>
          <a:endParaRPr lang="en-GB"/>
        </a:p>
      </dgm:t>
    </dgm:pt>
    <dgm:pt modelId="{74291ACA-4AAA-467E-8C91-E2F417BD3F7F}">
      <dgm:prSet phldrT="[Text]"/>
      <dgm:spPr/>
      <dgm:t>
        <a:bodyPr/>
        <a:lstStyle/>
        <a:p>
          <a:pPr algn="l"/>
          <a:r>
            <a:rPr lang="en-GB"/>
            <a:t>60% of all B&amp;H pupils met the expected standard in reading, writing and maths (combined)</a:t>
          </a:r>
        </a:p>
        <a:p>
          <a:pPr algn="l"/>
          <a:r>
            <a:rPr lang="en-GB"/>
            <a:t>61% England</a:t>
          </a:r>
        </a:p>
      </dgm:t>
    </dgm:pt>
    <dgm:pt modelId="{07E77492-71C4-447F-AFB1-1DC2E7FA2BFB}" type="parTrans" cxnId="{35AEBD7B-E2BB-40E6-A7B0-6C1169D28955}">
      <dgm:prSet/>
      <dgm:spPr/>
      <dgm:t>
        <a:bodyPr/>
        <a:lstStyle/>
        <a:p>
          <a:endParaRPr lang="en-GB"/>
        </a:p>
      </dgm:t>
    </dgm:pt>
    <dgm:pt modelId="{6F401DA3-3D19-422B-BC39-A0C7FF6D932F}" type="sibTrans" cxnId="{35AEBD7B-E2BB-40E6-A7B0-6C1169D28955}">
      <dgm:prSet/>
      <dgm:spPr/>
      <dgm:t>
        <a:bodyPr/>
        <a:lstStyle/>
        <a:p>
          <a:endParaRPr lang="en-GB"/>
        </a:p>
      </dgm:t>
    </dgm:pt>
    <dgm:pt modelId="{7005C320-00CC-46FE-AF45-237C616E8A0D}">
      <dgm:prSet phldrT="[Text]"/>
      <dgm:spPr/>
      <dgm:t>
        <a:bodyPr/>
        <a:lstStyle/>
        <a:p>
          <a:pPr algn="l"/>
          <a:r>
            <a:rPr lang="en-GB"/>
            <a:t>25% of all B&amp;H SEN pupils</a:t>
          </a:r>
        </a:p>
        <a:p>
          <a:pPr algn="l"/>
          <a:endParaRPr lang="en-GB"/>
        </a:p>
        <a:p>
          <a:pPr algn="l"/>
          <a:r>
            <a:rPr lang="en-GB"/>
            <a:t>22% England</a:t>
          </a:r>
        </a:p>
      </dgm:t>
    </dgm:pt>
    <dgm:pt modelId="{B0CF69CD-3C8D-493A-8DEC-1ACBE543DAD3}" type="parTrans" cxnId="{2D366B60-19C2-422F-8800-9C29F35D96BA}">
      <dgm:prSet/>
      <dgm:spPr/>
      <dgm:t>
        <a:bodyPr/>
        <a:lstStyle/>
        <a:p>
          <a:endParaRPr lang="en-GB"/>
        </a:p>
      </dgm:t>
    </dgm:pt>
    <dgm:pt modelId="{192166F9-5F31-4BFA-9062-83BBD152B26B}" type="sibTrans" cxnId="{2D366B60-19C2-422F-8800-9C29F35D96BA}">
      <dgm:prSet/>
      <dgm:spPr/>
      <dgm:t>
        <a:bodyPr/>
        <a:lstStyle/>
        <a:p>
          <a:endParaRPr lang="en-GB"/>
        </a:p>
      </dgm:t>
    </dgm:pt>
    <dgm:pt modelId="{66BB767C-C5C3-40BC-A599-568249107321}">
      <dgm:prSet phldrT="[Text]"/>
      <dgm:spPr/>
      <dgm:t>
        <a:bodyPr/>
        <a:lstStyle/>
        <a:p>
          <a:pPr algn="l"/>
          <a:r>
            <a:rPr lang="en-GB"/>
            <a:t>30% of B&amp;H pupils with SEN support</a:t>
          </a:r>
        </a:p>
        <a:p>
          <a:pPr algn="l"/>
          <a:endParaRPr lang="en-GB"/>
        </a:p>
        <a:p>
          <a:pPr algn="l"/>
          <a:r>
            <a:rPr lang="en-GB"/>
            <a:t>26% England</a:t>
          </a:r>
        </a:p>
      </dgm:t>
    </dgm:pt>
    <dgm:pt modelId="{3DA9106D-C62D-415F-A736-299F6E91FF8E}" type="parTrans" cxnId="{556CE7F4-8970-4988-8E69-CC1AF8538409}">
      <dgm:prSet/>
      <dgm:spPr/>
      <dgm:t>
        <a:bodyPr/>
        <a:lstStyle/>
        <a:p>
          <a:endParaRPr lang="en-GB"/>
        </a:p>
      </dgm:t>
    </dgm:pt>
    <dgm:pt modelId="{E9A240ED-71B3-4EC5-A6B3-F8FF4C7959B7}" type="sibTrans" cxnId="{556CE7F4-8970-4988-8E69-CC1AF8538409}">
      <dgm:prSet/>
      <dgm:spPr/>
      <dgm:t>
        <a:bodyPr/>
        <a:lstStyle/>
        <a:p>
          <a:endParaRPr lang="en-GB"/>
        </a:p>
      </dgm:t>
    </dgm:pt>
    <dgm:pt modelId="{ABA5B714-1507-43BE-AFF9-59BA3A577C28}">
      <dgm:prSet phldrT="[Text]"/>
      <dgm:spPr/>
      <dgm:t>
        <a:bodyPr/>
        <a:lstStyle/>
        <a:p>
          <a:pPr algn="l"/>
          <a:r>
            <a:rPr lang="en-GB">
              <a:solidFill>
                <a:schemeClr val="bg1"/>
              </a:solidFill>
            </a:rPr>
            <a:t>7% B&amp;H pupils with an EHC plan</a:t>
          </a:r>
        </a:p>
        <a:p>
          <a:pPr algn="l"/>
          <a:endParaRPr lang="en-GB">
            <a:solidFill>
              <a:schemeClr val="bg1"/>
            </a:solidFill>
          </a:endParaRPr>
        </a:p>
        <a:p>
          <a:pPr algn="l"/>
          <a:r>
            <a:rPr lang="en-GB">
              <a:solidFill>
                <a:schemeClr val="bg1"/>
              </a:solidFill>
            </a:rPr>
            <a:t>9% England</a:t>
          </a:r>
        </a:p>
      </dgm:t>
    </dgm:pt>
    <dgm:pt modelId="{21C71315-3522-4D29-9A90-D176E2DD0C7B}" type="parTrans" cxnId="{1E43346A-515A-45F4-8874-1933331D6A00}">
      <dgm:prSet/>
      <dgm:spPr/>
      <dgm:t>
        <a:bodyPr/>
        <a:lstStyle/>
        <a:p>
          <a:endParaRPr lang="en-GB"/>
        </a:p>
      </dgm:t>
    </dgm:pt>
    <dgm:pt modelId="{7801B553-E2B8-4C5B-A87B-690CD5C3E4EB}" type="sibTrans" cxnId="{1E43346A-515A-45F4-8874-1933331D6A00}">
      <dgm:prSet/>
      <dgm:spPr/>
      <dgm:t>
        <a:bodyPr/>
        <a:lstStyle/>
        <a:p>
          <a:endParaRPr lang="en-GB"/>
        </a:p>
      </dgm:t>
    </dgm:pt>
    <dgm:pt modelId="{96A33BE0-93E6-4B2D-BED8-5A322AA88FE4}">
      <dgm:prSet phldrT="[Text]"/>
      <dgm:spPr/>
      <dgm:t>
        <a:bodyPr/>
        <a:lstStyle/>
        <a:p>
          <a:pPr algn="l"/>
          <a:r>
            <a:rPr lang="en-GB"/>
            <a:t>72% B&amp;H pupils with no SEN</a:t>
          </a:r>
        </a:p>
        <a:p>
          <a:pPr algn="l"/>
          <a:endParaRPr lang="en-GB"/>
        </a:p>
        <a:p>
          <a:pPr algn="l"/>
          <a:r>
            <a:rPr lang="en-GB"/>
            <a:t>72% England</a:t>
          </a:r>
        </a:p>
      </dgm:t>
    </dgm:pt>
    <dgm:pt modelId="{89172B6E-B0AA-41D0-B4D8-EA2FBB5347B1}" type="parTrans" cxnId="{3B7F5B26-5165-47FF-8D7F-D1AF122C0483}">
      <dgm:prSet/>
      <dgm:spPr/>
      <dgm:t>
        <a:bodyPr/>
        <a:lstStyle/>
        <a:p>
          <a:endParaRPr lang="en-GB"/>
        </a:p>
      </dgm:t>
    </dgm:pt>
    <dgm:pt modelId="{F9FC8507-9EA7-42F9-9739-B33C5C44D9F9}" type="sibTrans" cxnId="{3B7F5B26-5165-47FF-8D7F-D1AF122C0483}">
      <dgm:prSet/>
      <dgm:spPr/>
      <dgm:t>
        <a:bodyPr/>
        <a:lstStyle/>
        <a:p>
          <a:endParaRPr lang="en-GB"/>
        </a:p>
      </dgm:t>
    </dgm:pt>
    <dgm:pt modelId="{1024A243-13C2-4D3E-AD24-F860C34A8821}" type="pres">
      <dgm:prSet presAssocID="{F8219B28-D225-4678-9009-97FD7E6C3683}" presName="diagram" presStyleCnt="0">
        <dgm:presLayoutVars>
          <dgm:dir/>
          <dgm:resizeHandles val="exact"/>
        </dgm:presLayoutVars>
      </dgm:prSet>
      <dgm:spPr/>
    </dgm:pt>
    <dgm:pt modelId="{22721C5E-90D4-425D-BDF0-F545628EC12A}" type="pres">
      <dgm:prSet presAssocID="{74291ACA-4AAA-467E-8C91-E2F417BD3F7F}" presName="node" presStyleLbl="node1" presStyleIdx="0" presStyleCnt="5" custScaleX="208581">
        <dgm:presLayoutVars>
          <dgm:bulletEnabled val="1"/>
        </dgm:presLayoutVars>
      </dgm:prSet>
      <dgm:spPr/>
    </dgm:pt>
    <dgm:pt modelId="{E3639BE1-6B70-4FD0-8DC5-D69EC4C576FF}" type="pres">
      <dgm:prSet presAssocID="{6F401DA3-3D19-422B-BC39-A0C7FF6D932F}" presName="sibTrans" presStyleCnt="0"/>
      <dgm:spPr/>
    </dgm:pt>
    <dgm:pt modelId="{53C26669-A06A-411F-A0D6-D9B76B879137}" type="pres">
      <dgm:prSet presAssocID="{7005C320-00CC-46FE-AF45-237C616E8A0D}" presName="node" presStyleLbl="node1" presStyleIdx="1" presStyleCnt="5">
        <dgm:presLayoutVars>
          <dgm:bulletEnabled val="1"/>
        </dgm:presLayoutVars>
      </dgm:prSet>
      <dgm:spPr/>
    </dgm:pt>
    <dgm:pt modelId="{483A6DBD-AAB6-4C1F-98DD-207F27A1A04C}" type="pres">
      <dgm:prSet presAssocID="{192166F9-5F31-4BFA-9062-83BBD152B26B}" presName="sibTrans" presStyleCnt="0"/>
      <dgm:spPr/>
    </dgm:pt>
    <dgm:pt modelId="{71D0206A-E099-4BA8-9257-620F2804466C}" type="pres">
      <dgm:prSet presAssocID="{66BB767C-C5C3-40BC-A599-568249107321}" presName="node" presStyleLbl="node1" presStyleIdx="2" presStyleCnt="5">
        <dgm:presLayoutVars>
          <dgm:bulletEnabled val="1"/>
        </dgm:presLayoutVars>
      </dgm:prSet>
      <dgm:spPr/>
    </dgm:pt>
    <dgm:pt modelId="{CE3BDC67-5359-4E0A-B147-A8CEF29F98C7}" type="pres">
      <dgm:prSet presAssocID="{E9A240ED-71B3-4EC5-A6B3-F8FF4C7959B7}" presName="sibTrans" presStyleCnt="0"/>
      <dgm:spPr/>
    </dgm:pt>
    <dgm:pt modelId="{99E71E6C-888A-4D41-A88A-3F630CC4A3E5}" type="pres">
      <dgm:prSet presAssocID="{ABA5B714-1507-43BE-AFF9-59BA3A577C28}" presName="node" presStyleLbl="node1" presStyleIdx="3" presStyleCnt="5">
        <dgm:presLayoutVars>
          <dgm:bulletEnabled val="1"/>
        </dgm:presLayoutVars>
      </dgm:prSet>
      <dgm:spPr/>
    </dgm:pt>
    <dgm:pt modelId="{D427B829-EF1C-4A87-B8BB-06FC9F2AAC71}" type="pres">
      <dgm:prSet presAssocID="{7801B553-E2B8-4C5B-A87B-690CD5C3E4EB}" presName="sibTrans" presStyleCnt="0"/>
      <dgm:spPr/>
    </dgm:pt>
    <dgm:pt modelId="{F1DE154D-0123-4A2E-917D-9385C8759E16}" type="pres">
      <dgm:prSet presAssocID="{96A33BE0-93E6-4B2D-BED8-5A322AA88FE4}" presName="node" presStyleLbl="node1" presStyleIdx="4" presStyleCnt="5">
        <dgm:presLayoutVars>
          <dgm:bulletEnabled val="1"/>
        </dgm:presLayoutVars>
      </dgm:prSet>
      <dgm:spPr/>
    </dgm:pt>
  </dgm:ptLst>
  <dgm:cxnLst>
    <dgm:cxn modelId="{3042301B-34C3-4CDB-A4E0-B2AA6A924042}" type="presOf" srcId="{F8219B28-D225-4678-9009-97FD7E6C3683}" destId="{1024A243-13C2-4D3E-AD24-F860C34A8821}" srcOrd="0" destOrd="0" presId="urn:microsoft.com/office/officeart/2005/8/layout/default"/>
    <dgm:cxn modelId="{3B7F5B26-5165-47FF-8D7F-D1AF122C0483}" srcId="{F8219B28-D225-4678-9009-97FD7E6C3683}" destId="{96A33BE0-93E6-4B2D-BED8-5A322AA88FE4}" srcOrd="4" destOrd="0" parTransId="{89172B6E-B0AA-41D0-B4D8-EA2FBB5347B1}" sibTransId="{F9FC8507-9EA7-42F9-9739-B33C5C44D9F9}"/>
    <dgm:cxn modelId="{AC51A65F-9866-4E90-9A49-7E17094AAE2D}" type="presOf" srcId="{66BB767C-C5C3-40BC-A599-568249107321}" destId="{71D0206A-E099-4BA8-9257-620F2804466C}" srcOrd="0" destOrd="0" presId="urn:microsoft.com/office/officeart/2005/8/layout/default"/>
    <dgm:cxn modelId="{2D366B60-19C2-422F-8800-9C29F35D96BA}" srcId="{F8219B28-D225-4678-9009-97FD7E6C3683}" destId="{7005C320-00CC-46FE-AF45-237C616E8A0D}" srcOrd="1" destOrd="0" parTransId="{B0CF69CD-3C8D-493A-8DEC-1ACBE543DAD3}" sibTransId="{192166F9-5F31-4BFA-9062-83BBD152B26B}"/>
    <dgm:cxn modelId="{1E43346A-515A-45F4-8874-1933331D6A00}" srcId="{F8219B28-D225-4678-9009-97FD7E6C3683}" destId="{ABA5B714-1507-43BE-AFF9-59BA3A577C28}" srcOrd="3" destOrd="0" parTransId="{21C71315-3522-4D29-9A90-D176E2DD0C7B}" sibTransId="{7801B553-E2B8-4C5B-A87B-690CD5C3E4EB}"/>
    <dgm:cxn modelId="{8A7AB677-872E-4D50-82BB-4C87D0895D0A}" type="presOf" srcId="{96A33BE0-93E6-4B2D-BED8-5A322AA88FE4}" destId="{F1DE154D-0123-4A2E-917D-9385C8759E16}" srcOrd="0" destOrd="0" presId="urn:microsoft.com/office/officeart/2005/8/layout/default"/>
    <dgm:cxn modelId="{35AEBD7B-E2BB-40E6-A7B0-6C1169D28955}" srcId="{F8219B28-D225-4678-9009-97FD7E6C3683}" destId="{74291ACA-4AAA-467E-8C91-E2F417BD3F7F}" srcOrd="0" destOrd="0" parTransId="{07E77492-71C4-447F-AFB1-1DC2E7FA2BFB}" sibTransId="{6F401DA3-3D19-422B-BC39-A0C7FF6D932F}"/>
    <dgm:cxn modelId="{2029958F-4759-46ED-96B6-748913D89C0F}" type="presOf" srcId="{74291ACA-4AAA-467E-8C91-E2F417BD3F7F}" destId="{22721C5E-90D4-425D-BDF0-F545628EC12A}" srcOrd="0" destOrd="0" presId="urn:microsoft.com/office/officeart/2005/8/layout/default"/>
    <dgm:cxn modelId="{24B4A4AE-D570-4988-827F-5815D2B2EADE}" type="presOf" srcId="{ABA5B714-1507-43BE-AFF9-59BA3A577C28}" destId="{99E71E6C-888A-4D41-A88A-3F630CC4A3E5}" srcOrd="0" destOrd="0" presId="urn:microsoft.com/office/officeart/2005/8/layout/default"/>
    <dgm:cxn modelId="{122A60DA-45E0-456C-B709-9502C7C82832}" type="presOf" srcId="{7005C320-00CC-46FE-AF45-237C616E8A0D}" destId="{53C26669-A06A-411F-A0D6-D9B76B879137}" srcOrd="0" destOrd="0" presId="urn:microsoft.com/office/officeart/2005/8/layout/default"/>
    <dgm:cxn modelId="{556CE7F4-8970-4988-8E69-CC1AF8538409}" srcId="{F8219B28-D225-4678-9009-97FD7E6C3683}" destId="{66BB767C-C5C3-40BC-A599-568249107321}" srcOrd="2" destOrd="0" parTransId="{3DA9106D-C62D-415F-A736-299F6E91FF8E}" sibTransId="{E9A240ED-71B3-4EC5-A6B3-F8FF4C7959B7}"/>
    <dgm:cxn modelId="{1CC6CC97-28EE-4607-BDA6-B742CC98C31E}" type="presParOf" srcId="{1024A243-13C2-4D3E-AD24-F860C34A8821}" destId="{22721C5E-90D4-425D-BDF0-F545628EC12A}" srcOrd="0" destOrd="0" presId="urn:microsoft.com/office/officeart/2005/8/layout/default"/>
    <dgm:cxn modelId="{9163153A-9D46-45B5-AD4E-EE6156BCCFCC}" type="presParOf" srcId="{1024A243-13C2-4D3E-AD24-F860C34A8821}" destId="{E3639BE1-6B70-4FD0-8DC5-D69EC4C576FF}" srcOrd="1" destOrd="0" presId="urn:microsoft.com/office/officeart/2005/8/layout/default"/>
    <dgm:cxn modelId="{528A0080-9F03-42DC-B4DF-898AD1AFB667}" type="presParOf" srcId="{1024A243-13C2-4D3E-AD24-F860C34A8821}" destId="{53C26669-A06A-411F-A0D6-D9B76B879137}" srcOrd="2" destOrd="0" presId="urn:microsoft.com/office/officeart/2005/8/layout/default"/>
    <dgm:cxn modelId="{08E6A3D6-D76C-4950-858F-E8A692C0FB95}" type="presParOf" srcId="{1024A243-13C2-4D3E-AD24-F860C34A8821}" destId="{483A6DBD-AAB6-4C1F-98DD-207F27A1A04C}" srcOrd="3" destOrd="0" presId="urn:microsoft.com/office/officeart/2005/8/layout/default"/>
    <dgm:cxn modelId="{BB8063FF-AF0D-42A7-BBF2-C082926C8EE2}" type="presParOf" srcId="{1024A243-13C2-4D3E-AD24-F860C34A8821}" destId="{71D0206A-E099-4BA8-9257-620F2804466C}" srcOrd="4" destOrd="0" presId="urn:microsoft.com/office/officeart/2005/8/layout/default"/>
    <dgm:cxn modelId="{EAF44598-36D5-47E0-ADF0-BEB180604AFD}" type="presParOf" srcId="{1024A243-13C2-4D3E-AD24-F860C34A8821}" destId="{CE3BDC67-5359-4E0A-B147-A8CEF29F98C7}" srcOrd="5" destOrd="0" presId="urn:microsoft.com/office/officeart/2005/8/layout/default"/>
    <dgm:cxn modelId="{0BA9B402-DB01-49B2-BE83-681CDB271589}" type="presParOf" srcId="{1024A243-13C2-4D3E-AD24-F860C34A8821}" destId="{99E71E6C-888A-4D41-A88A-3F630CC4A3E5}" srcOrd="6" destOrd="0" presId="urn:microsoft.com/office/officeart/2005/8/layout/default"/>
    <dgm:cxn modelId="{745816BA-53FD-458E-A966-DA58F6456719}" type="presParOf" srcId="{1024A243-13C2-4D3E-AD24-F860C34A8821}" destId="{D427B829-EF1C-4A87-B8BB-06FC9F2AAC71}" srcOrd="7" destOrd="0" presId="urn:microsoft.com/office/officeart/2005/8/layout/default"/>
    <dgm:cxn modelId="{FBB2C310-DDEE-45B6-98B7-E26489B29928}" type="presParOf" srcId="{1024A243-13C2-4D3E-AD24-F860C34A8821}" destId="{F1DE154D-0123-4A2E-917D-9385C8759E16}" srcOrd="8" destOrd="0" presId="urn:microsoft.com/office/officeart/2005/8/layout/default"/>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F8219B28-D225-4678-9009-97FD7E6C3683}" type="doc">
      <dgm:prSet loTypeId="urn:microsoft.com/office/officeart/2005/8/layout/default" loCatId="list" qsTypeId="urn:microsoft.com/office/officeart/2005/8/quickstyle/simple1" qsCatId="simple" csTypeId="urn:microsoft.com/office/officeart/2005/8/colors/accent5_2" csCatId="accent5" phldr="1"/>
      <dgm:spPr/>
      <dgm:t>
        <a:bodyPr/>
        <a:lstStyle/>
        <a:p>
          <a:endParaRPr lang="en-GB"/>
        </a:p>
      </dgm:t>
    </dgm:pt>
    <dgm:pt modelId="{74291ACA-4AAA-467E-8C91-E2F417BD3F7F}">
      <dgm:prSet phldrT="[Text]"/>
      <dgm:spPr>
        <a:xfrm>
          <a:off x="485773" y="2381"/>
          <a:ext cx="4514853" cy="1298733"/>
        </a:xfrm>
        <a:prstGeom prst="rect">
          <a:avLst/>
        </a:prstGeom>
      </dgm:spPr>
      <dgm:t>
        <a:bodyPr/>
        <a:lstStyle/>
        <a:p>
          <a:pPr algn="l">
            <a:buNone/>
          </a:pPr>
          <a:r>
            <a:rPr lang="en-GB">
              <a:latin typeface="Calibri"/>
              <a:ea typeface="+mn-ea"/>
              <a:cs typeface="+mn-cs"/>
            </a:rPr>
            <a:t>48 average attainment 8 score all KS4 B&amp;H pupils</a:t>
          </a:r>
        </a:p>
        <a:p>
          <a:pPr algn="l">
            <a:buNone/>
          </a:pPr>
          <a:endParaRPr lang="en-GB">
            <a:latin typeface="Calibri"/>
            <a:ea typeface="+mn-ea"/>
            <a:cs typeface="+mn-cs"/>
          </a:endParaRPr>
        </a:p>
        <a:p>
          <a:pPr algn="l">
            <a:buNone/>
          </a:pPr>
          <a:r>
            <a:rPr lang="en-GB">
              <a:latin typeface="Calibri"/>
              <a:ea typeface="+mn-ea"/>
              <a:cs typeface="+mn-cs"/>
            </a:rPr>
            <a:t>46 England</a:t>
          </a:r>
        </a:p>
      </dgm:t>
    </dgm:pt>
    <dgm:pt modelId="{07E77492-71C4-447F-AFB1-1DC2E7FA2BFB}" type="parTrans" cxnId="{35AEBD7B-E2BB-40E6-A7B0-6C1169D28955}">
      <dgm:prSet/>
      <dgm:spPr/>
      <dgm:t>
        <a:bodyPr/>
        <a:lstStyle/>
        <a:p>
          <a:endParaRPr lang="en-GB"/>
        </a:p>
      </dgm:t>
    </dgm:pt>
    <dgm:pt modelId="{6F401DA3-3D19-422B-BC39-A0C7FF6D932F}" type="sibTrans" cxnId="{35AEBD7B-E2BB-40E6-A7B0-6C1169D28955}">
      <dgm:prSet/>
      <dgm:spPr/>
      <dgm:t>
        <a:bodyPr/>
        <a:lstStyle/>
        <a:p>
          <a:endParaRPr lang="en-GB"/>
        </a:p>
      </dgm:t>
    </dgm:pt>
    <dgm:pt modelId="{7005C320-00CC-46FE-AF45-237C616E8A0D}">
      <dgm:prSet phldrT="[Text]"/>
      <dgm:spPr>
        <a:xfrm>
          <a:off x="470415" y="1517570"/>
          <a:ext cx="2164556" cy="1298733"/>
        </a:xfrm>
        <a:prstGeom prst="rect">
          <a:avLst/>
        </a:prstGeom>
      </dgm:spPr>
      <dgm:t>
        <a:bodyPr/>
        <a:lstStyle/>
        <a:p>
          <a:pPr algn="l">
            <a:buNone/>
          </a:pPr>
          <a:r>
            <a:rPr lang="en-GB">
              <a:latin typeface="Calibri"/>
              <a:ea typeface="+mn-ea"/>
              <a:cs typeface="+mn-cs"/>
            </a:rPr>
            <a:t>30 for all B&amp;H SEN pupils</a:t>
          </a:r>
        </a:p>
        <a:p>
          <a:pPr algn="l">
            <a:buNone/>
          </a:pPr>
          <a:endParaRPr lang="en-GB">
            <a:latin typeface="Calibri"/>
            <a:ea typeface="+mn-ea"/>
            <a:cs typeface="+mn-cs"/>
          </a:endParaRPr>
        </a:p>
        <a:p>
          <a:pPr algn="l">
            <a:buNone/>
          </a:pPr>
          <a:r>
            <a:rPr lang="en-GB">
              <a:latin typeface="Calibri"/>
              <a:ea typeface="+mn-ea"/>
              <a:cs typeface="+mn-cs"/>
            </a:rPr>
            <a:t>28 England</a:t>
          </a:r>
        </a:p>
      </dgm:t>
    </dgm:pt>
    <dgm:pt modelId="{B0CF69CD-3C8D-493A-8DEC-1ACBE543DAD3}" type="parTrans" cxnId="{2D366B60-19C2-422F-8800-9C29F35D96BA}">
      <dgm:prSet/>
      <dgm:spPr/>
      <dgm:t>
        <a:bodyPr/>
        <a:lstStyle/>
        <a:p>
          <a:endParaRPr lang="en-GB"/>
        </a:p>
      </dgm:t>
    </dgm:pt>
    <dgm:pt modelId="{192166F9-5F31-4BFA-9062-83BBD152B26B}" type="sibTrans" cxnId="{2D366B60-19C2-422F-8800-9C29F35D96BA}">
      <dgm:prSet/>
      <dgm:spPr/>
      <dgm:t>
        <a:bodyPr/>
        <a:lstStyle/>
        <a:p>
          <a:endParaRPr lang="en-GB"/>
        </a:p>
      </dgm:t>
    </dgm:pt>
    <dgm:pt modelId="{66BB767C-C5C3-40BC-A599-568249107321}">
      <dgm:prSet phldrT="[Text]"/>
      <dgm:spPr>
        <a:xfrm>
          <a:off x="2851427" y="1517570"/>
          <a:ext cx="2164556" cy="1298733"/>
        </a:xfrm>
        <a:prstGeom prst="rect">
          <a:avLst/>
        </a:prstGeom>
      </dgm:spPr>
      <dgm:t>
        <a:bodyPr/>
        <a:lstStyle/>
        <a:p>
          <a:pPr algn="l">
            <a:buNone/>
          </a:pPr>
          <a:r>
            <a:rPr lang="en-GB">
              <a:latin typeface="Calibri"/>
              <a:ea typeface="+mn-ea"/>
              <a:cs typeface="+mn-cs"/>
            </a:rPr>
            <a:t>37 for B&amp;H pupils with SEN support</a:t>
          </a:r>
        </a:p>
        <a:p>
          <a:pPr algn="l">
            <a:buNone/>
          </a:pPr>
          <a:endParaRPr lang="en-GB">
            <a:latin typeface="Calibri"/>
            <a:ea typeface="+mn-ea"/>
            <a:cs typeface="+mn-cs"/>
          </a:endParaRPr>
        </a:p>
        <a:p>
          <a:pPr algn="l">
            <a:buNone/>
          </a:pPr>
          <a:r>
            <a:rPr lang="en-GB">
              <a:latin typeface="Calibri"/>
              <a:ea typeface="+mn-ea"/>
              <a:cs typeface="+mn-cs"/>
            </a:rPr>
            <a:t>33 England</a:t>
          </a:r>
        </a:p>
      </dgm:t>
    </dgm:pt>
    <dgm:pt modelId="{3DA9106D-C62D-415F-A736-299F6E91FF8E}" type="parTrans" cxnId="{556CE7F4-8970-4988-8E69-CC1AF8538409}">
      <dgm:prSet/>
      <dgm:spPr/>
      <dgm:t>
        <a:bodyPr/>
        <a:lstStyle/>
        <a:p>
          <a:endParaRPr lang="en-GB"/>
        </a:p>
      </dgm:t>
    </dgm:pt>
    <dgm:pt modelId="{E9A240ED-71B3-4EC5-A6B3-F8FF4C7959B7}" type="sibTrans" cxnId="{556CE7F4-8970-4988-8E69-CC1AF8538409}">
      <dgm:prSet/>
      <dgm:spPr/>
      <dgm:t>
        <a:bodyPr/>
        <a:lstStyle/>
        <a:p>
          <a:endParaRPr lang="en-GB"/>
        </a:p>
      </dgm:t>
    </dgm:pt>
    <dgm:pt modelId="{ABA5B714-1507-43BE-AFF9-59BA3A577C28}">
      <dgm:prSet phldrT="[Text]"/>
      <dgm:spPr>
        <a:xfrm>
          <a:off x="470415" y="3032760"/>
          <a:ext cx="2164556" cy="1298733"/>
        </a:xfrm>
        <a:prstGeom prst="rect">
          <a:avLst/>
        </a:prstGeom>
      </dgm:spPr>
      <dgm:t>
        <a:bodyPr/>
        <a:lstStyle/>
        <a:p>
          <a:pPr algn="l">
            <a:buNone/>
          </a:pPr>
          <a:r>
            <a:rPr lang="en-GB">
              <a:solidFill>
                <a:schemeClr val="bg1"/>
              </a:solidFill>
              <a:latin typeface="Calibri"/>
              <a:ea typeface="+mn-ea"/>
              <a:cs typeface="+mn-cs"/>
            </a:rPr>
            <a:t>13 for B&amp;H pupils with an EHC plan</a:t>
          </a:r>
        </a:p>
        <a:p>
          <a:pPr algn="l">
            <a:buNone/>
          </a:pPr>
          <a:endParaRPr lang="en-GB">
            <a:solidFill>
              <a:schemeClr val="bg1"/>
            </a:solidFill>
            <a:latin typeface="Calibri"/>
            <a:ea typeface="+mn-ea"/>
            <a:cs typeface="+mn-cs"/>
          </a:endParaRPr>
        </a:p>
        <a:p>
          <a:pPr algn="l">
            <a:buNone/>
          </a:pPr>
          <a:r>
            <a:rPr lang="en-GB">
              <a:solidFill>
                <a:schemeClr val="bg1"/>
              </a:solidFill>
              <a:latin typeface="Calibri"/>
              <a:ea typeface="+mn-ea"/>
              <a:cs typeface="+mn-cs"/>
            </a:rPr>
            <a:t>14 England</a:t>
          </a:r>
        </a:p>
      </dgm:t>
    </dgm:pt>
    <dgm:pt modelId="{21C71315-3522-4D29-9A90-D176E2DD0C7B}" type="parTrans" cxnId="{1E43346A-515A-45F4-8874-1933331D6A00}">
      <dgm:prSet/>
      <dgm:spPr/>
      <dgm:t>
        <a:bodyPr/>
        <a:lstStyle/>
        <a:p>
          <a:endParaRPr lang="en-GB"/>
        </a:p>
      </dgm:t>
    </dgm:pt>
    <dgm:pt modelId="{7801B553-E2B8-4C5B-A87B-690CD5C3E4EB}" type="sibTrans" cxnId="{1E43346A-515A-45F4-8874-1933331D6A00}">
      <dgm:prSet/>
      <dgm:spPr/>
      <dgm:t>
        <a:bodyPr/>
        <a:lstStyle/>
        <a:p>
          <a:endParaRPr lang="en-GB"/>
        </a:p>
      </dgm:t>
    </dgm:pt>
    <dgm:pt modelId="{96A33BE0-93E6-4B2D-BED8-5A322AA88FE4}">
      <dgm:prSet phldrT="[Text]"/>
      <dgm:spPr>
        <a:xfrm>
          <a:off x="2851427" y="3032760"/>
          <a:ext cx="2164556" cy="1298733"/>
        </a:xfrm>
        <a:prstGeom prst="rect">
          <a:avLst/>
        </a:prstGeom>
      </dgm:spPr>
      <dgm:t>
        <a:bodyPr/>
        <a:lstStyle/>
        <a:p>
          <a:pPr algn="l">
            <a:buNone/>
          </a:pPr>
          <a:r>
            <a:rPr lang="en-GB">
              <a:latin typeface="Calibri"/>
              <a:ea typeface="+mn-ea"/>
              <a:cs typeface="+mn-cs"/>
            </a:rPr>
            <a:t>59 for B&amp;H pupils with no SEN</a:t>
          </a:r>
        </a:p>
        <a:p>
          <a:pPr algn="l">
            <a:buNone/>
          </a:pPr>
          <a:endParaRPr lang="en-GB">
            <a:latin typeface="Calibri"/>
            <a:ea typeface="+mn-ea"/>
            <a:cs typeface="+mn-cs"/>
          </a:endParaRPr>
        </a:p>
        <a:p>
          <a:pPr algn="l">
            <a:buNone/>
          </a:pPr>
          <a:r>
            <a:rPr lang="en-GB">
              <a:latin typeface="Calibri"/>
              <a:ea typeface="+mn-ea"/>
              <a:cs typeface="+mn-cs"/>
            </a:rPr>
            <a:t>50 England</a:t>
          </a:r>
        </a:p>
      </dgm:t>
    </dgm:pt>
    <dgm:pt modelId="{89172B6E-B0AA-41D0-B4D8-EA2FBB5347B1}" type="parTrans" cxnId="{3B7F5B26-5165-47FF-8D7F-D1AF122C0483}">
      <dgm:prSet/>
      <dgm:spPr/>
      <dgm:t>
        <a:bodyPr/>
        <a:lstStyle/>
        <a:p>
          <a:endParaRPr lang="en-GB"/>
        </a:p>
      </dgm:t>
    </dgm:pt>
    <dgm:pt modelId="{F9FC8507-9EA7-42F9-9739-B33C5C44D9F9}" type="sibTrans" cxnId="{3B7F5B26-5165-47FF-8D7F-D1AF122C0483}">
      <dgm:prSet/>
      <dgm:spPr/>
      <dgm:t>
        <a:bodyPr/>
        <a:lstStyle/>
        <a:p>
          <a:endParaRPr lang="en-GB"/>
        </a:p>
      </dgm:t>
    </dgm:pt>
    <dgm:pt modelId="{1024A243-13C2-4D3E-AD24-F860C34A8821}" type="pres">
      <dgm:prSet presAssocID="{F8219B28-D225-4678-9009-97FD7E6C3683}" presName="diagram" presStyleCnt="0">
        <dgm:presLayoutVars>
          <dgm:dir/>
          <dgm:resizeHandles val="exact"/>
        </dgm:presLayoutVars>
      </dgm:prSet>
      <dgm:spPr/>
    </dgm:pt>
    <dgm:pt modelId="{22721C5E-90D4-425D-BDF0-F545628EC12A}" type="pres">
      <dgm:prSet presAssocID="{74291ACA-4AAA-467E-8C91-E2F417BD3F7F}" presName="node" presStyleLbl="node1" presStyleIdx="0" presStyleCnt="5" custScaleX="208581">
        <dgm:presLayoutVars>
          <dgm:bulletEnabled val="1"/>
        </dgm:presLayoutVars>
      </dgm:prSet>
      <dgm:spPr/>
    </dgm:pt>
    <dgm:pt modelId="{E3639BE1-6B70-4FD0-8DC5-D69EC4C576FF}" type="pres">
      <dgm:prSet presAssocID="{6F401DA3-3D19-422B-BC39-A0C7FF6D932F}" presName="sibTrans" presStyleCnt="0"/>
      <dgm:spPr/>
    </dgm:pt>
    <dgm:pt modelId="{53C26669-A06A-411F-A0D6-D9B76B879137}" type="pres">
      <dgm:prSet presAssocID="{7005C320-00CC-46FE-AF45-237C616E8A0D}" presName="node" presStyleLbl="node1" presStyleIdx="1" presStyleCnt="5">
        <dgm:presLayoutVars>
          <dgm:bulletEnabled val="1"/>
        </dgm:presLayoutVars>
      </dgm:prSet>
      <dgm:spPr/>
    </dgm:pt>
    <dgm:pt modelId="{483A6DBD-AAB6-4C1F-98DD-207F27A1A04C}" type="pres">
      <dgm:prSet presAssocID="{192166F9-5F31-4BFA-9062-83BBD152B26B}" presName="sibTrans" presStyleCnt="0"/>
      <dgm:spPr/>
    </dgm:pt>
    <dgm:pt modelId="{71D0206A-E099-4BA8-9257-620F2804466C}" type="pres">
      <dgm:prSet presAssocID="{66BB767C-C5C3-40BC-A599-568249107321}" presName="node" presStyleLbl="node1" presStyleIdx="2" presStyleCnt="5">
        <dgm:presLayoutVars>
          <dgm:bulletEnabled val="1"/>
        </dgm:presLayoutVars>
      </dgm:prSet>
      <dgm:spPr/>
    </dgm:pt>
    <dgm:pt modelId="{CE3BDC67-5359-4E0A-B147-A8CEF29F98C7}" type="pres">
      <dgm:prSet presAssocID="{E9A240ED-71B3-4EC5-A6B3-F8FF4C7959B7}" presName="sibTrans" presStyleCnt="0"/>
      <dgm:spPr/>
    </dgm:pt>
    <dgm:pt modelId="{99E71E6C-888A-4D41-A88A-3F630CC4A3E5}" type="pres">
      <dgm:prSet presAssocID="{ABA5B714-1507-43BE-AFF9-59BA3A577C28}" presName="node" presStyleLbl="node1" presStyleIdx="3" presStyleCnt="5">
        <dgm:presLayoutVars>
          <dgm:bulletEnabled val="1"/>
        </dgm:presLayoutVars>
      </dgm:prSet>
      <dgm:spPr/>
    </dgm:pt>
    <dgm:pt modelId="{D427B829-EF1C-4A87-B8BB-06FC9F2AAC71}" type="pres">
      <dgm:prSet presAssocID="{7801B553-E2B8-4C5B-A87B-690CD5C3E4EB}" presName="sibTrans" presStyleCnt="0"/>
      <dgm:spPr/>
    </dgm:pt>
    <dgm:pt modelId="{F1DE154D-0123-4A2E-917D-9385C8759E16}" type="pres">
      <dgm:prSet presAssocID="{96A33BE0-93E6-4B2D-BED8-5A322AA88FE4}" presName="node" presStyleLbl="node1" presStyleIdx="4" presStyleCnt="5">
        <dgm:presLayoutVars>
          <dgm:bulletEnabled val="1"/>
        </dgm:presLayoutVars>
      </dgm:prSet>
      <dgm:spPr/>
    </dgm:pt>
  </dgm:ptLst>
  <dgm:cxnLst>
    <dgm:cxn modelId="{3042301B-34C3-4CDB-A4E0-B2AA6A924042}" type="presOf" srcId="{F8219B28-D225-4678-9009-97FD7E6C3683}" destId="{1024A243-13C2-4D3E-AD24-F860C34A8821}" srcOrd="0" destOrd="0" presId="urn:microsoft.com/office/officeart/2005/8/layout/default"/>
    <dgm:cxn modelId="{3B7F5B26-5165-47FF-8D7F-D1AF122C0483}" srcId="{F8219B28-D225-4678-9009-97FD7E6C3683}" destId="{96A33BE0-93E6-4B2D-BED8-5A322AA88FE4}" srcOrd="4" destOrd="0" parTransId="{89172B6E-B0AA-41D0-B4D8-EA2FBB5347B1}" sibTransId="{F9FC8507-9EA7-42F9-9739-B33C5C44D9F9}"/>
    <dgm:cxn modelId="{AC51A65F-9866-4E90-9A49-7E17094AAE2D}" type="presOf" srcId="{66BB767C-C5C3-40BC-A599-568249107321}" destId="{71D0206A-E099-4BA8-9257-620F2804466C}" srcOrd="0" destOrd="0" presId="urn:microsoft.com/office/officeart/2005/8/layout/default"/>
    <dgm:cxn modelId="{2D366B60-19C2-422F-8800-9C29F35D96BA}" srcId="{F8219B28-D225-4678-9009-97FD7E6C3683}" destId="{7005C320-00CC-46FE-AF45-237C616E8A0D}" srcOrd="1" destOrd="0" parTransId="{B0CF69CD-3C8D-493A-8DEC-1ACBE543DAD3}" sibTransId="{192166F9-5F31-4BFA-9062-83BBD152B26B}"/>
    <dgm:cxn modelId="{1E43346A-515A-45F4-8874-1933331D6A00}" srcId="{F8219B28-D225-4678-9009-97FD7E6C3683}" destId="{ABA5B714-1507-43BE-AFF9-59BA3A577C28}" srcOrd="3" destOrd="0" parTransId="{21C71315-3522-4D29-9A90-D176E2DD0C7B}" sibTransId="{7801B553-E2B8-4C5B-A87B-690CD5C3E4EB}"/>
    <dgm:cxn modelId="{8A7AB677-872E-4D50-82BB-4C87D0895D0A}" type="presOf" srcId="{96A33BE0-93E6-4B2D-BED8-5A322AA88FE4}" destId="{F1DE154D-0123-4A2E-917D-9385C8759E16}" srcOrd="0" destOrd="0" presId="urn:microsoft.com/office/officeart/2005/8/layout/default"/>
    <dgm:cxn modelId="{35AEBD7B-E2BB-40E6-A7B0-6C1169D28955}" srcId="{F8219B28-D225-4678-9009-97FD7E6C3683}" destId="{74291ACA-4AAA-467E-8C91-E2F417BD3F7F}" srcOrd="0" destOrd="0" parTransId="{07E77492-71C4-447F-AFB1-1DC2E7FA2BFB}" sibTransId="{6F401DA3-3D19-422B-BC39-A0C7FF6D932F}"/>
    <dgm:cxn modelId="{2029958F-4759-46ED-96B6-748913D89C0F}" type="presOf" srcId="{74291ACA-4AAA-467E-8C91-E2F417BD3F7F}" destId="{22721C5E-90D4-425D-BDF0-F545628EC12A}" srcOrd="0" destOrd="0" presId="urn:microsoft.com/office/officeart/2005/8/layout/default"/>
    <dgm:cxn modelId="{24B4A4AE-D570-4988-827F-5815D2B2EADE}" type="presOf" srcId="{ABA5B714-1507-43BE-AFF9-59BA3A577C28}" destId="{99E71E6C-888A-4D41-A88A-3F630CC4A3E5}" srcOrd="0" destOrd="0" presId="urn:microsoft.com/office/officeart/2005/8/layout/default"/>
    <dgm:cxn modelId="{122A60DA-45E0-456C-B709-9502C7C82832}" type="presOf" srcId="{7005C320-00CC-46FE-AF45-237C616E8A0D}" destId="{53C26669-A06A-411F-A0D6-D9B76B879137}" srcOrd="0" destOrd="0" presId="urn:microsoft.com/office/officeart/2005/8/layout/default"/>
    <dgm:cxn modelId="{556CE7F4-8970-4988-8E69-CC1AF8538409}" srcId="{F8219B28-D225-4678-9009-97FD7E6C3683}" destId="{66BB767C-C5C3-40BC-A599-568249107321}" srcOrd="2" destOrd="0" parTransId="{3DA9106D-C62D-415F-A736-299F6E91FF8E}" sibTransId="{E9A240ED-71B3-4EC5-A6B3-F8FF4C7959B7}"/>
    <dgm:cxn modelId="{1CC6CC97-28EE-4607-BDA6-B742CC98C31E}" type="presParOf" srcId="{1024A243-13C2-4D3E-AD24-F860C34A8821}" destId="{22721C5E-90D4-425D-BDF0-F545628EC12A}" srcOrd="0" destOrd="0" presId="urn:microsoft.com/office/officeart/2005/8/layout/default"/>
    <dgm:cxn modelId="{9163153A-9D46-45B5-AD4E-EE6156BCCFCC}" type="presParOf" srcId="{1024A243-13C2-4D3E-AD24-F860C34A8821}" destId="{E3639BE1-6B70-4FD0-8DC5-D69EC4C576FF}" srcOrd="1" destOrd="0" presId="urn:microsoft.com/office/officeart/2005/8/layout/default"/>
    <dgm:cxn modelId="{528A0080-9F03-42DC-B4DF-898AD1AFB667}" type="presParOf" srcId="{1024A243-13C2-4D3E-AD24-F860C34A8821}" destId="{53C26669-A06A-411F-A0D6-D9B76B879137}" srcOrd="2" destOrd="0" presId="urn:microsoft.com/office/officeart/2005/8/layout/default"/>
    <dgm:cxn modelId="{08E6A3D6-D76C-4950-858F-E8A692C0FB95}" type="presParOf" srcId="{1024A243-13C2-4D3E-AD24-F860C34A8821}" destId="{483A6DBD-AAB6-4C1F-98DD-207F27A1A04C}" srcOrd="3" destOrd="0" presId="urn:microsoft.com/office/officeart/2005/8/layout/default"/>
    <dgm:cxn modelId="{BB8063FF-AF0D-42A7-BBF2-C082926C8EE2}" type="presParOf" srcId="{1024A243-13C2-4D3E-AD24-F860C34A8821}" destId="{71D0206A-E099-4BA8-9257-620F2804466C}" srcOrd="4" destOrd="0" presId="urn:microsoft.com/office/officeart/2005/8/layout/default"/>
    <dgm:cxn modelId="{EAF44598-36D5-47E0-ADF0-BEB180604AFD}" type="presParOf" srcId="{1024A243-13C2-4D3E-AD24-F860C34A8821}" destId="{CE3BDC67-5359-4E0A-B147-A8CEF29F98C7}" srcOrd="5" destOrd="0" presId="urn:microsoft.com/office/officeart/2005/8/layout/default"/>
    <dgm:cxn modelId="{0BA9B402-DB01-49B2-BE83-681CDB271589}" type="presParOf" srcId="{1024A243-13C2-4D3E-AD24-F860C34A8821}" destId="{99E71E6C-888A-4D41-A88A-3F630CC4A3E5}" srcOrd="6" destOrd="0" presId="urn:microsoft.com/office/officeart/2005/8/layout/default"/>
    <dgm:cxn modelId="{745816BA-53FD-458E-A966-DA58F6456719}" type="presParOf" srcId="{1024A243-13C2-4D3E-AD24-F860C34A8821}" destId="{D427B829-EF1C-4A87-B8BB-06FC9F2AAC71}" srcOrd="7" destOrd="0" presId="urn:microsoft.com/office/officeart/2005/8/layout/default"/>
    <dgm:cxn modelId="{FBB2C310-DDEE-45B6-98B7-E26489B29928}" type="presParOf" srcId="{1024A243-13C2-4D3E-AD24-F860C34A8821}" destId="{F1DE154D-0123-4A2E-917D-9385C8759E16}" srcOrd="8" destOrd="0" presId="urn:microsoft.com/office/officeart/2005/8/layout/default"/>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476028-E8C7-4E5E-A446-9148FDA89F14}">
      <dsp:nvSpPr>
        <dsp:cNvPr id="0" name=""/>
        <dsp:cNvSpPr/>
      </dsp:nvSpPr>
      <dsp:spPr>
        <a:xfrm>
          <a:off x="0" y="1345"/>
          <a:ext cx="6323329" cy="793108"/>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b="1" kern="1200">
              <a:latin typeface="Arial" panose="020B0604020202020204" pitchFamily="34" charset="0"/>
              <a:cs typeface="Arial" panose="020B0604020202020204" pitchFamily="34" charset="0"/>
            </a:rPr>
            <a:t>1. Inclusion: </a:t>
          </a:r>
          <a:r>
            <a:rPr lang="en-GB" sz="1200" kern="1200">
              <a:latin typeface="Arial" panose="020B0604020202020204" pitchFamily="34" charset="0"/>
              <a:cs typeface="Arial" panose="020B0604020202020204" pitchFamily="34" charset="0"/>
            </a:rPr>
            <a:t>We will ensure there is a city-wide commitment to services and support that is inclusive to children, young people and adults with SEND</a:t>
          </a:r>
        </a:p>
      </dsp:txBody>
      <dsp:txXfrm>
        <a:off x="38716" y="40061"/>
        <a:ext cx="6245897" cy="715676"/>
      </dsp:txXfrm>
    </dsp:sp>
    <dsp:sp modelId="{2989F57B-1ACF-4AC2-970E-D5C1173C8D17}">
      <dsp:nvSpPr>
        <dsp:cNvPr id="0" name=""/>
        <dsp:cNvSpPr/>
      </dsp:nvSpPr>
      <dsp:spPr>
        <a:xfrm>
          <a:off x="0" y="803326"/>
          <a:ext cx="6323329" cy="793108"/>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b="1" kern="1200">
              <a:latin typeface="Arial" panose="020B0604020202020204" pitchFamily="34" charset="0"/>
              <a:cs typeface="Arial" panose="020B0604020202020204" pitchFamily="34" charset="0"/>
            </a:rPr>
            <a:t>2. Early identification and intervention: </a:t>
          </a:r>
          <a:r>
            <a:rPr lang="en-GB" sz="1200" kern="1200">
              <a:latin typeface="Arial" panose="020B0604020202020204" pitchFamily="34" charset="0"/>
              <a:cs typeface="Arial" panose="020B0604020202020204" pitchFamily="34" charset="0"/>
            </a:rPr>
            <a:t>We will ensure that children’s needs are identified, assessed and supported both early in life and when issues arise.</a:t>
          </a:r>
        </a:p>
      </dsp:txBody>
      <dsp:txXfrm>
        <a:off x="38716" y="842042"/>
        <a:ext cx="6245897" cy="715676"/>
      </dsp:txXfrm>
    </dsp:sp>
    <dsp:sp modelId="{1028C968-9378-4E9C-AC5F-F15AEBE9FBDA}">
      <dsp:nvSpPr>
        <dsp:cNvPr id="0" name=""/>
        <dsp:cNvSpPr/>
      </dsp:nvSpPr>
      <dsp:spPr>
        <a:xfrm>
          <a:off x="0" y="1631240"/>
          <a:ext cx="6323329" cy="793108"/>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b="1" kern="1200">
              <a:latin typeface="Arial" panose="020B0604020202020204" pitchFamily="34" charset="0"/>
              <a:cs typeface="Arial" panose="020B0604020202020204" pitchFamily="34" charset="0"/>
            </a:rPr>
            <a:t>3. SEND Pathways: </a:t>
          </a:r>
          <a:r>
            <a:rPr lang="en-GB" sz="1200" kern="1200">
              <a:latin typeface="Arial" panose="020B0604020202020204" pitchFamily="34" charset="0"/>
              <a:cs typeface="Arial" panose="020B0604020202020204" pitchFamily="34" charset="0"/>
            </a:rPr>
            <a:t>We will ensure that children, young people and adults with SEND and their families can access the right support from services - easily and quickly.</a:t>
          </a:r>
        </a:p>
      </dsp:txBody>
      <dsp:txXfrm>
        <a:off x="38716" y="1669956"/>
        <a:ext cx="6245897" cy="715676"/>
      </dsp:txXfrm>
    </dsp:sp>
    <dsp:sp modelId="{AF0CD276-955C-402E-8CC9-1C9899476986}">
      <dsp:nvSpPr>
        <dsp:cNvPr id="0" name=""/>
        <dsp:cNvSpPr/>
      </dsp:nvSpPr>
      <dsp:spPr>
        <a:xfrm>
          <a:off x="0" y="2407289"/>
          <a:ext cx="6323329" cy="793108"/>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b="1" kern="1200">
              <a:latin typeface="Arial" panose="020B0604020202020204" pitchFamily="34" charset="0"/>
              <a:cs typeface="Arial" panose="020B0604020202020204" pitchFamily="34" charset="0"/>
            </a:rPr>
            <a:t>4. Achievement and Outcomes: </a:t>
          </a:r>
          <a:r>
            <a:rPr lang="en-GB" sz="1200" kern="1200">
              <a:latin typeface="Arial" panose="020B0604020202020204" pitchFamily="34" charset="0"/>
              <a:cs typeface="Arial" panose="020B0604020202020204" pitchFamily="34" charset="0"/>
            </a:rPr>
            <a:t>We will ensure that all children, young people and adults with LD are able to achieve their full potential across Health, Education and Social Care.</a:t>
          </a:r>
        </a:p>
      </dsp:txBody>
      <dsp:txXfrm>
        <a:off x="38716" y="2446005"/>
        <a:ext cx="6245897" cy="715676"/>
      </dsp:txXfrm>
    </dsp:sp>
    <dsp:sp modelId="{CCD9440C-8849-4055-A226-EA3A8672D9C1}">
      <dsp:nvSpPr>
        <dsp:cNvPr id="0" name=""/>
        <dsp:cNvSpPr/>
      </dsp:nvSpPr>
      <dsp:spPr>
        <a:xfrm>
          <a:off x="0" y="3209270"/>
          <a:ext cx="6323329" cy="755625"/>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endParaRPr lang="en-GB" sz="1400" b="1" kern="1200">
            <a:latin typeface="Arial" panose="020B0604020202020204" pitchFamily="34" charset="0"/>
            <a:cs typeface="Arial" panose="020B0604020202020204" pitchFamily="34" charset="0"/>
          </a:endParaRPr>
        </a:p>
        <a:p>
          <a:pPr marL="0" lvl="0" indent="0" algn="l" defTabSz="622300">
            <a:lnSpc>
              <a:spcPct val="90000"/>
            </a:lnSpc>
            <a:spcBef>
              <a:spcPct val="0"/>
            </a:spcBef>
            <a:spcAft>
              <a:spcPct val="35000"/>
            </a:spcAft>
            <a:buNone/>
          </a:pPr>
          <a:r>
            <a:rPr lang="en-GB" sz="1200" b="1" kern="1200">
              <a:latin typeface="Arial" panose="020B0604020202020204" pitchFamily="34" charset="0"/>
              <a:cs typeface="Arial" panose="020B0604020202020204" pitchFamily="34" charset="0"/>
            </a:rPr>
            <a:t>5. Transitions and preparing for the future: </a:t>
          </a:r>
          <a:r>
            <a:rPr lang="en-GB" sz="1200" kern="1200">
              <a:latin typeface="Arial" panose="020B0604020202020204" pitchFamily="34" charset="0"/>
              <a:cs typeface="Arial" panose="020B0604020202020204" pitchFamily="34" charset="0"/>
            </a:rPr>
            <a:t>We will ensure that moves between services or changes in provision and support across all ages are smooth, seamless and supportive.</a:t>
          </a:r>
        </a:p>
        <a:p>
          <a:pPr marL="0" lvl="0" indent="0" algn="l" defTabSz="622300">
            <a:lnSpc>
              <a:spcPct val="90000"/>
            </a:lnSpc>
            <a:spcBef>
              <a:spcPct val="0"/>
            </a:spcBef>
            <a:spcAft>
              <a:spcPct val="35000"/>
            </a:spcAft>
            <a:buNone/>
          </a:pPr>
          <a:endParaRPr lang="en-GB" sz="1400" kern="1200"/>
        </a:p>
      </dsp:txBody>
      <dsp:txXfrm>
        <a:off x="36887" y="3246157"/>
        <a:ext cx="6249555" cy="681851"/>
      </dsp:txXfrm>
    </dsp:sp>
    <dsp:sp modelId="{95405012-1F91-4FFD-AC34-CD1B520DF98E}">
      <dsp:nvSpPr>
        <dsp:cNvPr id="0" name=""/>
        <dsp:cNvSpPr/>
      </dsp:nvSpPr>
      <dsp:spPr>
        <a:xfrm>
          <a:off x="0" y="3973769"/>
          <a:ext cx="6323329" cy="793108"/>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b="1" kern="1200">
              <a:latin typeface="Arial" panose="020B0604020202020204" pitchFamily="34" charset="0"/>
              <a:cs typeface="Arial" panose="020B0604020202020204" pitchFamily="34" charset="0"/>
            </a:rPr>
            <a:t>6. Sufficiency of SEND Services and Provision: </a:t>
          </a:r>
          <a:r>
            <a:rPr lang="en-GB" sz="1200" kern="1200">
              <a:latin typeface="Arial" panose="020B0604020202020204" pitchFamily="34" charset="0"/>
              <a:cs typeface="Arial" panose="020B0604020202020204" pitchFamily="34" charset="0"/>
            </a:rPr>
            <a:t>To ensure that the right provision is available at the right time for all children and young people with SEND. This includes Early Years, Post-16, Post-10, alternative provision and adults with LD.</a:t>
          </a:r>
        </a:p>
      </dsp:txBody>
      <dsp:txXfrm>
        <a:off x="38716" y="4012485"/>
        <a:ext cx="6245897" cy="715676"/>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721C5E-90D4-425D-BDF0-F545628EC12A}">
      <dsp:nvSpPr>
        <dsp:cNvPr id="0" name=""/>
        <dsp:cNvSpPr/>
      </dsp:nvSpPr>
      <dsp:spPr>
        <a:xfrm>
          <a:off x="32182" y="14290"/>
          <a:ext cx="2548907" cy="1294960"/>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l" defTabSz="755650">
            <a:lnSpc>
              <a:spcPct val="90000"/>
            </a:lnSpc>
            <a:spcBef>
              <a:spcPct val="0"/>
            </a:spcBef>
            <a:spcAft>
              <a:spcPct val="35000"/>
            </a:spcAft>
            <a:buNone/>
          </a:pPr>
          <a:r>
            <a:rPr lang="en-GB" sz="1700" kern="1200">
              <a:solidFill>
                <a:schemeClr val="bg1"/>
              </a:solidFill>
              <a:latin typeface="Calibri"/>
              <a:ea typeface="+mn-ea"/>
              <a:cs typeface="+mn-cs"/>
            </a:rPr>
            <a:t>8% overall B&amp;H pupils absence rate</a:t>
          </a:r>
        </a:p>
        <a:p>
          <a:pPr marL="0" lvl="0" indent="0" algn="l" defTabSz="755650">
            <a:lnSpc>
              <a:spcPct val="90000"/>
            </a:lnSpc>
            <a:spcBef>
              <a:spcPct val="0"/>
            </a:spcBef>
            <a:spcAft>
              <a:spcPct val="35000"/>
            </a:spcAft>
            <a:buNone/>
          </a:pPr>
          <a:endParaRPr lang="en-GB" sz="1700" kern="1200">
            <a:solidFill>
              <a:schemeClr val="bg1"/>
            </a:solidFill>
            <a:latin typeface="Calibri"/>
            <a:ea typeface="+mn-ea"/>
            <a:cs typeface="+mn-cs"/>
          </a:endParaRPr>
        </a:p>
        <a:p>
          <a:pPr marL="0" lvl="0" indent="0" algn="l" defTabSz="755650">
            <a:lnSpc>
              <a:spcPct val="90000"/>
            </a:lnSpc>
            <a:spcBef>
              <a:spcPct val="0"/>
            </a:spcBef>
            <a:spcAft>
              <a:spcPct val="35000"/>
            </a:spcAft>
            <a:buNone/>
          </a:pPr>
          <a:r>
            <a:rPr lang="en-GB" sz="1700" kern="1200">
              <a:solidFill>
                <a:schemeClr val="bg1"/>
              </a:solidFill>
              <a:latin typeface="Calibri"/>
              <a:ea typeface="+mn-ea"/>
              <a:cs typeface="+mn-cs"/>
            </a:rPr>
            <a:t>7% England</a:t>
          </a:r>
        </a:p>
      </dsp:txBody>
      <dsp:txXfrm>
        <a:off x="32182" y="14290"/>
        <a:ext cx="2548907" cy="1294960"/>
      </dsp:txXfrm>
    </dsp:sp>
    <dsp:sp modelId="{71D0206A-E099-4BA8-9257-620F2804466C}">
      <dsp:nvSpPr>
        <dsp:cNvPr id="0" name=""/>
        <dsp:cNvSpPr/>
      </dsp:nvSpPr>
      <dsp:spPr>
        <a:xfrm>
          <a:off x="2842283" y="23372"/>
          <a:ext cx="2611933" cy="1276796"/>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l" defTabSz="755650">
            <a:lnSpc>
              <a:spcPct val="90000"/>
            </a:lnSpc>
            <a:spcBef>
              <a:spcPct val="0"/>
            </a:spcBef>
            <a:spcAft>
              <a:spcPct val="35000"/>
            </a:spcAft>
            <a:buNone/>
          </a:pPr>
          <a:r>
            <a:rPr lang="en-GB" sz="1700" kern="1200">
              <a:solidFill>
                <a:schemeClr val="bg1"/>
              </a:solidFill>
              <a:latin typeface="Calibri"/>
              <a:ea typeface="+mn-ea"/>
              <a:cs typeface="+mn-cs"/>
            </a:rPr>
            <a:t>12% of B&amp;H pupils with SEN support</a:t>
          </a:r>
        </a:p>
        <a:p>
          <a:pPr marL="0" lvl="0" indent="0" algn="l" defTabSz="755650">
            <a:lnSpc>
              <a:spcPct val="90000"/>
            </a:lnSpc>
            <a:spcBef>
              <a:spcPct val="0"/>
            </a:spcBef>
            <a:spcAft>
              <a:spcPct val="35000"/>
            </a:spcAft>
            <a:buNone/>
          </a:pPr>
          <a:endParaRPr lang="en-GB" sz="1700" kern="1200">
            <a:solidFill>
              <a:schemeClr val="bg1"/>
            </a:solidFill>
            <a:latin typeface="Calibri"/>
            <a:ea typeface="+mn-ea"/>
            <a:cs typeface="+mn-cs"/>
          </a:endParaRPr>
        </a:p>
        <a:p>
          <a:pPr marL="0" lvl="0" indent="0" algn="l" defTabSz="755650">
            <a:lnSpc>
              <a:spcPct val="90000"/>
            </a:lnSpc>
            <a:spcBef>
              <a:spcPct val="0"/>
            </a:spcBef>
            <a:spcAft>
              <a:spcPct val="35000"/>
            </a:spcAft>
            <a:buNone/>
          </a:pPr>
          <a:r>
            <a:rPr lang="en-GB" sz="1700" kern="1200">
              <a:solidFill>
                <a:schemeClr val="bg1"/>
              </a:solidFill>
              <a:latin typeface="Calibri"/>
              <a:ea typeface="+mn-ea"/>
              <a:cs typeface="+mn-cs"/>
            </a:rPr>
            <a:t>10% England</a:t>
          </a:r>
        </a:p>
      </dsp:txBody>
      <dsp:txXfrm>
        <a:off x="2842283" y="23372"/>
        <a:ext cx="2611933" cy="1276796"/>
      </dsp:txXfrm>
    </dsp:sp>
    <dsp:sp modelId="{99E71E6C-888A-4D41-A88A-3F630CC4A3E5}">
      <dsp:nvSpPr>
        <dsp:cNvPr id="0" name=""/>
        <dsp:cNvSpPr/>
      </dsp:nvSpPr>
      <dsp:spPr>
        <a:xfrm>
          <a:off x="669" y="1570443"/>
          <a:ext cx="2611933" cy="1263240"/>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l" defTabSz="755650">
            <a:lnSpc>
              <a:spcPct val="90000"/>
            </a:lnSpc>
            <a:spcBef>
              <a:spcPct val="0"/>
            </a:spcBef>
            <a:spcAft>
              <a:spcPct val="35000"/>
            </a:spcAft>
            <a:buNone/>
          </a:pPr>
          <a:r>
            <a:rPr lang="en-GB" sz="1700" kern="1200">
              <a:solidFill>
                <a:schemeClr val="bg1"/>
              </a:solidFill>
              <a:latin typeface="Calibri"/>
              <a:ea typeface="+mn-ea"/>
              <a:cs typeface="+mn-cs"/>
            </a:rPr>
            <a:t>16% with an EHC plan</a:t>
          </a:r>
        </a:p>
        <a:p>
          <a:pPr marL="0" lvl="0" indent="0" algn="l" defTabSz="755650">
            <a:lnSpc>
              <a:spcPct val="90000"/>
            </a:lnSpc>
            <a:spcBef>
              <a:spcPct val="0"/>
            </a:spcBef>
            <a:spcAft>
              <a:spcPct val="35000"/>
            </a:spcAft>
            <a:buNone/>
          </a:pPr>
          <a:endParaRPr lang="en-GB" sz="1700" kern="1200">
            <a:solidFill>
              <a:schemeClr val="bg1"/>
            </a:solidFill>
            <a:latin typeface="Calibri"/>
            <a:ea typeface="+mn-ea"/>
            <a:cs typeface="+mn-cs"/>
          </a:endParaRPr>
        </a:p>
        <a:p>
          <a:pPr marL="0" lvl="0" indent="0" algn="l" defTabSz="755650">
            <a:lnSpc>
              <a:spcPct val="90000"/>
            </a:lnSpc>
            <a:spcBef>
              <a:spcPct val="0"/>
            </a:spcBef>
            <a:spcAft>
              <a:spcPct val="35000"/>
            </a:spcAft>
            <a:buNone/>
          </a:pPr>
          <a:r>
            <a:rPr lang="en-GB" sz="1700" kern="1200">
              <a:solidFill>
                <a:schemeClr val="bg1"/>
              </a:solidFill>
              <a:latin typeface="Calibri"/>
              <a:ea typeface="+mn-ea"/>
              <a:cs typeface="+mn-cs"/>
            </a:rPr>
            <a:t>13% England</a:t>
          </a:r>
        </a:p>
      </dsp:txBody>
      <dsp:txXfrm>
        <a:off x="669" y="1570443"/>
        <a:ext cx="2611933" cy="1263240"/>
      </dsp:txXfrm>
    </dsp:sp>
    <dsp:sp modelId="{F1DE154D-0123-4A2E-917D-9385C8759E16}">
      <dsp:nvSpPr>
        <dsp:cNvPr id="0" name=""/>
        <dsp:cNvSpPr/>
      </dsp:nvSpPr>
      <dsp:spPr>
        <a:xfrm>
          <a:off x="2873796" y="1576391"/>
          <a:ext cx="2611933" cy="1251346"/>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l" defTabSz="755650">
            <a:lnSpc>
              <a:spcPct val="90000"/>
            </a:lnSpc>
            <a:spcBef>
              <a:spcPct val="0"/>
            </a:spcBef>
            <a:spcAft>
              <a:spcPct val="35000"/>
            </a:spcAft>
            <a:buNone/>
          </a:pPr>
          <a:r>
            <a:rPr lang="en-GB" sz="1700" kern="1200">
              <a:solidFill>
                <a:schemeClr val="bg1"/>
              </a:solidFill>
              <a:latin typeface="Calibri"/>
              <a:ea typeface="+mn-ea"/>
              <a:cs typeface="+mn-cs"/>
            </a:rPr>
            <a:t>7% with no SEN</a:t>
          </a:r>
        </a:p>
        <a:p>
          <a:pPr marL="0" lvl="0" indent="0" algn="l" defTabSz="755650">
            <a:lnSpc>
              <a:spcPct val="90000"/>
            </a:lnSpc>
            <a:spcBef>
              <a:spcPct val="0"/>
            </a:spcBef>
            <a:spcAft>
              <a:spcPct val="35000"/>
            </a:spcAft>
            <a:buNone/>
          </a:pPr>
          <a:endParaRPr lang="en-GB" sz="1700" kern="1200">
            <a:solidFill>
              <a:schemeClr val="bg1"/>
            </a:solidFill>
            <a:latin typeface="Calibri"/>
            <a:ea typeface="+mn-ea"/>
            <a:cs typeface="+mn-cs"/>
          </a:endParaRPr>
        </a:p>
        <a:p>
          <a:pPr marL="0" lvl="0" indent="0" algn="l" defTabSz="755650">
            <a:lnSpc>
              <a:spcPct val="90000"/>
            </a:lnSpc>
            <a:spcBef>
              <a:spcPct val="0"/>
            </a:spcBef>
            <a:spcAft>
              <a:spcPct val="35000"/>
            </a:spcAft>
            <a:buNone/>
          </a:pPr>
          <a:r>
            <a:rPr lang="en-GB" sz="1700" kern="1200">
              <a:solidFill>
                <a:schemeClr val="bg1"/>
              </a:solidFill>
              <a:latin typeface="Calibri"/>
              <a:ea typeface="+mn-ea"/>
              <a:cs typeface="+mn-cs"/>
            </a:rPr>
            <a:t>6% England</a:t>
          </a:r>
        </a:p>
      </dsp:txBody>
      <dsp:txXfrm>
        <a:off x="2873796" y="1576391"/>
        <a:ext cx="2611933" cy="125134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721C5E-90D4-425D-BDF0-F545628EC12A}">
      <dsp:nvSpPr>
        <dsp:cNvPr id="0" name=""/>
        <dsp:cNvSpPr/>
      </dsp:nvSpPr>
      <dsp:spPr>
        <a:xfrm>
          <a:off x="577166" y="848"/>
          <a:ext cx="2036511" cy="1252120"/>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solidFill>
                <a:schemeClr val="bg1"/>
              </a:solidFill>
              <a:latin typeface="Calibri"/>
              <a:ea typeface="+mn-ea"/>
              <a:cs typeface="+mn-cs"/>
            </a:rPr>
            <a:t>22% of pupils were persistently absent</a:t>
          </a:r>
        </a:p>
        <a:p>
          <a:pPr marL="0" lvl="0" indent="0" algn="l" defTabSz="711200">
            <a:lnSpc>
              <a:spcPct val="90000"/>
            </a:lnSpc>
            <a:spcBef>
              <a:spcPct val="0"/>
            </a:spcBef>
            <a:spcAft>
              <a:spcPct val="35000"/>
            </a:spcAft>
            <a:buNone/>
          </a:pPr>
          <a:endParaRPr lang="en-GB" sz="1600" kern="1200">
            <a:solidFill>
              <a:schemeClr val="bg1"/>
            </a:solidFill>
            <a:latin typeface="Calibri"/>
            <a:ea typeface="+mn-ea"/>
            <a:cs typeface="+mn-cs"/>
          </a:endParaRPr>
        </a:p>
        <a:p>
          <a:pPr marL="0" lvl="0" indent="0" algn="l" defTabSz="711200">
            <a:lnSpc>
              <a:spcPct val="90000"/>
            </a:lnSpc>
            <a:spcBef>
              <a:spcPct val="0"/>
            </a:spcBef>
            <a:spcAft>
              <a:spcPct val="35000"/>
            </a:spcAft>
            <a:buNone/>
          </a:pPr>
          <a:r>
            <a:rPr lang="en-GB" sz="1600" kern="1200">
              <a:solidFill>
                <a:schemeClr val="bg1"/>
              </a:solidFill>
              <a:latin typeface="Calibri"/>
              <a:ea typeface="+mn-ea"/>
              <a:cs typeface="+mn-cs"/>
            </a:rPr>
            <a:t>20% England</a:t>
          </a:r>
        </a:p>
      </dsp:txBody>
      <dsp:txXfrm>
        <a:off x="577166" y="848"/>
        <a:ext cx="2036511" cy="1252120"/>
      </dsp:txXfrm>
    </dsp:sp>
    <dsp:sp modelId="{71D0206A-E099-4BA8-9257-620F2804466C}">
      <dsp:nvSpPr>
        <dsp:cNvPr id="0" name=""/>
        <dsp:cNvSpPr/>
      </dsp:nvSpPr>
      <dsp:spPr>
        <a:xfrm>
          <a:off x="2822365" y="848"/>
          <a:ext cx="2086867" cy="1252120"/>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latin typeface="Calibri"/>
              <a:ea typeface="+mn-ea"/>
              <a:cs typeface="+mn-cs"/>
            </a:rPr>
            <a:t>34% of pupils with SEN support</a:t>
          </a:r>
        </a:p>
        <a:p>
          <a:pPr marL="0" lvl="0" indent="0" algn="l" defTabSz="711200">
            <a:lnSpc>
              <a:spcPct val="90000"/>
            </a:lnSpc>
            <a:spcBef>
              <a:spcPct val="0"/>
            </a:spcBef>
            <a:spcAft>
              <a:spcPct val="35000"/>
            </a:spcAft>
            <a:buNone/>
          </a:pPr>
          <a:endParaRPr lang="en-GB" sz="1600" kern="1200">
            <a:latin typeface="Calibri"/>
            <a:ea typeface="+mn-ea"/>
            <a:cs typeface="+mn-cs"/>
          </a:endParaRPr>
        </a:p>
        <a:p>
          <a:pPr marL="0" lvl="0" indent="0" algn="l" defTabSz="711200">
            <a:lnSpc>
              <a:spcPct val="90000"/>
            </a:lnSpc>
            <a:spcBef>
              <a:spcPct val="0"/>
            </a:spcBef>
            <a:spcAft>
              <a:spcPct val="35000"/>
            </a:spcAft>
            <a:buNone/>
          </a:pPr>
          <a:r>
            <a:rPr lang="en-GB" sz="1600" kern="1200">
              <a:latin typeface="Calibri"/>
              <a:ea typeface="+mn-ea"/>
              <a:cs typeface="+mn-cs"/>
            </a:rPr>
            <a:t>30% England</a:t>
          </a:r>
        </a:p>
      </dsp:txBody>
      <dsp:txXfrm>
        <a:off x="2822365" y="848"/>
        <a:ext cx="2086867" cy="1252120"/>
      </dsp:txXfrm>
    </dsp:sp>
    <dsp:sp modelId="{99E71E6C-888A-4D41-A88A-3F630CC4A3E5}">
      <dsp:nvSpPr>
        <dsp:cNvPr id="0" name=""/>
        <dsp:cNvSpPr/>
      </dsp:nvSpPr>
      <dsp:spPr>
        <a:xfrm>
          <a:off x="551988" y="1461655"/>
          <a:ext cx="2086867" cy="1252120"/>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solidFill>
                <a:schemeClr val="bg1"/>
              </a:solidFill>
              <a:latin typeface="Calibri"/>
              <a:ea typeface="+mn-ea"/>
              <a:cs typeface="+mn-cs"/>
            </a:rPr>
            <a:t>43% with an EHC plan</a:t>
          </a:r>
        </a:p>
        <a:p>
          <a:pPr marL="0" lvl="0" indent="0" algn="l" defTabSz="711200">
            <a:lnSpc>
              <a:spcPct val="90000"/>
            </a:lnSpc>
            <a:spcBef>
              <a:spcPct val="0"/>
            </a:spcBef>
            <a:spcAft>
              <a:spcPct val="35000"/>
            </a:spcAft>
            <a:buNone/>
          </a:pPr>
          <a:endParaRPr lang="en-GB" sz="1600" kern="1200">
            <a:solidFill>
              <a:schemeClr val="bg1"/>
            </a:solidFill>
            <a:latin typeface="Calibri"/>
            <a:ea typeface="+mn-ea"/>
            <a:cs typeface="+mn-cs"/>
          </a:endParaRPr>
        </a:p>
        <a:p>
          <a:pPr marL="0" lvl="0" indent="0" algn="l" defTabSz="711200">
            <a:lnSpc>
              <a:spcPct val="90000"/>
            </a:lnSpc>
            <a:spcBef>
              <a:spcPct val="0"/>
            </a:spcBef>
            <a:spcAft>
              <a:spcPct val="35000"/>
            </a:spcAft>
            <a:buNone/>
          </a:pPr>
          <a:r>
            <a:rPr lang="en-GB" sz="1600" kern="1200">
              <a:solidFill>
                <a:schemeClr val="bg1"/>
              </a:solidFill>
              <a:latin typeface="Calibri"/>
              <a:ea typeface="+mn-ea"/>
              <a:cs typeface="+mn-cs"/>
            </a:rPr>
            <a:t>36% England</a:t>
          </a:r>
        </a:p>
      </dsp:txBody>
      <dsp:txXfrm>
        <a:off x="551988" y="1461655"/>
        <a:ext cx="2086867" cy="1252120"/>
      </dsp:txXfrm>
    </dsp:sp>
    <dsp:sp modelId="{F1DE154D-0123-4A2E-917D-9385C8759E16}">
      <dsp:nvSpPr>
        <dsp:cNvPr id="0" name=""/>
        <dsp:cNvSpPr/>
      </dsp:nvSpPr>
      <dsp:spPr>
        <a:xfrm>
          <a:off x="2847543" y="1461655"/>
          <a:ext cx="2086867" cy="1252120"/>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solidFill>
                <a:schemeClr val="bg1"/>
              </a:solidFill>
              <a:latin typeface="Calibri"/>
              <a:ea typeface="+mn-ea"/>
              <a:cs typeface="+mn-cs"/>
            </a:rPr>
            <a:t>18% with no SEN</a:t>
          </a:r>
        </a:p>
        <a:p>
          <a:pPr marL="0" lvl="0" indent="0" algn="l" defTabSz="711200">
            <a:lnSpc>
              <a:spcPct val="90000"/>
            </a:lnSpc>
            <a:spcBef>
              <a:spcPct val="0"/>
            </a:spcBef>
            <a:spcAft>
              <a:spcPct val="35000"/>
            </a:spcAft>
            <a:buNone/>
          </a:pPr>
          <a:endParaRPr lang="en-GB" sz="1600" kern="1200">
            <a:solidFill>
              <a:schemeClr val="bg1"/>
            </a:solidFill>
            <a:latin typeface="Calibri"/>
            <a:ea typeface="+mn-ea"/>
            <a:cs typeface="+mn-cs"/>
          </a:endParaRPr>
        </a:p>
        <a:p>
          <a:pPr marL="0" lvl="0" indent="0" algn="l" defTabSz="711200">
            <a:lnSpc>
              <a:spcPct val="90000"/>
            </a:lnSpc>
            <a:spcBef>
              <a:spcPct val="0"/>
            </a:spcBef>
            <a:spcAft>
              <a:spcPct val="35000"/>
            </a:spcAft>
            <a:buNone/>
          </a:pPr>
          <a:r>
            <a:rPr lang="en-GB" sz="1600" kern="1200">
              <a:solidFill>
                <a:schemeClr val="bg1"/>
              </a:solidFill>
              <a:latin typeface="Calibri"/>
              <a:ea typeface="+mn-ea"/>
              <a:cs typeface="+mn-cs"/>
            </a:rPr>
            <a:t>17% England</a:t>
          </a:r>
        </a:p>
      </dsp:txBody>
      <dsp:txXfrm>
        <a:off x="2847543" y="1461655"/>
        <a:ext cx="2086867" cy="1252120"/>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721C5E-90D4-425D-BDF0-F545628EC12A}">
      <dsp:nvSpPr>
        <dsp:cNvPr id="0" name=""/>
        <dsp:cNvSpPr/>
      </dsp:nvSpPr>
      <dsp:spPr>
        <a:xfrm>
          <a:off x="568825" y="386"/>
          <a:ext cx="2044354" cy="1256942"/>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latin typeface="Calibri"/>
              <a:ea typeface="+mn-ea"/>
              <a:cs typeface="+mn-cs"/>
            </a:rPr>
            <a:t>2.3% of pupils were suspended</a:t>
          </a:r>
        </a:p>
        <a:p>
          <a:pPr marL="0" lvl="0" indent="0" algn="l" defTabSz="711200">
            <a:lnSpc>
              <a:spcPct val="90000"/>
            </a:lnSpc>
            <a:spcBef>
              <a:spcPct val="0"/>
            </a:spcBef>
            <a:spcAft>
              <a:spcPct val="35000"/>
            </a:spcAft>
            <a:buNone/>
          </a:pPr>
          <a:endParaRPr lang="en-GB" sz="1600" kern="1200">
            <a:latin typeface="Calibri"/>
            <a:ea typeface="+mn-ea"/>
            <a:cs typeface="+mn-cs"/>
          </a:endParaRPr>
        </a:p>
        <a:p>
          <a:pPr marL="0" lvl="0" indent="0" algn="l" defTabSz="711200">
            <a:lnSpc>
              <a:spcPct val="90000"/>
            </a:lnSpc>
            <a:spcBef>
              <a:spcPct val="0"/>
            </a:spcBef>
            <a:spcAft>
              <a:spcPct val="35000"/>
            </a:spcAft>
            <a:buNone/>
          </a:pPr>
          <a:r>
            <a:rPr lang="en-GB" sz="1600" kern="1200">
              <a:latin typeface="Calibri"/>
              <a:ea typeface="+mn-ea"/>
              <a:cs typeface="+mn-cs"/>
            </a:rPr>
            <a:t>4.1% England</a:t>
          </a:r>
        </a:p>
      </dsp:txBody>
      <dsp:txXfrm>
        <a:off x="568825" y="386"/>
        <a:ext cx="2044354" cy="1256942"/>
      </dsp:txXfrm>
    </dsp:sp>
    <dsp:sp modelId="{71D0206A-E099-4BA8-9257-620F2804466C}">
      <dsp:nvSpPr>
        <dsp:cNvPr id="0" name=""/>
        <dsp:cNvSpPr/>
      </dsp:nvSpPr>
      <dsp:spPr>
        <a:xfrm>
          <a:off x="2822670" y="386"/>
          <a:ext cx="2094904" cy="1256942"/>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latin typeface="Calibri"/>
              <a:ea typeface="+mn-ea"/>
              <a:cs typeface="+mn-cs"/>
            </a:rPr>
            <a:t>6% of pupils with SEN support</a:t>
          </a:r>
        </a:p>
        <a:p>
          <a:pPr marL="0" lvl="0" indent="0" algn="l" defTabSz="711200">
            <a:lnSpc>
              <a:spcPct val="90000"/>
            </a:lnSpc>
            <a:spcBef>
              <a:spcPct val="0"/>
            </a:spcBef>
            <a:spcAft>
              <a:spcPct val="35000"/>
            </a:spcAft>
            <a:buNone/>
          </a:pPr>
          <a:endParaRPr lang="en-GB" sz="1600" kern="1200">
            <a:latin typeface="Calibri"/>
            <a:ea typeface="+mn-ea"/>
            <a:cs typeface="+mn-cs"/>
          </a:endParaRPr>
        </a:p>
        <a:p>
          <a:pPr marL="0" lvl="0" indent="0" algn="l" defTabSz="711200">
            <a:lnSpc>
              <a:spcPct val="90000"/>
            </a:lnSpc>
            <a:spcBef>
              <a:spcPct val="0"/>
            </a:spcBef>
            <a:spcAft>
              <a:spcPct val="35000"/>
            </a:spcAft>
            <a:buNone/>
          </a:pPr>
          <a:r>
            <a:rPr lang="en-GB" sz="1600" kern="1200">
              <a:latin typeface="Calibri"/>
              <a:ea typeface="+mn-ea"/>
              <a:cs typeface="+mn-cs"/>
            </a:rPr>
            <a:t>11% England</a:t>
          </a:r>
        </a:p>
      </dsp:txBody>
      <dsp:txXfrm>
        <a:off x="2822670" y="386"/>
        <a:ext cx="2094904" cy="1256942"/>
      </dsp:txXfrm>
    </dsp:sp>
    <dsp:sp modelId="{99E71E6C-888A-4D41-A88A-3F630CC4A3E5}">
      <dsp:nvSpPr>
        <dsp:cNvPr id="0" name=""/>
        <dsp:cNvSpPr/>
      </dsp:nvSpPr>
      <dsp:spPr>
        <a:xfrm>
          <a:off x="543550" y="1466820"/>
          <a:ext cx="2094904" cy="1256942"/>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latin typeface="Calibri"/>
              <a:ea typeface="+mn-ea"/>
              <a:cs typeface="+mn-cs"/>
            </a:rPr>
            <a:t>8% with an EHC plan</a:t>
          </a:r>
        </a:p>
        <a:p>
          <a:pPr marL="0" lvl="0" indent="0" algn="l" defTabSz="711200">
            <a:lnSpc>
              <a:spcPct val="90000"/>
            </a:lnSpc>
            <a:spcBef>
              <a:spcPct val="0"/>
            </a:spcBef>
            <a:spcAft>
              <a:spcPct val="35000"/>
            </a:spcAft>
            <a:buNone/>
          </a:pPr>
          <a:endParaRPr lang="en-GB" sz="1600" kern="1200">
            <a:latin typeface="Calibri"/>
            <a:ea typeface="+mn-ea"/>
            <a:cs typeface="+mn-cs"/>
          </a:endParaRPr>
        </a:p>
        <a:p>
          <a:pPr marL="0" lvl="0" indent="0" algn="l" defTabSz="711200">
            <a:lnSpc>
              <a:spcPct val="90000"/>
            </a:lnSpc>
            <a:spcBef>
              <a:spcPct val="0"/>
            </a:spcBef>
            <a:spcAft>
              <a:spcPct val="35000"/>
            </a:spcAft>
            <a:buNone/>
          </a:pPr>
          <a:r>
            <a:rPr lang="en-GB" sz="1600" kern="1200">
              <a:latin typeface="Calibri"/>
              <a:ea typeface="+mn-ea"/>
              <a:cs typeface="+mn-cs"/>
            </a:rPr>
            <a:t>10% England</a:t>
          </a:r>
        </a:p>
      </dsp:txBody>
      <dsp:txXfrm>
        <a:off x="543550" y="1466820"/>
        <a:ext cx="2094904" cy="1256942"/>
      </dsp:txXfrm>
    </dsp:sp>
    <dsp:sp modelId="{F1DE154D-0123-4A2E-917D-9385C8759E16}">
      <dsp:nvSpPr>
        <dsp:cNvPr id="0" name=""/>
        <dsp:cNvSpPr/>
      </dsp:nvSpPr>
      <dsp:spPr>
        <a:xfrm>
          <a:off x="2847945" y="1466820"/>
          <a:ext cx="2094904" cy="1256942"/>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latin typeface="Calibri"/>
              <a:ea typeface="+mn-ea"/>
              <a:cs typeface="+mn-cs"/>
            </a:rPr>
            <a:t>1.2% with no SEN</a:t>
          </a:r>
        </a:p>
        <a:p>
          <a:pPr marL="0" lvl="0" indent="0" algn="l" defTabSz="711200">
            <a:lnSpc>
              <a:spcPct val="90000"/>
            </a:lnSpc>
            <a:spcBef>
              <a:spcPct val="0"/>
            </a:spcBef>
            <a:spcAft>
              <a:spcPct val="35000"/>
            </a:spcAft>
            <a:buNone/>
          </a:pPr>
          <a:endParaRPr lang="en-GB" sz="1600" kern="1200">
            <a:latin typeface="Calibri"/>
            <a:ea typeface="+mn-ea"/>
            <a:cs typeface="+mn-cs"/>
          </a:endParaRPr>
        </a:p>
        <a:p>
          <a:pPr marL="0" lvl="0" indent="0" algn="l" defTabSz="711200">
            <a:lnSpc>
              <a:spcPct val="90000"/>
            </a:lnSpc>
            <a:spcBef>
              <a:spcPct val="0"/>
            </a:spcBef>
            <a:spcAft>
              <a:spcPct val="35000"/>
            </a:spcAft>
            <a:buNone/>
          </a:pPr>
          <a:r>
            <a:rPr lang="en-GB" sz="1600" kern="1200">
              <a:latin typeface="Calibri"/>
              <a:ea typeface="+mn-ea"/>
              <a:cs typeface="+mn-cs"/>
            </a:rPr>
            <a:t>2.7% England</a:t>
          </a:r>
        </a:p>
      </dsp:txBody>
      <dsp:txXfrm>
        <a:off x="2847945" y="1466820"/>
        <a:ext cx="2094904" cy="1256942"/>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721C5E-90D4-425D-BDF0-F545628EC12A}">
      <dsp:nvSpPr>
        <dsp:cNvPr id="0" name=""/>
        <dsp:cNvSpPr/>
      </dsp:nvSpPr>
      <dsp:spPr>
        <a:xfrm>
          <a:off x="532678" y="1562"/>
          <a:ext cx="2078340" cy="127783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latin typeface="Calibri"/>
              <a:ea typeface="+mn-ea"/>
              <a:cs typeface="+mn-cs"/>
            </a:rPr>
            <a:t>4.1% of 16-17 year olds Not in Education, Employment or training</a:t>
          </a:r>
        </a:p>
        <a:p>
          <a:pPr marL="0" lvl="0" indent="0" algn="l" defTabSz="711200">
            <a:lnSpc>
              <a:spcPct val="90000"/>
            </a:lnSpc>
            <a:spcBef>
              <a:spcPct val="0"/>
            </a:spcBef>
            <a:spcAft>
              <a:spcPct val="35000"/>
            </a:spcAft>
            <a:buNone/>
          </a:pPr>
          <a:r>
            <a:rPr lang="en-GB" sz="1600" kern="1200">
              <a:latin typeface="Calibri"/>
              <a:ea typeface="+mn-ea"/>
              <a:cs typeface="+mn-cs"/>
            </a:rPr>
            <a:t>England 3.2%</a:t>
          </a:r>
        </a:p>
      </dsp:txBody>
      <dsp:txXfrm>
        <a:off x="532678" y="1562"/>
        <a:ext cx="2078340" cy="1277838"/>
      </dsp:txXfrm>
    </dsp:sp>
    <dsp:sp modelId="{71D0206A-E099-4BA8-9257-620F2804466C}">
      <dsp:nvSpPr>
        <dsp:cNvPr id="0" name=""/>
        <dsp:cNvSpPr/>
      </dsp:nvSpPr>
      <dsp:spPr>
        <a:xfrm>
          <a:off x="2823991" y="1562"/>
          <a:ext cx="2129730" cy="127783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latin typeface="Calibri"/>
              <a:ea typeface="+mn-ea"/>
              <a:cs typeface="+mn-cs"/>
            </a:rPr>
            <a:t>8% of pupils with SEN support</a:t>
          </a:r>
        </a:p>
        <a:p>
          <a:pPr marL="0" lvl="0" indent="0" algn="l" defTabSz="711200">
            <a:lnSpc>
              <a:spcPct val="90000"/>
            </a:lnSpc>
            <a:spcBef>
              <a:spcPct val="0"/>
            </a:spcBef>
            <a:spcAft>
              <a:spcPct val="35000"/>
            </a:spcAft>
            <a:buNone/>
          </a:pPr>
          <a:endParaRPr lang="en-GB" sz="1600" kern="1200">
            <a:latin typeface="Calibri"/>
            <a:ea typeface="+mn-ea"/>
            <a:cs typeface="+mn-cs"/>
          </a:endParaRPr>
        </a:p>
        <a:p>
          <a:pPr marL="0" lvl="0" indent="0" algn="l" defTabSz="711200">
            <a:lnSpc>
              <a:spcPct val="90000"/>
            </a:lnSpc>
            <a:spcBef>
              <a:spcPct val="0"/>
            </a:spcBef>
            <a:spcAft>
              <a:spcPct val="35000"/>
            </a:spcAft>
            <a:buNone/>
          </a:pPr>
          <a:r>
            <a:rPr lang="en-GB" sz="1600" kern="1200">
              <a:latin typeface="Calibri"/>
              <a:ea typeface="+mn-ea"/>
              <a:cs typeface="+mn-cs"/>
            </a:rPr>
            <a:t>England 6%</a:t>
          </a:r>
        </a:p>
      </dsp:txBody>
      <dsp:txXfrm>
        <a:off x="2823991" y="1562"/>
        <a:ext cx="2129730" cy="1277838"/>
      </dsp:txXfrm>
    </dsp:sp>
    <dsp:sp modelId="{99E71E6C-888A-4D41-A88A-3F630CC4A3E5}">
      <dsp:nvSpPr>
        <dsp:cNvPr id="0" name=""/>
        <dsp:cNvSpPr/>
      </dsp:nvSpPr>
      <dsp:spPr>
        <a:xfrm>
          <a:off x="506983" y="1492374"/>
          <a:ext cx="2129730" cy="127783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latin typeface="Calibri"/>
              <a:ea typeface="+mn-ea"/>
              <a:cs typeface="+mn-cs"/>
            </a:rPr>
            <a:t>13% with an EHC plan</a:t>
          </a:r>
        </a:p>
        <a:p>
          <a:pPr marL="0" lvl="0" indent="0" algn="l" defTabSz="711200">
            <a:lnSpc>
              <a:spcPct val="90000"/>
            </a:lnSpc>
            <a:spcBef>
              <a:spcPct val="0"/>
            </a:spcBef>
            <a:spcAft>
              <a:spcPct val="35000"/>
            </a:spcAft>
            <a:buNone/>
          </a:pPr>
          <a:endParaRPr lang="en-GB" sz="1600" kern="1200">
            <a:latin typeface="Calibri"/>
            <a:ea typeface="+mn-ea"/>
            <a:cs typeface="+mn-cs"/>
          </a:endParaRPr>
        </a:p>
        <a:p>
          <a:pPr marL="0" lvl="0" indent="0" algn="l" defTabSz="711200">
            <a:lnSpc>
              <a:spcPct val="90000"/>
            </a:lnSpc>
            <a:spcBef>
              <a:spcPct val="0"/>
            </a:spcBef>
            <a:spcAft>
              <a:spcPct val="35000"/>
            </a:spcAft>
            <a:buNone/>
          </a:pPr>
          <a:r>
            <a:rPr lang="en-GB" sz="1600" kern="1200">
              <a:latin typeface="Calibri"/>
              <a:ea typeface="+mn-ea"/>
              <a:cs typeface="+mn-cs"/>
            </a:rPr>
            <a:t>England 9%</a:t>
          </a:r>
        </a:p>
      </dsp:txBody>
      <dsp:txXfrm>
        <a:off x="506983" y="1492374"/>
        <a:ext cx="2129730" cy="1277838"/>
      </dsp:txXfrm>
    </dsp:sp>
    <dsp:sp modelId="{F1DE154D-0123-4A2E-917D-9385C8759E16}">
      <dsp:nvSpPr>
        <dsp:cNvPr id="0" name=""/>
        <dsp:cNvSpPr/>
      </dsp:nvSpPr>
      <dsp:spPr>
        <a:xfrm>
          <a:off x="2849686" y="1492374"/>
          <a:ext cx="2129730" cy="127783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latin typeface="Calibri"/>
              <a:ea typeface="+mn-ea"/>
              <a:cs typeface="+mn-cs"/>
            </a:rPr>
            <a:t>2.8% with no SEN</a:t>
          </a:r>
        </a:p>
        <a:p>
          <a:pPr marL="0" lvl="0" indent="0" algn="l" defTabSz="711200">
            <a:lnSpc>
              <a:spcPct val="90000"/>
            </a:lnSpc>
            <a:spcBef>
              <a:spcPct val="0"/>
            </a:spcBef>
            <a:spcAft>
              <a:spcPct val="35000"/>
            </a:spcAft>
            <a:buNone/>
          </a:pPr>
          <a:endParaRPr lang="en-GB" sz="1600" kern="1200">
            <a:latin typeface="Calibri"/>
            <a:ea typeface="+mn-ea"/>
            <a:cs typeface="+mn-cs"/>
          </a:endParaRPr>
        </a:p>
        <a:p>
          <a:pPr marL="0" lvl="0" indent="0" algn="l" defTabSz="711200">
            <a:lnSpc>
              <a:spcPct val="90000"/>
            </a:lnSpc>
            <a:spcBef>
              <a:spcPct val="0"/>
            </a:spcBef>
            <a:spcAft>
              <a:spcPct val="35000"/>
            </a:spcAft>
            <a:buNone/>
          </a:pPr>
          <a:r>
            <a:rPr lang="en-GB" sz="1600" kern="1200">
              <a:latin typeface="Calibri"/>
              <a:ea typeface="+mn-ea"/>
              <a:cs typeface="+mn-cs"/>
            </a:rPr>
            <a:t>England 2.5%</a:t>
          </a:r>
        </a:p>
      </dsp:txBody>
      <dsp:txXfrm>
        <a:off x="2849686" y="1492374"/>
        <a:ext cx="2129730" cy="1277838"/>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052A10-6AC6-498E-B60B-2032D12FE232}">
      <dsp:nvSpPr>
        <dsp:cNvPr id="0" name=""/>
        <dsp:cNvSpPr/>
      </dsp:nvSpPr>
      <dsp:spPr>
        <a:xfrm>
          <a:off x="0" y="179272"/>
          <a:ext cx="5480049" cy="893025"/>
        </a:xfrm>
        <a:prstGeom prst="rect">
          <a:avLst/>
        </a:prstGeom>
        <a:solidFill>
          <a:schemeClr val="lt1">
            <a:alpha val="90000"/>
            <a:hueOff val="0"/>
            <a:satOff val="0"/>
            <a:lumOff val="0"/>
            <a:alphaOff val="0"/>
          </a:schemeClr>
        </a:solidFill>
        <a:ln w="25400" cap="flat" cmpd="sng" algn="ctr">
          <a:solidFill>
            <a:srgbClr val="A65588"/>
          </a:solidFill>
          <a:prstDash val="solid"/>
        </a:ln>
        <a:effectLst/>
      </dsp:spPr>
      <dsp:style>
        <a:lnRef idx="2">
          <a:scrgbClr r="0" g="0" b="0"/>
        </a:lnRef>
        <a:fillRef idx="1">
          <a:scrgbClr r="0" g="0" b="0"/>
        </a:fillRef>
        <a:effectRef idx="0">
          <a:scrgbClr r="0" g="0" b="0"/>
        </a:effectRef>
        <a:fontRef idx="minor"/>
      </dsp:style>
      <dsp:txBody>
        <a:bodyPr spcFirstLastPara="0" vert="horz" wrap="square" lIns="425313" tIns="187452" rIns="425313" bIns="92456" numCol="1" spcCol="1270" anchor="t" anchorCtr="0">
          <a:noAutofit/>
        </a:bodyPr>
        <a:lstStyle/>
        <a:p>
          <a:pPr marL="114300" lvl="1" indent="-114300" algn="l" defTabSz="577850">
            <a:lnSpc>
              <a:spcPct val="90000"/>
            </a:lnSpc>
            <a:spcBef>
              <a:spcPct val="0"/>
            </a:spcBef>
            <a:spcAft>
              <a:spcPct val="15000"/>
            </a:spcAft>
            <a:buFont typeface="Symbol" panose="05050102010706020507" pitchFamily="18" charset="2"/>
            <a:buChar char=""/>
          </a:pPr>
          <a:r>
            <a:rPr lang="en-GB" sz="1300" kern="1200">
              <a:effectLst/>
              <a:latin typeface="Aptos" panose="020B0004020202020204" pitchFamily="34" charset="0"/>
              <a:ea typeface="Aptos" panose="020B0004020202020204" pitchFamily="34" charset="0"/>
              <a:cs typeface="Arial" panose="020B0604020202020204" pitchFamily="34" charset="0"/>
            </a:rPr>
            <a:t>Absence of positive/meaningful peer interactions in education</a:t>
          </a:r>
          <a:endParaRPr lang="en-GB" sz="1300" kern="1200">
            <a:effectLst/>
            <a:latin typeface="Aptos" panose="020B0004020202020204" pitchFamily="34" charset="0"/>
            <a:ea typeface="Aptos" panose="020B0004020202020204" pitchFamily="34" charset="0"/>
            <a:cs typeface="Times New Roman" panose="02020603050405020304" pitchFamily="18" charset="0"/>
          </a:endParaRPr>
        </a:p>
        <a:p>
          <a:pPr marL="114300" lvl="1" indent="-114300" algn="l" defTabSz="577850">
            <a:lnSpc>
              <a:spcPct val="90000"/>
            </a:lnSpc>
            <a:spcBef>
              <a:spcPct val="0"/>
            </a:spcBef>
            <a:spcAft>
              <a:spcPct val="15000"/>
            </a:spcAft>
            <a:buFont typeface="Symbol" panose="05050102010706020507" pitchFamily="18" charset="2"/>
            <a:buChar char=""/>
          </a:pPr>
          <a:r>
            <a:rPr lang="en-GB" sz="1300" kern="1200">
              <a:effectLst/>
              <a:latin typeface="Aptos" panose="020B0004020202020204" pitchFamily="34" charset="0"/>
              <a:ea typeface="Aptos" panose="020B0004020202020204" pitchFamily="34" charset="0"/>
              <a:cs typeface="Arial" panose="020B0604020202020204" pitchFamily="34" charset="0"/>
            </a:rPr>
            <a:t>Lack of community support</a:t>
          </a:r>
          <a:endParaRPr lang="en-GB" sz="1300" kern="1200">
            <a:effectLst/>
            <a:latin typeface="Aptos" panose="020B0004020202020204" pitchFamily="34" charset="0"/>
            <a:ea typeface="Aptos" panose="020B0004020202020204" pitchFamily="34" charset="0"/>
            <a:cs typeface="Times New Roman" panose="02020603050405020304" pitchFamily="18" charset="0"/>
          </a:endParaRPr>
        </a:p>
        <a:p>
          <a:pPr marL="114300" lvl="1" indent="-114300" algn="l" defTabSz="577850">
            <a:lnSpc>
              <a:spcPct val="90000"/>
            </a:lnSpc>
            <a:spcBef>
              <a:spcPct val="0"/>
            </a:spcBef>
            <a:spcAft>
              <a:spcPct val="15000"/>
            </a:spcAft>
            <a:buFont typeface="Symbol" panose="05050102010706020507" pitchFamily="18" charset="2"/>
            <a:buChar char=""/>
          </a:pPr>
          <a:r>
            <a:rPr lang="en-GB" sz="1300" kern="1200">
              <a:effectLst/>
              <a:latin typeface="Aptos" panose="020B0004020202020204" pitchFamily="34" charset="0"/>
              <a:ea typeface="Aptos" panose="020B0004020202020204" pitchFamily="34" charset="0"/>
              <a:cs typeface="Arial" panose="020B0604020202020204" pitchFamily="34" charset="0"/>
            </a:rPr>
            <a:t>Lack of multilingual learning support</a:t>
          </a:r>
          <a:endParaRPr lang="en-GB" sz="1300" kern="1200">
            <a:effectLst/>
            <a:latin typeface="Aptos" panose="020B0004020202020204" pitchFamily="34" charset="0"/>
            <a:ea typeface="Aptos" panose="020B0004020202020204" pitchFamily="34" charset="0"/>
            <a:cs typeface="Times New Roman" panose="02020603050405020304" pitchFamily="18" charset="0"/>
          </a:endParaRPr>
        </a:p>
      </dsp:txBody>
      <dsp:txXfrm>
        <a:off x="0" y="179272"/>
        <a:ext cx="5480049" cy="893025"/>
      </dsp:txXfrm>
    </dsp:sp>
    <dsp:sp modelId="{4C333F06-96C2-4121-BF54-2F48EE663DBD}">
      <dsp:nvSpPr>
        <dsp:cNvPr id="0" name=""/>
        <dsp:cNvSpPr/>
      </dsp:nvSpPr>
      <dsp:spPr>
        <a:xfrm>
          <a:off x="274002" y="46432"/>
          <a:ext cx="4340857" cy="265680"/>
        </a:xfrm>
        <a:prstGeom prst="roundRect">
          <a:avLst/>
        </a:prstGeom>
        <a:solidFill>
          <a:srgbClr val="A65588"/>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4993" tIns="0" rIns="144993" bIns="0" numCol="1" spcCol="1270" anchor="ctr" anchorCtr="0">
          <a:noAutofit/>
        </a:bodyPr>
        <a:lstStyle/>
        <a:p>
          <a:pPr marL="0" lvl="0" indent="0" algn="l" defTabSz="577850">
            <a:lnSpc>
              <a:spcPct val="90000"/>
            </a:lnSpc>
            <a:spcBef>
              <a:spcPct val="0"/>
            </a:spcBef>
            <a:spcAft>
              <a:spcPct val="35000"/>
            </a:spcAft>
            <a:buFont typeface="Symbol" panose="05050102010706020507" pitchFamily="18" charset="2"/>
            <a:buNone/>
          </a:pPr>
          <a:r>
            <a:rPr lang="en-GB" sz="1300" kern="1200">
              <a:effectLst/>
              <a:latin typeface="Aptos" panose="020B0004020202020204" pitchFamily="34" charset="0"/>
              <a:ea typeface="Aptos" panose="020B0004020202020204" pitchFamily="34" charset="0"/>
              <a:cs typeface="Arial" panose="020B0604020202020204" pitchFamily="34" charset="0"/>
            </a:rPr>
            <a:t>Support</a:t>
          </a:r>
          <a:endParaRPr lang="en-GB" sz="1300" kern="1200"/>
        </a:p>
      </dsp:txBody>
      <dsp:txXfrm>
        <a:off x="286971" y="59401"/>
        <a:ext cx="4314919" cy="239742"/>
      </dsp:txXfrm>
    </dsp:sp>
    <dsp:sp modelId="{D0AAFD61-000B-4023-9844-F011810196F2}">
      <dsp:nvSpPr>
        <dsp:cNvPr id="0" name=""/>
        <dsp:cNvSpPr/>
      </dsp:nvSpPr>
      <dsp:spPr>
        <a:xfrm>
          <a:off x="0" y="1253737"/>
          <a:ext cx="5480049" cy="893025"/>
        </a:xfrm>
        <a:prstGeom prst="rect">
          <a:avLst/>
        </a:prstGeom>
        <a:solidFill>
          <a:schemeClr val="lt1">
            <a:alpha val="90000"/>
            <a:hueOff val="0"/>
            <a:satOff val="0"/>
            <a:lumOff val="0"/>
            <a:alphaOff val="0"/>
          </a:schemeClr>
        </a:solidFill>
        <a:ln w="25400" cap="flat" cmpd="sng" algn="ctr">
          <a:solidFill>
            <a:srgbClr val="A65588"/>
          </a:solidFill>
          <a:prstDash val="solid"/>
        </a:ln>
        <a:effectLst/>
      </dsp:spPr>
      <dsp:style>
        <a:lnRef idx="2">
          <a:scrgbClr r="0" g="0" b="0"/>
        </a:lnRef>
        <a:fillRef idx="1">
          <a:scrgbClr r="0" g="0" b="0"/>
        </a:fillRef>
        <a:effectRef idx="0">
          <a:scrgbClr r="0" g="0" b="0"/>
        </a:effectRef>
        <a:fontRef idx="minor"/>
      </dsp:style>
      <dsp:txBody>
        <a:bodyPr spcFirstLastPara="0" vert="horz" wrap="square" lIns="425313" tIns="187452" rIns="425313" bIns="92456" numCol="1" spcCol="1270" anchor="t" anchorCtr="0">
          <a:noAutofit/>
        </a:bodyPr>
        <a:lstStyle/>
        <a:p>
          <a:pPr marL="114300" lvl="1" indent="-114300" algn="l" defTabSz="577850">
            <a:lnSpc>
              <a:spcPct val="90000"/>
            </a:lnSpc>
            <a:spcBef>
              <a:spcPct val="0"/>
            </a:spcBef>
            <a:spcAft>
              <a:spcPct val="15000"/>
            </a:spcAft>
            <a:buChar char="•"/>
          </a:pPr>
          <a:r>
            <a:rPr lang="en-GB" sz="1300" kern="1200">
              <a:effectLst/>
              <a:latin typeface="Aptos" panose="020B0004020202020204" pitchFamily="34" charset="0"/>
              <a:ea typeface="Aptos" panose="020B0004020202020204" pitchFamily="34" charset="0"/>
              <a:cs typeface="Arial" panose="020B0604020202020204" pitchFamily="34" charset="0"/>
            </a:rPr>
            <a:t>A lack of recognition of parent/carer as an expert</a:t>
          </a:r>
          <a:endParaRPr lang="en-GB" sz="1300" kern="1200">
            <a:effectLst/>
            <a:latin typeface="Aptos" panose="020B0004020202020204" pitchFamily="34" charset="0"/>
            <a:ea typeface="Aptos" panose="020B0004020202020204" pitchFamily="34" charset="0"/>
            <a:cs typeface="Times New Roman" panose="02020603050405020304" pitchFamily="18" charset="0"/>
          </a:endParaRPr>
        </a:p>
        <a:p>
          <a:pPr marL="114300" lvl="1" indent="-114300" algn="l" defTabSz="577850">
            <a:lnSpc>
              <a:spcPct val="90000"/>
            </a:lnSpc>
            <a:spcBef>
              <a:spcPct val="0"/>
            </a:spcBef>
            <a:spcAft>
              <a:spcPct val="15000"/>
            </a:spcAft>
            <a:buChar char="•"/>
          </a:pPr>
          <a:r>
            <a:rPr lang="en-GB" sz="1300" kern="1200" dirty="0">
              <a:effectLst/>
              <a:latin typeface="Aptos" panose="020B0004020202020204" pitchFamily="34" charset="0"/>
              <a:ea typeface="Aptos" panose="020B0004020202020204" pitchFamily="34" charset="0"/>
              <a:cs typeface="Arial" panose="020B0604020202020204" pitchFamily="34" charset="0"/>
            </a:rPr>
            <a:t>Socioeconomic disadvantage and prejudice</a:t>
          </a:r>
          <a:endParaRPr lang="en-GB" sz="1300" kern="1200" dirty="0">
            <a:effectLst/>
            <a:latin typeface="Aptos" panose="020B0004020202020204" pitchFamily="34" charset="0"/>
            <a:ea typeface="Aptos" panose="020B0004020202020204" pitchFamily="34" charset="0"/>
            <a:cs typeface="Times New Roman" panose="02020603050405020304" pitchFamily="18" charset="0"/>
          </a:endParaRPr>
        </a:p>
        <a:p>
          <a:pPr marL="114300" lvl="1" indent="-114300" algn="l" defTabSz="577850">
            <a:lnSpc>
              <a:spcPct val="90000"/>
            </a:lnSpc>
            <a:spcBef>
              <a:spcPct val="0"/>
            </a:spcBef>
            <a:spcAft>
              <a:spcPct val="15000"/>
            </a:spcAft>
            <a:buChar char="•"/>
          </a:pPr>
          <a:r>
            <a:rPr lang="en-GB" sz="1300" kern="1200">
              <a:effectLst/>
              <a:latin typeface="Aptos" panose="020B0004020202020204" pitchFamily="34" charset="0"/>
              <a:ea typeface="Aptos" panose="020B0004020202020204" pitchFamily="34" charset="0"/>
              <a:cs typeface="Arial" panose="020B0604020202020204" pitchFamily="34" charset="0"/>
            </a:rPr>
            <a:t>Communication/language barrier and discrimination</a:t>
          </a:r>
          <a:endParaRPr lang="en-GB" sz="1300" kern="1200">
            <a:effectLst/>
            <a:latin typeface="Aptos" panose="020B0004020202020204" pitchFamily="34" charset="0"/>
            <a:ea typeface="Aptos" panose="020B0004020202020204" pitchFamily="34" charset="0"/>
            <a:cs typeface="Times New Roman" panose="02020603050405020304" pitchFamily="18" charset="0"/>
          </a:endParaRPr>
        </a:p>
      </dsp:txBody>
      <dsp:txXfrm>
        <a:off x="0" y="1253737"/>
        <a:ext cx="5480049" cy="893025"/>
      </dsp:txXfrm>
    </dsp:sp>
    <dsp:sp modelId="{3E739C2B-E55A-49E2-8D70-84A905697B25}">
      <dsp:nvSpPr>
        <dsp:cNvPr id="0" name=""/>
        <dsp:cNvSpPr/>
      </dsp:nvSpPr>
      <dsp:spPr>
        <a:xfrm>
          <a:off x="274002" y="1120897"/>
          <a:ext cx="4302765" cy="265680"/>
        </a:xfrm>
        <a:prstGeom prst="roundRect">
          <a:avLst/>
        </a:prstGeom>
        <a:solidFill>
          <a:srgbClr val="A65588"/>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4993" tIns="0" rIns="144993" bIns="0" numCol="1" spcCol="1270" anchor="ctr" anchorCtr="0">
          <a:noAutofit/>
        </a:bodyPr>
        <a:lstStyle/>
        <a:p>
          <a:pPr marL="0" lvl="0" indent="0" algn="l" defTabSz="577850">
            <a:lnSpc>
              <a:spcPct val="90000"/>
            </a:lnSpc>
            <a:spcBef>
              <a:spcPct val="0"/>
            </a:spcBef>
            <a:spcAft>
              <a:spcPct val="35000"/>
            </a:spcAft>
            <a:buFont typeface="+mj-lt"/>
            <a:buNone/>
          </a:pPr>
          <a:r>
            <a:rPr lang="en-GB" sz="1300" kern="1200">
              <a:effectLst/>
              <a:latin typeface="Aptos" panose="020B0004020202020204" pitchFamily="34" charset="0"/>
              <a:ea typeface="Aptos" panose="020B0004020202020204" pitchFamily="34" charset="0"/>
              <a:cs typeface="Arial" panose="020B0604020202020204" pitchFamily="34" charset="0"/>
            </a:rPr>
            <a:t>Power imbalance and professional relationships </a:t>
          </a:r>
          <a:endParaRPr lang="en-GB" sz="1300" kern="1200"/>
        </a:p>
      </dsp:txBody>
      <dsp:txXfrm>
        <a:off x="286971" y="1133866"/>
        <a:ext cx="4276827" cy="239742"/>
      </dsp:txXfrm>
    </dsp:sp>
    <dsp:sp modelId="{0B37316F-65D3-4FD1-8452-29658912702E}">
      <dsp:nvSpPr>
        <dsp:cNvPr id="0" name=""/>
        <dsp:cNvSpPr/>
      </dsp:nvSpPr>
      <dsp:spPr>
        <a:xfrm>
          <a:off x="0" y="2328202"/>
          <a:ext cx="5480049" cy="1332450"/>
        </a:xfrm>
        <a:prstGeom prst="rect">
          <a:avLst/>
        </a:prstGeom>
        <a:solidFill>
          <a:schemeClr val="lt1">
            <a:alpha val="90000"/>
            <a:hueOff val="0"/>
            <a:satOff val="0"/>
            <a:lumOff val="0"/>
            <a:alphaOff val="0"/>
          </a:schemeClr>
        </a:solidFill>
        <a:ln w="25400" cap="flat" cmpd="sng" algn="ctr">
          <a:solidFill>
            <a:srgbClr val="A65588"/>
          </a:solidFill>
          <a:prstDash val="solid"/>
        </a:ln>
        <a:effectLst/>
      </dsp:spPr>
      <dsp:style>
        <a:lnRef idx="2">
          <a:scrgbClr r="0" g="0" b="0"/>
        </a:lnRef>
        <a:fillRef idx="1">
          <a:scrgbClr r="0" g="0" b="0"/>
        </a:fillRef>
        <a:effectRef idx="0">
          <a:scrgbClr r="0" g="0" b="0"/>
        </a:effectRef>
        <a:fontRef idx="minor"/>
      </dsp:style>
      <dsp:txBody>
        <a:bodyPr spcFirstLastPara="0" vert="horz" wrap="square" lIns="425313" tIns="187452" rIns="425313" bIns="92456" numCol="1" spcCol="1270" anchor="t" anchorCtr="0">
          <a:noAutofit/>
        </a:bodyPr>
        <a:lstStyle/>
        <a:p>
          <a:pPr marL="114300" lvl="1" indent="-114300" algn="l" defTabSz="577850">
            <a:lnSpc>
              <a:spcPct val="90000"/>
            </a:lnSpc>
            <a:spcBef>
              <a:spcPct val="0"/>
            </a:spcBef>
            <a:spcAft>
              <a:spcPct val="15000"/>
            </a:spcAft>
            <a:buChar char="•"/>
          </a:pPr>
          <a:r>
            <a:rPr lang="en-GB" sz="1300" kern="1200">
              <a:effectLst/>
              <a:latin typeface="Aptos" panose="020B0004020202020204" pitchFamily="34" charset="0"/>
              <a:ea typeface="Aptos" panose="020B0004020202020204" pitchFamily="34" charset="0"/>
              <a:cs typeface="Arial" panose="020B0604020202020204" pitchFamily="34" charset="0"/>
            </a:rPr>
            <a:t>Cultural stigmas</a:t>
          </a:r>
          <a:endParaRPr lang="en-GB" sz="1300" kern="1200">
            <a:effectLst/>
            <a:latin typeface="Aptos" panose="020B0004020202020204" pitchFamily="34" charset="0"/>
            <a:ea typeface="Aptos" panose="020B0004020202020204" pitchFamily="34" charset="0"/>
            <a:cs typeface="Times New Roman" panose="02020603050405020304" pitchFamily="18" charset="0"/>
          </a:endParaRPr>
        </a:p>
        <a:p>
          <a:pPr marL="114300" lvl="1" indent="-114300" algn="l" defTabSz="577850">
            <a:lnSpc>
              <a:spcPct val="90000"/>
            </a:lnSpc>
            <a:spcBef>
              <a:spcPct val="0"/>
            </a:spcBef>
            <a:spcAft>
              <a:spcPct val="15000"/>
            </a:spcAft>
            <a:buChar char="•"/>
          </a:pPr>
          <a:r>
            <a:rPr lang="en-GB" sz="1300" kern="1200">
              <a:effectLst/>
              <a:latin typeface="Aptos" panose="020B0004020202020204" pitchFamily="34" charset="0"/>
              <a:ea typeface="Aptos" panose="020B0004020202020204" pitchFamily="34" charset="0"/>
              <a:cs typeface="Arial" panose="020B0604020202020204" pitchFamily="34" charset="0"/>
            </a:rPr>
            <a:t>Teacher bias and assumptions</a:t>
          </a:r>
          <a:endParaRPr lang="en-GB" sz="1300" kern="1200">
            <a:effectLst/>
            <a:latin typeface="Aptos" panose="020B0004020202020204" pitchFamily="34" charset="0"/>
            <a:ea typeface="Aptos" panose="020B0004020202020204" pitchFamily="34" charset="0"/>
            <a:cs typeface="Times New Roman" panose="02020603050405020304" pitchFamily="18" charset="0"/>
          </a:endParaRPr>
        </a:p>
        <a:p>
          <a:pPr marL="114300" lvl="1" indent="-114300" algn="l" defTabSz="577850">
            <a:lnSpc>
              <a:spcPct val="90000"/>
            </a:lnSpc>
            <a:spcBef>
              <a:spcPct val="0"/>
            </a:spcBef>
            <a:spcAft>
              <a:spcPct val="15000"/>
            </a:spcAft>
            <a:buChar char="•"/>
          </a:pPr>
          <a:r>
            <a:rPr lang="en-GB" sz="1300" kern="1200">
              <a:effectLst/>
              <a:latin typeface="Aptos" panose="020B0004020202020204" pitchFamily="34" charset="0"/>
              <a:ea typeface="Aptos" panose="020B0004020202020204" pitchFamily="34" charset="0"/>
              <a:cs typeface="Arial" panose="020B0604020202020204" pitchFamily="34" charset="0"/>
            </a:rPr>
            <a:t>Disciplinary actions</a:t>
          </a:r>
          <a:endParaRPr lang="en-GB" sz="1300" kern="1200">
            <a:effectLst/>
            <a:latin typeface="Aptos" panose="020B0004020202020204" pitchFamily="34" charset="0"/>
            <a:ea typeface="Aptos" panose="020B0004020202020204" pitchFamily="34" charset="0"/>
            <a:cs typeface="Times New Roman" panose="02020603050405020304" pitchFamily="18" charset="0"/>
          </a:endParaRPr>
        </a:p>
        <a:p>
          <a:pPr marL="114300" lvl="1" indent="-114300" algn="l" defTabSz="577850">
            <a:lnSpc>
              <a:spcPct val="90000"/>
            </a:lnSpc>
            <a:spcBef>
              <a:spcPct val="0"/>
            </a:spcBef>
            <a:spcAft>
              <a:spcPct val="15000"/>
            </a:spcAft>
            <a:buChar char="•"/>
          </a:pPr>
          <a:r>
            <a:rPr lang="en-GB" sz="1300" kern="1200">
              <a:effectLst/>
              <a:latin typeface="Aptos" panose="020B0004020202020204" pitchFamily="34" charset="0"/>
              <a:ea typeface="Aptos" panose="020B0004020202020204" pitchFamily="34" charset="0"/>
              <a:cs typeface="Arial" panose="020B0604020202020204" pitchFamily="34" charset="0"/>
            </a:rPr>
            <a:t>Parental perceptions</a:t>
          </a:r>
          <a:endParaRPr lang="en-GB" sz="1300" kern="1200">
            <a:effectLst/>
            <a:latin typeface="Aptos" panose="020B0004020202020204" pitchFamily="34" charset="0"/>
            <a:ea typeface="Aptos" panose="020B0004020202020204" pitchFamily="34" charset="0"/>
            <a:cs typeface="Times New Roman" panose="02020603050405020304" pitchFamily="18" charset="0"/>
          </a:endParaRPr>
        </a:p>
        <a:p>
          <a:pPr marL="114300" lvl="1" indent="-114300" algn="l" defTabSz="577850">
            <a:lnSpc>
              <a:spcPct val="90000"/>
            </a:lnSpc>
            <a:spcBef>
              <a:spcPct val="0"/>
            </a:spcBef>
            <a:spcAft>
              <a:spcPct val="15000"/>
            </a:spcAft>
            <a:buChar char="•"/>
          </a:pPr>
          <a:r>
            <a:rPr lang="en-GB" sz="1300" kern="1200">
              <a:effectLst/>
              <a:latin typeface="Aptos" panose="020B0004020202020204" pitchFamily="34" charset="0"/>
              <a:ea typeface="Aptos" panose="020B0004020202020204" pitchFamily="34" charset="0"/>
              <a:cs typeface="Arial" panose="020B0604020202020204" pitchFamily="34" charset="0"/>
            </a:rPr>
            <a:t>Cultural difference</a:t>
          </a:r>
          <a:endParaRPr lang="en-GB" sz="1300" kern="1200">
            <a:effectLst/>
            <a:latin typeface="Aptos" panose="020B0004020202020204" pitchFamily="34" charset="0"/>
            <a:ea typeface="Aptos" panose="020B0004020202020204" pitchFamily="34" charset="0"/>
            <a:cs typeface="Times New Roman" panose="02020603050405020304" pitchFamily="18" charset="0"/>
          </a:endParaRPr>
        </a:p>
      </dsp:txBody>
      <dsp:txXfrm>
        <a:off x="0" y="2328202"/>
        <a:ext cx="5480049" cy="1332450"/>
      </dsp:txXfrm>
    </dsp:sp>
    <dsp:sp modelId="{EDA1376B-8C09-4F7F-9FBF-C376093F9245}">
      <dsp:nvSpPr>
        <dsp:cNvPr id="0" name=""/>
        <dsp:cNvSpPr/>
      </dsp:nvSpPr>
      <dsp:spPr>
        <a:xfrm>
          <a:off x="274002" y="2195362"/>
          <a:ext cx="4321830" cy="265680"/>
        </a:xfrm>
        <a:prstGeom prst="roundRect">
          <a:avLst/>
        </a:prstGeom>
        <a:solidFill>
          <a:srgbClr val="A65588"/>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4993" tIns="0" rIns="144993" bIns="0" numCol="1" spcCol="1270" anchor="ctr" anchorCtr="0">
          <a:noAutofit/>
        </a:bodyPr>
        <a:lstStyle/>
        <a:p>
          <a:pPr marL="0" lvl="0" indent="0" algn="l" defTabSz="577850">
            <a:lnSpc>
              <a:spcPct val="90000"/>
            </a:lnSpc>
            <a:spcBef>
              <a:spcPct val="0"/>
            </a:spcBef>
            <a:spcAft>
              <a:spcPct val="35000"/>
            </a:spcAft>
            <a:buFont typeface="+mj-lt"/>
            <a:buNone/>
          </a:pPr>
          <a:r>
            <a:rPr lang="en-GB" sz="1300" kern="1200">
              <a:effectLst/>
              <a:latin typeface="Aptos" panose="020B0004020202020204" pitchFamily="34" charset="0"/>
              <a:ea typeface="Aptos" panose="020B0004020202020204" pitchFamily="34" charset="0"/>
              <a:cs typeface="Arial" panose="020B0604020202020204" pitchFamily="34" charset="0"/>
            </a:rPr>
            <a:t>Attitude &amp; perception </a:t>
          </a:r>
          <a:endParaRPr lang="en-GB" sz="1300" kern="1200">
            <a:effectLst/>
            <a:latin typeface="Aptos" panose="020B0004020202020204" pitchFamily="34" charset="0"/>
            <a:ea typeface="Aptos" panose="020B0004020202020204" pitchFamily="34" charset="0"/>
            <a:cs typeface="Times New Roman" panose="02020603050405020304" pitchFamily="18" charset="0"/>
          </a:endParaRPr>
        </a:p>
      </dsp:txBody>
      <dsp:txXfrm>
        <a:off x="286971" y="2208331"/>
        <a:ext cx="4295892" cy="239742"/>
      </dsp:txXfrm>
    </dsp:sp>
    <dsp:sp modelId="{469188E0-64D2-4780-8850-6D9088C37BAE}">
      <dsp:nvSpPr>
        <dsp:cNvPr id="0" name=""/>
        <dsp:cNvSpPr/>
      </dsp:nvSpPr>
      <dsp:spPr>
        <a:xfrm>
          <a:off x="0" y="3803028"/>
          <a:ext cx="5480049" cy="893025"/>
        </a:xfrm>
        <a:prstGeom prst="rect">
          <a:avLst/>
        </a:prstGeom>
        <a:solidFill>
          <a:schemeClr val="lt1">
            <a:alpha val="90000"/>
            <a:hueOff val="0"/>
            <a:satOff val="0"/>
            <a:lumOff val="0"/>
            <a:alphaOff val="0"/>
          </a:schemeClr>
        </a:solidFill>
        <a:ln w="25400" cap="flat" cmpd="sng" algn="ctr">
          <a:solidFill>
            <a:srgbClr val="A65588"/>
          </a:solidFill>
          <a:prstDash val="solid"/>
        </a:ln>
        <a:effectLst/>
      </dsp:spPr>
      <dsp:style>
        <a:lnRef idx="2">
          <a:scrgbClr r="0" g="0" b="0"/>
        </a:lnRef>
        <a:fillRef idx="1">
          <a:scrgbClr r="0" g="0" b="0"/>
        </a:fillRef>
        <a:effectRef idx="0">
          <a:scrgbClr r="0" g="0" b="0"/>
        </a:effectRef>
        <a:fontRef idx="minor"/>
      </dsp:style>
      <dsp:txBody>
        <a:bodyPr spcFirstLastPara="0" vert="horz" wrap="square" lIns="425313" tIns="187452" rIns="425313" bIns="92456" numCol="1" spcCol="1270" anchor="t" anchorCtr="0">
          <a:noAutofit/>
        </a:bodyPr>
        <a:lstStyle/>
        <a:p>
          <a:pPr marL="114300" lvl="1" indent="-114300" algn="l" defTabSz="577850">
            <a:lnSpc>
              <a:spcPct val="90000"/>
            </a:lnSpc>
            <a:spcBef>
              <a:spcPct val="0"/>
            </a:spcBef>
            <a:spcAft>
              <a:spcPct val="15000"/>
            </a:spcAft>
            <a:buChar char="•"/>
          </a:pPr>
          <a:r>
            <a:rPr lang="en-GB" sz="1300" kern="1200">
              <a:effectLst/>
              <a:latin typeface="Aptos" panose="020B0004020202020204" pitchFamily="34" charset="0"/>
              <a:ea typeface="Aptos" panose="020B0004020202020204" pitchFamily="34" charset="0"/>
              <a:cs typeface="Arial" panose="020B0604020202020204" pitchFamily="34" charset="0"/>
            </a:rPr>
            <a:t>Rigid policies and lack of flexibility</a:t>
          </a:r>
          <a:endParaRPr lang="en-GB" sz="1300" kern="1200">
            <a:effectLst/>
            <a:latin typeface="Aptos" panose="020B0004020202020204" pitchFamily="34" charset="0"/>
            <a:ea typeface="Aptos" panose="020B0004020202020204" pitchFamily="34" charset="0"/>
            <a:cs typeface="Times New Roman" panose="02020603050405020304" pitchFamily="18" charset="0"/>
          </a:endParaRPr>
        </a:p>
        <a:p>
          <a:pPr marL="114300" lvl="1" indent="-114300" algn="l" defTabSz="577850">
            <a:lnSpc>
              <a:spcPct val="90000"/>
            </a:lnSpc>
            <a:spcBef>
              <a:spcPct val="0"/>
            </a:spcBef>
            <a:spcAft>
              <a:spcPct val="15000"/>
            </a:spcAft>
            <a:buChar char="•"/>
          </a:pPr>
          <a:r>
            <a:rPr lang="en-GB" sz="1300" kern="1200">
              <a:effectLst/>
              <a:latin typeface="Aptos" panose="020B0004020202020204" pitchFamily="34" charset="0"/>
              <a:ea typeface="Aptos" panose="020B0004020202020204" pitchFamily="34" charset="0"/>
              <a:cs typeface="Arial" panose="020B0604020202020204" pitchFamily="34" charset="0"/>
            </a:rPr>
            <a:t>Institutional barriers</a:t>
          </a:r>
          <a:endParaRPr lang="en-GB" sz="1300" kern="1200">
            <a:effectLst/>
            <a:latin typeface="Aptos" panose="020B0004020202020204" pitchFamily="34" charset="0"/>
            <a:ea typeface="Aptos" panose="020B0004020202020204" pitchFamily="34" charset="0"/>
            <a:cs typeface="Times New Roman" panose="02020603050405020304" pitchFamily="18" charset="0"/>
          </a:endParaRPr>
        </a:p>
        <a:p>
          <a:pPr marL="114300" lvl="1" indent="-114300" algn="l" defTabSz="577850">
            <a:lnSpc>
              <a:spcPct val="90000"/>
            </a:lnSpc>
            <a:spcBef>
              <a:spcPct val="0"/>
            </a:spcBef>
            <a:spcAft>
              <a:spcPct val="15000"/>
            </a:spcAft>
            <a:buChar char="•"/>
          </a:pPr>
          <a:r>
            <a:rPr lang="en-GB" sz="1300" kern="1200">
              <a:effectLst/>
              <a:latin typeface="Aptos" panose="020B0004020202020204" pitchFamily="34" charset="0"/>
              <a:ea typeface="Aptos" panose="020B0004020202020204" pitchFamily="34" charset="0"/>
              <a:cs typeface="Arial" panose="020B0604020202020204" pitchFamily="34" charset="0"/>
            </a:rPr>
            <a:t>Skilled teachers, stronger SEN outcomes</a:t>
          </a:r>
          <a:r>
            <a:rPr lang="en-GB" sz="1300" kern="1200">
              <a:effectLst/>
              <a:latin typeface="Aptos" panose="020B0004020202020204" pitchFamily="34" charset="0"/>
              <a:ea typeface="Aptos" panose="020B0004020202020204" pitchFamily="34" charset="0"/>
              <a:cs typeface="Times New Roman" panose="02020603050405020304" pitchFamily="18" charset="0"/>
            </a:rPr>
            <a:t> </a:t>
          </a:r>
        </a:p>
      </dsp:txBody>
      <dsp:txXfrm>
        <a:off x="0" y="3803028"/>
        <a:ext cx="5480049" cy="893025"/>
      </dsp:txXfrm>
    </dsp:sp>
    <dsp:sp modelId="{B1862B9D-06DE-4F0A-BFB7-8C8AE2450D07}">
      <dsp:nvSpPr>
        <dsp:cNvPr id="0" name=""/>
        <dsp:cNvSpPr/>
      </dsp:nvSpPr>
      <dsp:spPr>
        <a:xfrm>
          <a:off x="274002" y="3709252"/>
          <a:ext cx="4331343" cy="265680"/>
        </a:xfrm>
        <a:prstGeom prst="roundRect">
          <a:avLst/>
        </a:prstGeom>
        <a:solidFill>
          <a:srgbClr val="A65588"/>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4993" tIns="0" rIns="144993" bIns="0" numCol="1" spcCol="1270" anchor="ctr" anchorCtr="0">
          <a:noAutofit/>
        </a:bodyPr>
        <a:lstStyle/>
        <a:p>
          <a:pPr marL="0" lvl="0" indent="0" algn="l" defTabSz="577850">
            <a:lnSpc>
              <a:spcPct val="90000"/>
            </a:lnSpc>
            <a:spcBef>
              <a:spcPct val="0"/>
            </a:spcBef>
            <a:spcAft>
              <a:spcPct val="35000"/>
            </a:spcAft>
            <a:buFont typeface="+mj-lt"/>
            <a:buNone/>
          </a:pPr>
          <a:r>
            <a:rPr lang="en-GB" sz="1300" kern="1200">
              <a:effectLst/>
              <a:latin typeface="Aptos" panose="020B0004020202020204" pitchFamily="34" charset="0"/>
              <a:ea typeface="Aptos" panose="020B0004020202020204" pitchFamily="34" charset="0"/>
              <a:cs typeface="Arial" panose="020B0604020202020204" pitchFamily="34" charset="0"/>
            </a:rPr>
            <a:t>Delivering education </a:t>
          </a:r>
          <a:endParaRPr lang="en-GB" sz="1300" kern="1200">
            <a:effectLst/>
            <a:latin typeface="Aptos" panose="020B0004020202020204" pitchFamily="34" charset="0"/>
            <a:ea typeface="Aptos" panose="020B0004020202020204" pitchFamily="34" charset="0"/>
            <a:cs typeface="Times New Roman" panose="02020603050405020304" pitchFamily="18" charset="0"/>
          </a:endParaRPr>
        </a:p>
      </dsp:txBody>
      <dsp:txXfrm>
        <a:off x="286971" y="3722221"/>
        <a:ext cx="4305405" cy="2397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476028-E8C7-4E5E-A446-9148FDA89F14}">
      <dsp:nvSpPr>
        <dsp:cNvPr id="0" name=""/>
        <dsp:cNvSpPr/>
      </dsp:nvSpPr>
      <dsp:spPr>
        <a:xfrm>
          <a:off x="0" y="76545"/>
          <a:ext cx="6188709" cy="33696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Co-production</a:t>
          </a:r>
        </a:p>
      </dsp:txBody>
      <dsp:txXfrm>
        <a:off x="16449" y="92994"/>
        <a:ext cx="6155811" cy="304062"/>
      </dsp:txXfrm>
    </dsp:sp>
    <dsp:sp modelId="{2989F57B-1ACF-4AC2-970E-D5C1173C8D17}">
      <dsp:nvSpPr>
        <dsp:cNvPr id="0" name=""/>
        <dsp:cNvSpPr/>
      </dsp:nvSpPr>
      <dsp:spPr>
        <a:xfrm>
          <a:off x="0" y="465345"/>
          <a:ext cx="6188709" cy="33696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Information and communication</a:t>
          </a:r>
        </a:p>
      </dsp:txBody>
      <dsp:txXfrm>
        <a:off x="16449" y="481794"/>
        <a:ext cx="6155811" cy="304062"/>
      </dsp:txXfrm>
    </dsp:sp>
    <dsp:sp modelId="{1028C968-9378-4E9C-AC5F-F15AEBE9FBDA}">
      <dsp:nvSpPr>
        <dsp:cNvPr id="0" name=""/>
        <dsp:cNvSpPr/>
      </dsp:nvSpPr>
      <dsp:spPr>
        <a:xfrm>
          <a:off x="0" y="854145"/>
          <a:ext cx="6188709" cy="336960"/>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Systems and processes to support good outcomes</a:t>
          </a:r>
        </a:p>
      </dsp:txBody>
      <dsp:txXfrm>
        <a:off x="16449" y="870594"/>
        <a:ext cx="6155811" cy="304062"/>
      </dsp:txXfrm>
    </dsp:sp>
    <dsp:sp modelId="{AF0CD276-955C-402E-8CC9-1C9899476986}">
      <dsp:nvSpPr>
        <dsp:cNvPr id="0" name=""/>
        <dsp:cNvSpPr/>
      </dsp:nvSpPr>
      <dsp:spPr>
        <a:xfrm>
          <a:off x="0" y="1242945"/>
          <a:ext cx="6188709" cy="336960"/>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Education</a:t>
          </a:r>
        </a:p>
      </dsp:txBody>
      <dsp:txXfrm>
        <a:off x="16449" y="1259394"/>
        <a:ext cx="6155811" cy="304062"/>
      </dsp:txXfrm>
    </dsp:sp>
    <dsp:sp modelId="{CCD9440C-8849-4055-A226-EA3A8672D9C1}">
      <dsp:nvSpPr>
        <dsp:cNvPr id="0" name=""/>
        <dsp:cNvSpPr/>
      </dsp:nvSpPr>
      <dsp:spPr>
        <a:xfrm>
          <a:off x="0" y="1631745"/>
          <a:ext cx="6188709" cy="336960"/>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Employment</a:t>
          </a:r>
        </a:p>
      </dsp:txBody>
      <dsp:txXfrm>
        <a:off x="16449" y="1648194"/>
        <a:ext cx="6155811" cy="304062"/>
      </dsp:txXfrm>
    </dsp:sp>
    <dsp:sp modelId="{95405012-1F91-4FFD-AC34-CD1B520DF98E}">
      <dsp:nvSpPr>
        <dsp:cNvPr id="0" name=""/>
        <dsp:cNvSpPr/>
      </dsp:nvSpPr>
      <dsp:spPr>
        <a:xfrm>
          <a:off x="0" y="2020545"/>
          <a:ext cx="6188709" cy="33696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Friends and community inclusion</a:t>
          </a:r>
        </a:p>
      </dsp:txBody>
      <dsp:txXfrm>
        <a:off x="16449" y="2036994"/>
        <a:ext cx="6155811" cy="304062"/>
      </dsp:txXfrm>
    </dsp:sp>
    <dsp:sp modelId="{301E668F-EDE0-44DD-94D5-BD7EC3DFDF9C}">
      <dsp:nvSpPr>
        <dsp:cNvPr id="0" name=""/>
        <dsp:cNvSpPr/>
      </dsp:nvSpPr>
      <dsp:spPr>
        <a:xfrm>
          <a:off x="0" y="2409345"/>
          <a:ext cx="6188709" cy="33696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Health</a:t>
          </a:r>
        </a:p>
      </dsp:txBody>
      <dsp:txXfrm>
        <a:off x="16449" y="2425794"/>
        <a:ext cx="6155811" cy="304062"/>
      </dsp:txXfrm>
    </dsp:sp>
    <dsp:sp modelId="{0EB89AA4-FDDE-4CBE-8398-F21020A8523D}">
      <dsp:nvSpPr>
        <dsp:cNvPr id="0" name=""/>
        <dsp:cNvSpPr/>
      </dsp:nvSpPr>
      <dsp:spPr>
        <a:xfrm>
          <a:off x="0" y="2798144"/>
          <a:ext cx="6188709" cy="336960"/>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Independent living</a:t>
          </a:r>
        </a:p>
      </dsp:txBody>
      <dsp:txXfrm>
        <a:off x="16449" y="2814593"/>
        <a:ext cx="6155811" cy="304062"/>
      </dsp:txXfrm>
    </dsp:sp>
    <dsp:sp modelId="{C7498679-E606-406A-8026-585EE0C3FDE1}">
      <dsp:nvSpPr>
        <dsp:cNvPr id="0" name=""/>
        <dsp:cNvSpPr/>
      </dsp:nvSpPr>
      <dsp:spPr>
        <a:xfrm>
          <a:off x="0" y="3186945"/>
          <a:ext cx="6188709" cy="336960"/>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Transitional safeguarding</a:t>
          </a:r>
        </a:p>
      </dsp:txBody>
      <dsp:txXfrm>
        <a:off x="16449" y="3203394"/>
        <a:ext cx="6155811" cy="30406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476028-E8C7-4E5E-A446-9148FDA89F14}">
      <dsp:nvSpPr>
        <dsp:cNvPr id="0" name=""/>
        <dsp:cNvSpPr/>
      </dsp:nvSpPr>
      <dsp:spPr>
        <a:xfrm>
          <a:off x="0" y="5263"/>
          <a:ext cx="6188709" cy="654626"/>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Adults with learning disabilities are empowered to develop and maintain relationships and friendships and are supported to understand how to keep themselves safe</a:t>
          </a:r>
        </a:p>
      </dsp:txBody>
      <dsp:txXfrm>
        <a:off x="31956" y="37219"/>
        <a:ext cx="6124797" cy="590714"/>
      </dsp:txXfrm>
    </dsp:sp>
    <dsp:sp modelId="{2989F57B-1ACF-4AC2-970E-D5C1173C8D17}">
      <dsp:nvSpPr>
        <dsp:cNvPr id="0" name=""/>
        <dsp:cNvSpPr/>
      </dsp:nvSpPr>
      <dsp:spPr>
        <a:xfrm>
          <a:off x="0" y="729010"/>
          <a:ext cx="6188709" cy="304348"/>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Adults with a learning disability live longer &amp; have healthier and happier lives</a:t>
          </a:r>
        </a:p>
      </dsp:txBody>
      <dsp:txXfrm>
        <a:off x="14857" y="743867"/>
        <a:ext cx="6158995" cy="274634"/>
      </dsp:txXfrm>
    </dsp:sp>
    <dsp:sp modelId="{1028C968-9378-4E9C-AC5F-F15AEBE9FBDA}">
      <dsp:nvSpPr>
        <dsp:cNvPr id="0" name=""/>
        <dsp:cNvSpPr/>
      </dsp:nvSpPr>
      <dsp:spPr>
        <a:xfrm>
          <a:off x="0" y="1102478"/>
          <a:ext cx="6188709" cy="508340"/>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Adults with learning disabilities have access to a range of activities, work &amp; learning opportunities with the appropriate level of support they need</a:t>
          </a:r>
        </a:p>
      </dsp:txBody>
      <dsp:txXfrm>
        <a:off x="24815" y="1127293"/>
        <a:ext cx="6139079" cy="458710"/>
      </dsp:txXfrm>
    </dsp:sp>
    <dsp:sp modelId="{AF0CD276-955C-402E-8CC9-1C9899476986}">
      <dsp:nvSpPr>
        <dsp:cNvPr id="0" name=""/>
        <dsp:cNvSpPr/>
      </dsp:nvSpPr>
      <dsp:spPr>
        <a:xfrm>
          <a:off x="0" y="1679938"/>
          <a:ext cx="6188709" cy="608799"/>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Adults with learning disabilities live in good quality accommodation that encourages independence with appropriate support to achieve this with choice of where and whom to live with</a:t>
          </a:r>
        </a:p>
      </dsp:txBody>
      <dsp:txXfrm>
        <a:off x="29719" y="1709657"/>
        <a:ext cx="6129271" cy="549361"/>
      </dsp:txXfrm>
    </dsp:sp>
    <dsp:sp modelId="{CCD9440C-8849-4055-A226-EA3A8672D9C1}">
      <dsp:nvSpPr>
        <dsp:cNvPr id="0" name=""/>
        <dsp:cNvSpPr/>
      </dsp:nvSpPr>
      <dsp:spPr>
        <a:xfrm>
          <a:off x="0" y="2357857"/>
          <a:ext cx="6188709" cy="433338"/>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Moves between services or changes in provision, across all ages, are smooth, seamless and supportive</a:t>
          </a:r>
        </a:p>
      </dsp:txBody>
      <dsp:txXfrm>
        <a:off x="21154" y="2379011"/>
        <a:ext cx="6146401" cy="391030"/>
      </dsp:txXfrm>
    </dsp:sp>
    <dsp:sp modelId="{95405012-1F91-4FFD-AC34-CD1B520DF98E}">
      <dsp:nvSpPr>
        <dsp:cNvPr id="0" name=""/>
        <dsp:cNvSpPr/>
      </dsp:nvSpPr>
      <dsp:spPr>
        <a:xfrm>
          <a:off x="0" y="2860316"/>
          <a:ext cx="6188709" cy="515794"/>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Adults with learning disabilities and their carers have access and know where to go for advice and information on services in the city</a:t>
          </a:r>
        </a:p>
      </dsp:txBody>
      <dsp:txXfrm>
        <a:off x="25179" y="2885495"/>
        <a:ext cx="6138351" cy="46543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476028-E8C7-4E5E-A446-9148FDA89F14}">
      <dsp:nvSpPr>
        <dsp:cNvPr id="0" name=""/>
        <dsp:cNvSpPr/>
      </dsp:nvSpPr>
      <dsp:spPr>
        <a:xfrm>
          <a:off x="0" y="2137"/>
          <a:ext cx="6188709" cy="32760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Relationships and feeling safe and part of the community</a:t>
          </a:r>
        </a:p>
      </dsp:txBody>
      <dsp:txXfrm>
        <a:off x="15992" y="18129"/>
        <a:ext cx="6156725" cy="295616"/>
      </dsp:txXfrm>
    </dsp:sp>
    <dsp:sp modelId="{2989F57B-1ACF-4AC2-970E-D5C1173C8D17}">
      <dsp:nvSpPr>
        <dsp:cNvPr id="0" name=""/>
        <dsp:cNvSpPr/>
      </dsp:nvSpPr>
      <dsp:spPr>
        <a:xfrm>
          <a:off x="0" y="375817"/>
          <a:ext cx="6188709" cy="32760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Housing</a:t>
          </a:r>
        </a:p>
      </dsp:txBody>
      <dsp:txXfrm>
        <a:off x="15992" y="391809"/>
        <a:ext cx="6156725" cy="295616"/>
      </dsp:txXfrm>
    </dsp:sp>
    <dsp:sp modelId="{1028C968-9378-4E9C-AC5F-F15AEBE9FBDA}">
      <dsp:nvSpPr>
        <dsp:cNvPr id="0" name=""/>
        <dsp:cNvSpPr/>
      </dsp:nvSpPr>
      <dsp:spPr>
        <a:xfrm>
          <a:off x="0" y="749497"/>
          <a:ext cx="6188709" cy="327600"/>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Mental health</a:t>
          </a:r>
        </a:p>
      </dsp:txBody>
      <dsp:txXfrm>
        <a:off x="15992" y="765489"/>
        <a:ext cx="6156725" cy="295616"/>
      </dsp:txXfrm>
    </dsp:sp>
    <dsp:sp modelId="{AF0CD276-955C-402E-8CC9-1C9899476986}">
      <dsp:nvSpPr>
        <dsp:cNvPr id="0" name=""/>
        <dsp:cNvSpPr/>
      </dsp:nvSpPr>
      <dsp:spPr>
        <a:xfrm>
          <a:off x="0" y="1123177"/>
          <a:ext cx="6188709" cy="327600"/>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Physical health</a:t>
          </a:r>
        </a:p>
      </dsp:txBody>
      <dsp:txXfrm>
        <a:off x="15992" y="1139169"/>
        <a:ext cx="6156725" cy="295616"/>
      </dsp:txXfrm>
    </dsp:sp>
    <dsp:sp modelId="{CCD9440C-8849-4055-A226-EA3A8672D9C1}">
      <dsp:nvSpPr>
        <dsp:cNvPr id="0" name=""/>
        <dsp:cNvSpPr/>
      </dsp:nvSpPr>
      <dsp:spPr>
        <a:xfrm>
          <a:off x="0" y="1496857"/>
          <a:ext cx="6188709" cy="327600"/>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Social care</a:t>
          </a:r>
        </a:p>
      </dsp:txBody>
      <dsp:txXfrm>
        <a:off x="15992" y="1512849"/>
        <a:ext cx="6156725" cy="295616"/>
      </dsp:txXfrm>
    </dsp:sp>
    <dsp:sp modelId="{95405012-1F91-4FFD-AC34-CD1B520DF98E}">
      <dsp:nvSpPr>
        <dsp:cNvPr id="0" name=""/>
        <dsp:cNvSpPr/>
      </dsp:nvSpPr>
      <dsp:spPr>
        <a:xfrm>
          <a:off x="0" y="1870537"/>
          <a:ext cx="6188709" cy="32760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Neurodevelopmental assessment and support</a:t>
          </a:r>
        </a:p>
      </dsp:txBody>
      <dsp:txXfrm>
        <a:off x="15992" y="1886529"/>
        <a:ext cx="6156725" cy="29561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476028-E8C7-4E5E-A446-9148FDA89F14}">
      <dsp:nvSpPr>
        <dsp:cNvPr id="0" name=""/>
        <dsp:cNvSpPr/>
      </dsp:nvSpPr>
      <dsp:spPr>
        <a:xfrm>
          <a:off x="0" y="85062"/>
          <a:ext cx="6188709" cy="645941"/>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Closing the gap in physical and mental health outcomes for people with a learning disability, autism, or both and friendships and are supported to understand how to keep themselves safe</a:t>
          </a:r>
        </a:p>
      </dsp:txBody>
      <dsp:txXfrm>
        <a:off x="31532" y="116594"/>
        <a:ext cx="6125645" cy="582877"/>
      </dsp:txXfrm>
    </dsp:sp>
    <dsp:sp modelId="{2989F57B-1ACF-4AC2-970E-D5C1173C8D17}">
      <dsp:nvSpPr>
        <dsp:cNvPr id="0" name=""/>
        <dsp:cNvSpPr/>
      </dsp:nvSpPr>
      <dsp:spPr>
        <a:xfrm>
          <a:off x="0" y="742112"/>
          <a:ext cx="6188709" cy="545834"/>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Securing equitable access to early intervention &amp; prevention services across the local NHS lives</a:t>
          </a:r>
        </a:p>
      </dsp:txBody>
      <dsp:txXfrm>
        <a:off x="26645" y="768757"/>
        <a:ext cx="6135419" cy="492544"/>
      </dsp:txXfrm>
    </dsp:sp>
    <dsp:sp modelId="{1028C968-9378-4E9C-AC5F-F15AEBE9FBDA}">
      <dsp:nvSpPr>
        <dsp:cNvPr id="0" name=""/>
        <dsp:cNvSpPr/>
      </dsp:nvSpPr>
      <dsp:spPr>
        <a:xfrm>
          <a:off x="0" y="1299056"/>
          <a:ext cx="6188709" cy="539931"/>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GB" sz="1400" kern="1200">
              <a:latin typeface="Arial" panose="020B0604020202020204" pitchFamily="34" charset="0"/>
              <a:cs typeface="Arial" panose="020B0604020202020204" pitchFamily="34" charset="0"/>
            </a:rPr>
            <a:t>Using the talent, knowledge &amp; skills of experts by experience to design better services</a:t>
          </a:r>
        </a:p>
      </dsp:txBody>
      <dsp:txXfrm>
        <a:off x="26357" y="1325413"/>
        <a:ext cx="6135995" cy="48721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476028-E8C7-4E5E-A446-9148FDA89F14}">
      <dsp:nvSpPr>
        <dsp:cNvPr id="0" name=""/>
        <dsp:cNvSpPr/>
      </dsp:nvSpPr>
      <dsp:spPr>
        <a:xfrm>
          <a:off x="0" y="236"/>
          <a:ext cx="6188709" cy="397093"/>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ts val="0"/>
            </a:spcBef>
            <a:spcAft>
              <a:spcPts val="0"/>
            </a:spcAft>
            <a:buNone/>
          </a:pPr>
          <a:r>
            <a:rPr lang="en-GB" sz="1200" kern="1200">
              <a:latin typeface="Arial" panose="020B0604020202020204" pitchFamily="34" charset="0"/>
              <a:cs typeface="Arial" panose="020B0604020202020204" pitchFamily="34" charset="0"/>
            </a:rPr>
            <a:t>SENDIASS service, provides legally informed support on education, health &amp; social care processes, ensuring families navigate systems with confidence</a:t>
          </a:r>
        </a:p>
      </dsp:txBody>
      <dsp:txXfrm>
        <a:off x="19384" y="19620"/>
        <a:ext cx="6149941" cy="358325"/>
      </dsp:txXfrm>
    </dsp:sp>
    <dsp:sp modelId="{2989F57B-1ACF-4AC2-970E-D5C1173C8D17}">
      <dsp:nvSpPr>
        <dsp:cNvPr id="0" name=""/>
        <dsp:cNvSpPr/>
      </dsp:nvSpPr>
      <dsp:spPr>
        <a:xfrm>
          <a:off x="0" y="475090"/>
          <a:ext cx="6188709" cy="438332"/>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ts val="0"/>
            </a:spcBef>
            <a:spcAft>
              <a:spcPts val="0"/>
            </a:spcAft>
            <a:buNone/>
          </a:pPr>
          <a:r>
            <a:rPr lang="en-GB" sz="1200" kern="1200">
              <a:latin typeface="Arial" panose="020B0604020202020204" pitchFamily="34" charset="0"/>
              <a:cs typeface="Arial" panose="020B0604020202020204" pitchFamily="34" charset="0"/>
            </a:rPr>
            <a:t>ND Family Navigation and Training Service offers targeted guidance &amp; learning opportunities for families of neurodivergent children &amp; young people</a:t>
          </a:r>
        </a:p>
      </dsp:txBody>
      <dsp:txXfrm>
        <a:off x="21398" y="496488"/>
        <a:ext cx="6145913" cy="395536"/>
      </dsp:txXfrm>
    </dsp:sp>
    <dsp:sp modelId="{1028C968-9378-4E9C-AC5F-F15AEBE9FBDA}">
      <dsp:nvSpPr>
        <dsp:cNvPr id="0" name=""/>
        <dsp:cNvSpPr/>
      </dsp:nvSpPr>
      <dsp:spPr>
        <a:xfrm>
          <a:off x="0" y="991183"/>
          <a:ext cx="6188709" cy="437645"/>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ts val="0"/>
            </a:spcBef>
            <a:spcAft>
              <a:spcPts val="0"/>
            </a:spcAft>
            <a:buNone/>
          </a:pPr>
          <a:r>
            <a:rPr lang="en-GB" sz="1200" kern="1200">
              <a:latin typeface="Arial" panose="020B0604020202020204" pitchFamily="34" charset="0"/>
              <a:cs typeface="Arial" panose="020B0604020202020204" pitchFamily="34" charset="0"/>
            </a:rPr>
            <a:t>Amazing Futures programme supports young people directly through groups, mentoring and social opportunities</a:t>
          </a:r>
        </a:p>
      </dsp:txBody>
      <dsp:txXfrm>
        <a:off x="21364" y="1012547"/>
        <a:ext cx="6145981" cy="394917"/>
      </dsp:txXfrm>
    </dsp:sp>
    <dsp:sp modelId="{AF0CD276-955C-402E-8CC9-1C9899476986}">
      <dsp:nvSpPr>
        <dsp:cNvPr id="0" name=""/>
        <dsp:cNvSpPr/>
      </dsp:nvSpPr>
      <dsp:spPr>
        <a:xfrm>
          <a:off x="0" y="1506588"/>
          <a:ext cx="6188709" cy="427405"/>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ts val="0"/>
            </a:spcBef>
            <a:spcAft>
              <a:spcPts val="0"/>
            </a:spcAft>
            <a:buNone/>
          </a:pPr>
          <a:r>
            <a:rPr lang="en-GB" sz="1200" kern="1200">
              <a:latin typeface="Arial" panose="020B0604020202020204" pitchFamily="34" charset="0"/>
              <a:cs typeface="Arial" panose="020B0604020202020204" pitchFamily="34" charset="0"/>
            </a:rPr>
            <a:t>Specialist workshops &amp; peer-befriending schemes for parents &amp; young people, alongside dedicated support with DLA, PIP and other benefits</a:t>
          </a:r>
        </a:p>
      </dsp:txBody>
      <dsp:txXfrm>
        <a:off x="20864" y="1527452"/>
        <a:ext cx="6146981" cy="385677"/>
      </dsp:txXfrm>
    </dsp:sp>
    <dsp:sp modelId="{CCD9440C-8849-4055-A226-EA3A8672D9C1}">
      <dsp:nvSpPr>
        <dsp:cNvPr id="0" name=""/>
        <dsp:cNvSpPr/>
      </dsp:nvSpPr>
      <dsp:spPr>
        <a:xfrm>
          <a:off x="0" y="2011753"/>
          <a:ext cx="6188709" cy="388309"/>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ts val="0"/>
            </a:spcBef>
            <a:spcAft>
              <a:spcPts val="0"/>
            </a:spcAft>
            <a:buNone/>
          </a:pPr>
          <a:r>
            <a:rPr lang="en-GB" sz="1200" kern="1200">
              <a:latin typeface="Arial" panose="020B0604020202020204" pitchFamily="34" charset="0"/>
              <a:cs typeface="Arial" panose="020B0604020202020204" pitchFamily="34" charset="0"/>
            </a:rPr>
            <a:t>Compass Card, managed by Amaze, further enhances access to leisure opportunities with discounted activities for eligible children and young people</a:t>
          </a:r>
        </a:p>
      </dsp:txBody>
      <dsp:txXfrm>
        <a:off x="18956" y="2030709"/>
        <a:ext cx="6150797" cy="35039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721C5E-90D4-425D-BDF0-F545628EC12A}">
      <dsp:nvSpPr>
        <dsp:cNvPr id="0" name=""/>
        <dsp:cNvSpPr/>
      </dsp:nvSpPr>
      <dsp:spPr>
        <a:xfrm>
          <a:off x="692517" y="595"/>
          <a:ext cx="4101364" cy="1179790"/>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GB" sz="1500" kern="1200"/>
            <a:t>80% of all B&amp;H pupils met the expected standard in reading, writing and maths (combined)</a:t>
          </a:r>
        </a:p>
        <a:p>
          <a:pPr marL="0" lvl="0" indent="0" algn="l" defTabSz="666750">
            <a:lnSpc>
              <a:spcPct val="90000"/>
            </a:lnSpc>
            <a:spcBef>
              <a:spcPct val="0"/>
            </a:spcBef>
            <a:spcAft>
              <a:spcPct val="35000"/>
            </a:spcAft>
            <a:buNone/>
          </a:pPr>
          <a:r>
            <a:rPr lang="en-GB" sz="1500" kern="1200"/>
            <a:t>80% England</a:t>
          </a:r>
        </a:p>
      </dsp:txBody>
      <dsp:txXfrm>
        <a:off x="692517" y="595"/>
        <a:ext cx="4101364" cy="1179790"/>
      </dsp:txXfrm>
    </dsp:sp>
    <dsp:sp modelId="{53C26669-A06A-411F-A0D6-D9B76B879137}">
      <dsp:nvSpPr>
        <dsp:cNvPr id="0" name=""/>
        <dsp:cNvSpPr/>
      </dsp:nvSpPr>
      <dsp:spPr>
        <a:xfrm>
          <a:off x="678566" y="1377017"/>
          <a:ext cx="1966317" cy="1179790"/>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GB" sz="1500" kern="1200"/>
            <a:t>45% of all B&amp;H SEN pupils</a:t>
          </a:r>
        </a:p>
        <a:p>
          <a:pPr marL="0" lvl="0" indent="0" algn="l" defTabSz="666750">
            <a:lnSpc>
              <a:spcPct val="90000"/>
            </a:lnSpc>
            <a:spcBef>
              <a:spcPct val="0"/>
            </a:spcBef>
            <a:spcAft>
              <a:spcPct val="35000"/>
            </a:spcAft>
            <a:buNone/>
          </a:pPr>
          <a:endParaRPr lang="en-GB" sz="1500" kern="1200"/>
        </a:p>
        <a:p>
          <a:pPr marL="0" lvl="0" indent="0" algn="l" defTabSz="666750">
            <a:lnSpc>
              <a:spcPct val="90000"/>
            </a:lnSpc>
            <a:spcBef>
              <a:spcPct val="0"/>
            </a:spcBef>
            <a:spcAft>
              <a:spcPct val="35000"/>
            </a:spcAft>
            <a:buNone/>
          </a:pPr>
          <a:r>
            <a:rPr lang="en-GB" sz="1500" kern="1200"/>
            <a:t>44% England</a:t>
          </a:r>
        </a:p>
      </dsp:txBody>
      <dsp:txXfrm>
        <a:off x="678566" y="1377017"/>
        <a:ext cx="1966317" cy="1179790"/>
      </dsp:txXfrm>
    </dsp:sp>
    <dsp:sp modelId="{71D0206A-E099-4BA8-9257-620F2804466C}">
      <dsp:nvSpPr>
        <dsp:cNvPr id="0" name=""/>
        <dsp:cNvSpPr/>
      </dsp:nvSpPr>
      <dsp:spPr>
        <a:xfrm>
          <a:off x="2841515" y="1377017"/>
          <a:ext cx="1966317" cy="1179790"/>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GB" sz="1500" kern="1200"/>
            <a:t>55% of B&amp;H pupils with SEN support</a:t>
          </a:r>
        </a:p>
        <a:p>
          <a:pPr marL="0" lvl="0" indent="0" algn="l" defTabSz="666750">
            <a:lnSpc>
              <a:spcPct val="90000"/>
            </a:lnSpc>
            <a:spcBef>
              <a:spcPct val="0"/>
            </a:spcBef>
            <a:spcAft>
              <a:spcPct val="35000"/>
            </a:spcAft>
            <a:buNone/>
          </a:pPr>
          <a:endParaRPr lang="en-GB" sz="1500" kern="1200"/>
        </a:p>
        <a:p>
          <a:pPr marL="0" lvl="0" indent="0" algn="l" defTabSz="666750">
            <a:lnSpc>
              <a:spcPct val="90000"/>
            </a:lnSpc>
            <a:spcBef>
              <a:spcPct val="0"/>
            </a:spcBef>
            <a:spcAft>
              <a:spcPct val="35000"/>
            </a:spcAft>
            <a:buNone/>
          </a:pPr>
          <a:r>
            <a:rPr lang="en-GB" sz="1500" kern="1200"/>
            <a:t>52% England</a:t>
          </a:r>
        </a:p>
      </dsp:txBody>
      <dsp:txXfrm>
        <a:off x="2841515" y="1377017"/>
        <a:ext cx="1966317" cy="1179790"/>
      </dsp:txXfrm>
    </dsp:sp>
    <dsp:sp modelId="{99E71E6C-888A-4D41-A88A-3F630CC4A3E5}">
      <dsp:nvSpPr>
        <dsp:cNvPr id="0" name=""/>
        <dsp:cNvSpPr/>
      </dsp:nvSpPr>
      <dsp:spPr>
        <a:xfrm>
          <a:off x="678566" y="2753439"/>
          <a:ext cx="1966317" cy="1179790"/>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GB" sz="1500" kern="1200">
              <a:solidFill>
                <a:schemeClr val="bg1"/>
              </a:solidFill>
            </a:rPr>
            <a:t>14% of B&amp;H pupils with an EHC plan</a:t>
          </a:r>
        </a:p>
        <a:p>
          <a:pPr marL="0" lvl="0" indent="0" algn="l" defTabSz="666750">
            <a:lnSpc>
              <a:spcPct val="90000"/>
            </a:lnSpc>
            <a:spcBef>
              <a:spcPct val="0"/>
            </a:spcBef>
            <a:spcAft>
              <a:spcPct val="35000"/>
            </a:spcAft>
            <a:buNone/>
          </a:pPr>
          <a:endParaRPr lang="en-GB" sz="1500" kern="1200">
            <a:solidFill>
              <a:schemeClr val="bg1"/>
            </a:solidFill>
          </a:endParaRPr>
        </a:p>
        <a:p>
          <a:pPr marL="0" lvl="0" indent="0" algn="l" defTabSz="666750">
            <a:lnSpc>
              <a:spcPct val="90000"/>
            </a:lnSpc>
            <a:spcBef>
              <a:spcPct val="0"/>
            </a:spcBef>
            <a:spcAft>
              <a:spcPct val="35000"/>
            </a:spcAft>
            <a:buNone/>
          </a:pPr>
          <a:r>
            <a:rPr lang="en-GB" sz="1500" kern="1200">
              <a:solidFill>
                <a:schemeClr val="bg1"/>
              </a:solidFill>
            </a:rPr>
            <a:t>20% England</a:t>
          </a:r>
        </a:p>
      </dsp:txBody>
      <dsp:txXfrm>
        <a:off x="678566" y="2753439"/>
        <a:ext cx="1966317" cy="1179790"/>
      </dsp:txXfrm>
    </dsp:sp>
    <dsp:sp modelId="{F1DE154D-0123-4A2E-917D-9385C8759E16}">
      <dsp:nvSpPr>
        <dsp:cNvPr id="0" name=""/>
        <dsp:cNvSpPr/>
      </dsp:nvSpPr>
      <dsp:spPr>
        <a:xfrm>
          <a:off x="2841515" y="2753439"/>
          <a:ext cx="1966317" cy="1179790"/>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GB" sz="1500" kern="1200"/>
            <a:t>88% of B&amp;H pupils with no SEN</a:t>
          </a:r>
        </a:p>
        <a:p>
          <a:pPr marL="0" lvl="0" indent="0" algn="l" defTabSz="666750">
            <a:lnSpc>
              <a:spcPct val="90000"/>
            </a:lnSpc>
            <a:spcBef>
              <a:spcPct val="0"/>
            </a:spcBef>
            <a:spcAft>
              <a:spcPct val="35000"/>
            </a:spcAft>
            <a:buNone/>
          </a:pPr>
          <a:endParaRPr lang="en-GB" sz="1500" kern="1200"/>
        </a:p>
        <a:p>
          <a:pPr marL="0" lvl="0" indent="0" algn="l" defTabSz="666750">
            <a:lnSpc>
              <a:spcPct val="90000"/>
            </a:lnSpc>
            <a:spcBef>
              <a:spcPct val="0"/>
            </a:spcBef>
            <a:spcAft>
              <a:spcPct val="35000"/>
            </a:spcAft>
            <a:buNone/>
          </a:pPr>
          <a:r>
            <a:rPr lang="en-GB" sz="1500" kern="1200"/>
            <a:t>88% England</a:t>
          </a:r>
        </a:p>
      </dsp:txBody>
      <dsp:txXfrm>
        <a:off x="2841515" y="2753439"/>
        <a:ext cx="1966317" cy="117979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721C5E-90D4-425D-BDF0-F545628EC12A}">
      <dsp:nvSpPr>
        <dsp:cNvPr id="0" name=""/>
        <dsp:cNvSpPr/>
      </dsp:nvSpPr>
      <dsp:spPr>
        <a:xfrm>
          <a:off x="664579" y="2381"/>
          <a:ext cx="4157240" cy="1195863"/>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t>60% of all B&amp;H pupils met the expected standard in reading, writing and maths (combined)</a:t>
          </a:r>
        </a:p>
        <a:p>
          <a:pPr marL="0" lvl="0" indent="0" algn="l" defTabSz="711200">
            <a:lnSpc>
              <a:spcPct val="90000"/>
            </a:lnSpc>
            <a:spcBef>
              <a:spcPct val="0"/>
            </a:spcBef>
            <a:spcAft>
              <a:spcPct val="35000"/>
            </a:spcAft>
            <a:buNone/>
          </a:pPr>
          <a:r>
            <a:rPr lang="en-GB" sz="1600" kern="1200"/>
            <a:t>61% England</a:t>
          </a:r>
        </a:p>
      </dsp:txBody>
      <dsp:txXfrm>
        <a:off x="664579" y="2381"/>
        <a:ext cx="4157240" cy="1195863"/>
      </dsp:txXfrm>
    </dsp:sp>
    <dsp:sp modelId="{53C26669-A06A-411F-A0D6-D9B76B879137}">
      <dsp:nvSpPr>
        <dsp:cNvPr id="0" name=""/>
        <dsp:cNvSpPr/>
      </dsp:nvSpPr>
      <dsp:spPr>
        <a:xfrm>
          <a:off x="650438" y="1397555"/>
          <a:ext cx="1993106" cy="1195863"/>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t>25% of all B&amp;H SEN pupils</a:t>
          </a:r>
        </a:p>
        <a:p>
          <a:pPr marL="0" lvl="0" indent="0" algn="l" defTabSz="711200">
            <a:lnSpc>
              <a:spcPct val="90000"/>
            </a:lnSpc>
            <a:spcBef>
              <a:spcPct val="0"/>
            </a:spcBef>
            <a:spcAft>
              <a:spcPct val="35000"/>
            </a:spcAft>
            <a:buNone/>
          </a:pPr>
          <a:endParaRPr lang="en-GB" sz="1600" kern="1200"/>
        </a:p>
        <a:p>
          <a:pPr marL="0" lvl="0" indent="0" algn="l" defTabSz="711200">
            <a:lnSpc>
              <a:spcPct val="90000"/>
            </a:lnSpc>
            <a:spcBef>
              <a:spcPct val="0"/>
            </a:spcBef>
            <a:spcAft>
              <a:spcPct val="35000"/>
            </a:spcAft>
            <a:buNone/>
          </a:pPr>
          <a:r>
            <a:rPr lang="en-GB" sz="1600" kern="1200"/>
            <a:t>22% England</a:t>
          </a:r>
        </a:p>
      </dsp:txBody>
      <dsp:txXfrm>
        <a:off x="650438" y="1397555"/>
        <a:ext cx="1993106" cy="1195863"/>
      </dsp:txXfrm>
    </dsp:sp>
    <dsp:sp modelId="{71D0206A-E099-4BA8-9257-620F2804466C}">
      <dsp:nvSpPr>
        <dsp:cNvPr id="0" name=""/>
        <dsp:cNvSpPr/>
      </dsp:nvSpPr>
      <dsp:spPr>
        <a:xfrm>
          <a:off x="2842855" y="1397555"/>
          <a:ext cx="1993106" cy="1195863"/>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t>30% of B&amp;H pupils with SEN support</a:t>
          </a:r>
        </a:p>
        <a:p>
          <a:pPr marL="0" lvl="0" indent="0" algn="l" defTabSz="711200">
            <a:lnSpc>
              <a:spcPct val="90000"/>
            </a:lnSpc>
            <a:spcBef>
              <a:spcPct val="0"/>
            </a:spcBef>
            <a:spcAft>
              <a:spcPct val="35000"/>
            </a:spcAft>
            <a:buNone/>
          </a:pPr>
          <a:endParaRPr lang="en-GB" sz="1600" kern="1200"/>
        </a:p>
        <a:p>
          <a:pPr marL="0" lvl="0" indent="0" algn="l" defTabSz="711200">
            <a:lnSpc>
              <a:spcPct val="90000"/>
            </a:lnSpc>
            <a:spcBef>
              <a:spcPct val="0"/>
            </a:spcBef>
            <a:spcAft>
              <a:spcPct val="35000"/>
            </a:spcAft>
            <a:buNone/>
          </a:pPr>
          <a:r>
            <a:rPr lang="en-GB" sz="1600" kern="1200"/>
            <a:t>26% England</a:t>
          </a:r>
        </a:p>
      </dsp:txBody>
      <dsp:txXfrm>
        <a:off x="2842855" y="1397555"/>
        <a:ext cx="1993106" cy="1195863"/>
      </dsp:txXfrm>
    </dsp:sp>
    <dsp:sp modelId="{99E71E6C-888A-4D41-A88A-3F630CC4A3E5}">
      <dsp:nvSpPr>
        <dsp:cNvPr id="0" name=""/>
        <dsp:cNvSpPr/>
      </dsp:nvSpPr>
      <dsp:spPr>
        <a:xfrm>
          <a:off x="650438" y="2792729"/>
          <a:ext cx="1993106" cy="1195863"/>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solidFill>
                <a:schemeClr val="bg1"/>
              </a:solidFill>
            </a:rPr>
            <a:t>7% B&amp;H pupils with an EHC plan</a:t>
          </a:r>
        </a:p>
        <a:p>
          <a:pPr marL="0" lvl="0" indent="0" algn="l" defTabSz="711200">
            <a:lnSpc>
              <a:spcPct val="90000"/>
            </a:lnSpc>
            <a:spcBef>
              <a:spcPct val="0"/>
            </a:spcBef>
            <a:spcAft>
              <a:spcPct val="35000"/>
            </a:spcAft>
            <a:buNone/>
          </a:pPr>
          <a:endParaRPr lang="en-GB" sz="1600" kern="1200">
            <a:solidFill>
              <a:schemeClr val="bg1"/>
            </a:solidFill>
          </a:endParaRPr>
        </a:p>
        <a:p>
          <a:pPr marL="0" lvl="0" indent="0" algn="l" defTabSz="711200">
            <a:lnSpc>
              <a:spcPct val="90000"/>
            </a:lnSpc>
            <a:spcBef>
              <a:spcPct val="0"/>
            </a:spcBef>
            <a:spcAft>
              <a:spcPct val="35000"/>
            </a:spcAft>
            <a:buNone/>
          </a:pPr>
          <a:r>
            <a:rPr lang="en-GB" sz="1600" kern="1200">
              <a:solidFill>
                <a:schemeClr val="bg1"/>
              </a:solidFill>
            </a:rPr>
            <a:t>9% England</a:t>
          </a:r>
        </a:p>
      </dsp:txBody>
      <dsp:txXfrm>
        <a:off x="650438" y="2792729"/>
        <a:ext cx="1993106" cy="1195863"/>
      </dsp:txXfrm>
    </dsp:sp>
    <dsp:sp modelId="{F1DE154D-0123-4A2E-917D-9385C8759E16}">
      <dsp:nvSpPr>
        <dsp:cNvPr id="0" name=""/>
        <dsp:cNvSpPr/>
      </dsp:nvSpPr>
      <dsp:spPr>
        <a:xfrm>
          <a:off x="2842855" y="2792729"/>
          <a:ext cx="1993106" cy="1195863"/>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t>72% B&amp;H pupils with no SEN</a:t>
          </a:r>
        </a:p>
        <a:p>
          <a:pPr marL="0" lvl="0" indent="0" algn="l" defTabSz="711200">
            <a:lnSpc>
              <a:spcPct val="90000"/>
            </a:lnSpc>
            <a:spcBef>
              <a:spcPct val="0"/>
            </a:spcBef>
            <a:spcAft>
              <a:spcPct val="35000"/>
            </a:spcAft>
            <a:buNone/>
          </a:pPr>
          <a:endParaRPr lang="en-GB" sz="1600" kern="1200"/>
        </a:p>
        <a:p>
          <a:pPr marL="0" lvl="0" indent="0" algn="l" defTabSz="711200">
            <a:lnSpc>
              <a:spcPct val="90000"/>
            </a:lnSpc>
            <a:spcBef>
              <a:spcPct val="0"/>
            </a:spcBef>
            <a:spcAft>
              <a:spcPct val="35000"/>
            </a:spcAft>
            <a:buNone/>
          </a:pPr>
          <a:r>
            <a:rPr lang="en-GB" sz="1600" kern="1200"/>
            <a:t>72% England</a:t>
          </a:r>
        </a:p>
      </dsp:txBody>
      <dsp:txXfrm>
        <a:off x="2842855" y="2792729"/>
        <a:ext cx="1993106" cy="1195863"/>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721C5E-90D4-425D-BDF0-F545628EC12A}">
      <dsp:nvSpPr>
        <dsp:cNvPr id="0" name=""/>
        <dsp:cNvSpPr/>
      </dsp:nvSpPr>
      <dsp:spPr>
        <a:xfrm>
          <a:off x="633847" y="1488"/>
          <a:ext cx="4218705" cy="1213544"/>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latin typeface="Calibri"/>
              <a:ea typeface="+mn-ea"/>
              <a:cs typeface="+mn-cs"/>
            </a:rPr>
            <a:t>48 average attainment 8 score all KS4 B&amp;H pupils</a:t>
          </a:r>
        </a:p>
        <a:p>
          <a:pPr marL="0" lvl="0" indent="0" algn="l" defTabSz="711200">
            <a:lnSpc>
              <a:spcPct val="90000"/>
            </a:lnSpc>
            <a:spcBef>
              <a:spcPct val="0"/>
            </a:spcBef>
            <a:spcAft>
              <a:spcPct val="35000"/>
            </a:spcAft>
            <a:buNone/>
          </a:pPr>
          <a:endParaRPr lang="en-GB" sz="1600" kern="1200">
            <a:latin typeface="Calibri"/>
            <a:ea typeface="+mn-ea"/>
            <a:cs typeface="+mn-cs"/>
          </a:endParaRPr>
        </a:p>
        <a:p>
          <a:pPr marL="0" lvl="0" indent="0" algn="l" defTabSz="711200">
            <a:lnSpc>
              <a:spcPct val="90000"/>
            </a:lnSpc>
            <a:spcBef>
              <a:spcPct val="0"/>
            </a:spcBef>
            <a:spcAft>
              <a:spcPct val="35000"/>
            </a:spcAft>
            <a:buNone/>
          </a:pPr>
          <a:r>
            <a:rPr lang="en-GB" sz="1600" kern="1200">
              <a:latin typeface="Calibri"/>
              <a:ea typeface="+mn-ea"/>
              <a:cs typeface="+mn-cs"/>
            </a:rPr>
            <a:t>46 England</a:t>
          </a:r>
        </a:p>
      </dsp:txBody>
      <dsp:txXfrm>
        <a:off x="633847" y="1488"/>
        <a:ext cx="4218705" cy="1213544"/>
      </dsp:txXfrm>
    </dsp:sp>
    <dsp:sp modelId="{53C26669-A06A-411F-A0D6-D9B76B879137}">
      <dsp:nvSpPr>
        <dsp:cNvPr id="0" name=""/>
        <dsp:cNvSpPr/>
      </dsp:nvSpPr>
      <dsp:spPr>
        <a:xfrm>
          <a:off x="619497" y="1417290"/>
          <a:ext cx="2022574" cy="1213544"/>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latin typeface="Calibri"/>
              <a:ea typeface="+mn-ea"/>
              <a:cs typeface="+mn-cs"/>
            </a:rPr>
            <a:t>30 for all B&amp;H SEN pupils</a:t>
          </a:r>
        </a:p>
        <a:p>
          <a:pPr marL="0" lvl="0" indent="0" algn="l" defTabSz="711200">
            <a:lnSpc>
              <a:spcPct val="90000"/>
            </a:lnSpc>
            <a:spcBef>
              <a:spcPct val="0"/>
            </a:spcBef>
            <a:spcAft>
              <a:spcPct val="35000"/>
            </a:spcAft>
            <a:buNone/>
          </a:pPr>
          <a:endParaRPr lang="en-GB" sz="1600" kern="1200">
            <a:latin typeface="Calibri"/>
            <a:ea typeface="+mn-ea"/>
            <a:cs typeface="+mn-cs"/>
          </a:endParaRPr>
        </a:p>
        <a:p>
          <a:pPr marL="0" lvl="0" indent="0" algn="l" defTabSz="711200">
            <a:lnSpc>
              <a:spcPct val="90000"/>
            </a:lnSpc>
            <a:spcBef>
              <a:spcPct val="0"/>
            </a:spcBef>
            <a:spcAft>
              <a:spcPct val="35000"/>
            </a:spcAft>
            <a:buNone/>
          </a:pPr>
          <a:r>
            <a:rPr lang="en-GB" sz="1600" kern="1200">
              <a:latin typeface="Calibri"/>
              <a:ea typeface="+mn-ea"/>
              <a:cs typeface="+mn-cs"/>
            </a:rPr>
            <a:t>28 England</a:t>
          </a:r>
        </a:p>
      </dsp:txBody>
      <dsp:txXfrm>
        <a:off x="619497" y="1417290"/>
        <a:ext cx="2022574" cy="1213544"/>
      </dsp:txXfrm>
    </dsp:sp>
    <dsp:sp modelId="{71D0206A-E099-4BA8-9257-620F2804466C}">
      <dsp:nvSpPr>
        <dsp:cNvPr id="0" name=""/>
        <dsp:cNvSpPr/>
      </dsp:nvSpPr>
      <dsp:spPr>
        <a:xfrm>
          <a:off x="2844328" y="1417290"/>
          <a:ext cx="2022574" cy="1213544"/>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latin typeface="Calibri"/>
              <a:ea typeface="+mn-ea"/>
              <a:cs typeface="+mn-cs"/>
            </a:rPr>
            <a:t>37 for B&amp;H pupils with SEN support</a:t>
          </a:r>
        </a:p>
        <a:p>
          <a:pPr marL="0" lvl="0" indent="0" algn="l" defTabSz="711200">
            <a:lnSpc>
              <a:spcPct val="90000"/>
            </a:lnSpc>
            <a:spcBef>
              <a:spcPct val="0"/>
            </a:spcBef>
            <a:spcAft>
              <a:spcPct val="35000"/>
            </a:spcAft>
            <a:buNone/>
          </a:pPr>
          <a:endParaRPr lang="en-GB" sz="1600" kern="1200">
            <a:latin typeface="Calibri"/>
            <a:ea typeface="+mn-ea"/>
            <a:cs typeface="+mn-cs"/>
          </a:endParaRPr>
        </a:p>
        <a:p>
          <a:pPr marL="0" lvl="0" indent="0" algn="l" defTabSz="711200">
            <a:lnSpc>
              <a:spcPct val="90000"/>
            </a:lnSpc>
            <a:spcBef>
              <a:spcPct val="0"/>
            </a:spcBef>
            <a:spcAft>
              <a:spcPct val="35000"/>
            </a:spcAft>
            <a:buNone/>
          </a:pPr>
          <a:r>
            <a:rPr lang="en-GB" sz="1600" kern="1200">
              <a:latin typeface="Calibri"/>
              <a:ea typeface="+mn-ea"/>
              <a:cs typeface="+mn-cs"/>
            </a:rPr>
            <a:t>33 England</a:t>
          </a:r>
        </a:p>
      </dsp:txBody>
      <dsp:txXfrm>
        <a:off x="2844328" y="1417290"/>
        <a:ext cx="2022574" cy="1213544"/>
      </dsp:txXfrm>
    </dsp:sp>
    <dsp:sp modelId="{99E71E6C-888A-4D41-A88A-3F630CC4A3E5}">
      <dsp:nvSpPr>
        <dsp:cNvPr id="0" name=""/>
        <dsp:cNvSpPr/>
      </dsp:nvSpPr>
      <dsp:spPr>
        <a:xfrm>
          <a:off x="619497" y="2833092"/>
          <a:ext cx="2022574" cy="1213544"/>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solidFill>
                <a:schemeClr val="bg1"/>
              </a:solidFill>
              <a:latin typeface="Calibri"/>
              <a:ea typeface="+mn-ea"/>
              <a:cs typeface="+mn-cs"/>
            </a:rPr>
            <a:t>13 for B&amp;H pupils with an EHC plan</a:t>
          </a:r>
        </a:p>
        <a:p>
          <a:pPr marL="0" lvl="0" indent="0" algn="l" defTabSz="711200">
            <a:lnSpc>
              <a:spcPct val="90000"/>
            </a:lnSpc>
            <a:spcBef>
              <a:spcPct val="0"/>
            </a:spcBef>
            <a:spcAft>
              <a:spcPct val="35000"/>
            </a:spcAft>
            <a:buNone/>
          </a:pPr>
          <a:endParaRPr lang="en-GB" sz="1600" kern="1200">
            <a:solidFill>
              <a:schemeClr val="bg1"/>
            </a:solidFill>
            <a:latin typeface="Calibri"/>
            <a:ea typeface="+mn-ea"/>
            <a:cs typeface="+mn-cs"/>
          </a:endParaRPr>
        </a:p>
        <a:p>
          <a:pPr marL="0" lvl="0" indent="0" algn="l" defTabSz="711200">
            <a:lnSpc>
              <a:spcPct val="90000"/>
            </a:lnSpc>
            <a:spcBef>
              <a:spcPct val="0"/>
            </a:spcBef>
            <a:spcAft>
              <a:spcPct val="35000"/>
            </a:spcAft>
            <a:buNone/>
          </a:pPr>
          <a:r>
            <a:rPr lang="en-GB" sz="1600" kern="1200">
              <a:solidFill>
                <a:schemeClr val="bg1"/>
              </a:solidFill>
              <a:latin typeface="Calibri"/>
              <a:ea typeface="+mn-ea"/>
              <a:cs typeface="+mn-cs"/>
            </a:rPr>
            <a:t>14 England</a:t>
          </a:r>
        </a:p>
      </dsp:txBody>
      <dsp:txXfrm>
        <a:off x="619497" y="2833092"/>
        <a:ext cx="2022574" cy="1213544"/>
      </dsp:txXfrm>
    </dsp:sp>
    <dsp:sp modelId="{F1DE154D-0123-4A2E-917D-9385C8759E16}">
      <dsp:nvSpPr>
        <dsp:cNvPr id="0" name=""/>
        <dsp:cNvSpPr/>
      </dsp:nvSpPr>
      <dsp:spPr>
        <a:xfrm>
          <a:off x="2844328" y="2833092"/>
          <a:ext cx="2022574" cy="1213544"/>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en-GB" sz="1600" kern="1200">
              <a:latin typeface="Calibri"/>
              <a:ea typeface="+mn-ea"/>
              <a:cs typeface="+mn-cs"/>
            </a:rPr>
            <a:t>59 for B&amp;H pupils with no SEN</a:t>
          </a:r>
        </a:p>
        <a:p>
          <a:pPr marL="0" lvl="0" indent="0" algn="l" defTabSz="711200">
            <a:lnSpc>
              <a:spcPct val="90000"/>
            </a:lnSpc>
            <a:spcBef>
              <a:spcPct val="0"/>
            </a:spcBef>
            <a:spcAft>
              <a:spcPct val="35000"/>
            </a:spcAft>
            <a:buNone/>
          </a:pPr>
          <a:endParaRPr lang="en-GB" sz="1600" kern="1200">
            <a:latin typeface="Calibri"/>
            <a:ea typeface="+mn-ea"/>
            <a:cs typeface="+mn-cs"/>
          </a:endParaRPr>
        </a:p>
        <a:p>
          <a:pPr marL="0" lvl="0" indent="0" algn="l" defTabSz="711200">
            <a:lnSpc>
              <a:spcPct val="90000"/>
            </a:lnSpc>
            <a:spcBef>
              <a:spcPct val="0"/>
            </a:spcBef>
            <a:spcAft>
              <a:spcPct val="35000"/>
            </a:spcAft>
            <a:buNone/>
          </a:pPr>
          <a:r>
            <a:rPr lang="en-GB" sz="1600" kern="1200">
              <a:latin typeface="Calibri"/>
              <a:ea typeface="+mn-ea"/>
              <a:cs typeface="+mn-cs"/>
            </a:rPr>
            <a:t>50 England</a:t>
          </a:r>
        </a:p>
      </dsp:txBody>
      <dsp:txXfrm>
        <a:off x="2844328" y="2833092"/>
        <a:ext cx="2022574" cy="1213544"/>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F4064F85-6D65-4CC3-98A3-B0126DA5307F}">
    <t:Anchor>
      <t:Comment id="647622748"/>
    </t:Anchor>
    <t:History>
      <t:Event id="{70F6C9C8-68ED-45A3-B437-C4A056B989A7}" time="2025-07-21T14:21:18.562Z">
        <t:Attribution userId="S::Grace.Odiai@brighton-hove.gov.uk::7973390b-cd87-4c80-8752-fcdc9ddd5e76" userProvider="AD" userName="Grace Odiai"/>
        <t:Anchor>
          <t:Comment id="326564337"/>
        </t:Anchor>
        <t:Create/>
      </t:Event>
      <t:Event id="{C040A584-F6DC-441D-801F-6ECA23368707}" time="2025-07-21T14:21:18.562Z">
        <t:Attribution userId="S::Grace.Odiai@brighton-hove.gov.uk::7973390b-cd87-4c80-8752-fcdc9ddd5e76" userProvider="AD" userName="Grace Odiai"/>
        <t:Anchor>
          <t:Comment id="326564337"/>
        </t:Anchor>
        <t:Assign userId="S::Kate.Gilchrist@brighton-hove.gov.uk::16328e93-08f5-4152-9f49-9b6a586f13c9" userProvider="AD" userName="Kate Gilchrist"/>
      </t:Event>
      <t:Event id="{E081C396-5522-45C9-B374-BE0AFCC92E04}" time="2025-07-21T14:21:18.562Z">
        <t:Attribution userId="S::Grace.Odiai@brighton-hove.gov.uk::7973390b-cd87-4c80-8752-fcdc9ddd5e76" userProvider="AD" userName="Grace Odiai"/>
        <t:Anchor>
          <t:Comment id="326564337"/>
        </t:Anchor>
        <t:SetTitle title="@Kate Gilchrist I have included that in the sentence just above this one. "/>
      </t:Event>
      <t:Event id="{B9BF35C8-3093-4CD9-A74E-D5C1630B2D9C}" time="2025-07-23T15:50:09.279Z">
        <t:Attribution userId="S::Grace.Odiai@brighton-hove.gov.uk::7973390b-cd87-4c80-8752-fcdc9ddd5e76" userProvider="AD" userName="Grace Odiai"/>
        <t:Progress percentComplete="100"/>
      </t:Event>
    </t:History>
  </t:Task>
  <t:Task id="{D886D314-4B03-4FCF-AC38-A7518BA2269D}">
    <t:Anchor>
      <t:Comment id="1718152218"/>
    </t:Anchor>
    <t:History>
      <t:Event id="{4A6DD86B-144C-407F-9636-675ED1011DEA}" time="2025-11-27T10:55:50.426Z">
        <t:Attribution userId="S::Louise.Knight@brighton-hove.gov.uk::7e31e7fc-f009-4b5d-bdd4-48e08c3a64be" userProvider="AD" userName="Louise Knight"/>
        <t:Anchor>
          <t:Comment id="1618749608"/>
        </t:Anchor>
        <t:Create/>
      </t:Event>
      <t:Event id="{CA4999B1-5E4E-4F6A-95FE-0B8242E4067A}" time="2025-11-27T10:55:50.426Z">
        <t:Attribution userId="S::Louise.Knight@brighton-hove.gov.uk::7e31e7fc-f009-4b5d-bdd4-48e08c3a64be" userProvider="AD" userName="Louise Knight"/>
        <t:Anchor>
          <t:Comment id="1618749608"/>
        </t:Anchor>
        <t:Assign userId="S::Helen.Cowling@brighton-hove.gov.uk::dfacf898-5303-4050-a3c5-ac56e2c7e076" userProvider="AD" userName="Helen Cowling"/>
      </t:Event>
      <t:Event id="{384E78F8-7063-4389-91E2-EB20E215C94D}" time="2025-11-27T10:55:50.426Z">
        <t:Attribution userId="S::Louise.Knight@brighton-hove.gov.uk::7e31e7fc-f009-4b5d-bdd4-48e08c3a64be" userProvider="AD" userName="Louise Knight"/>
        <t:Anchor>
          <t:Comment id="1618749608"/>
        </t:Anchor>
        <t:SetTitle title="@Helen Cowling "/>
      </t:Event>
      <t:Event id="{9CB90654-B1F5-447B-9E1D-70D7DF75AD71}" time="2025-12-29T15:19:20.858Z">
        <t:Attribution userId="S::Louise.Knight@brighton-hove.gov.uk::7e31e7fc-f009-4b5d-bdd4-48e08c3a64be" userProvider="AD" userName="Louise Knight"/>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840AC294BC0B49BEFDC22E796D98D9" ma:contentTypeVersion="22" ma:contentTypeDescription="Create a new document." ma:contentTypeScope="" ma:versionID="8187cde3d35db3b5b3f576ab73d04ddc">
  <xsd:schema xmlns:xsd="http://www.w3.org/2001/XMLSchema" xmlns:xs="http://www.w3.org/2001/XMLSchema" xmlns:p="http://schemas.microsoft.com/office/2006/metadata/properties" xmlns:ns1="http://schemas.microsoft.com/sharepoint/v3" xmlns:ns2="959abe0d-36d8-43c1-b9d6-025893042c7b" xmlns:ns3="5b05ce1c-07bf-4dc9-a763-790fe9e44338" targetNamespace="http://schemas.microsoft.com/office/2006/metadata/properties" ma:root="true" ma:fieldsID="c518eab81b88b8a007c0c99c1a28403a" ns1:_="" ns2:_="" ns3:_="">
    <xsd:import namespace="http://schemas.microsoft.com/sharepoint/v3"/>
    <xsd:import namespace="959abe0d-36d8-43c1-b9d6-025893042c7b"/>
    <xsd:import namespace="5b05ce1c-07bf-4dc9-a763-790fe9e44338"/>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9abe0d-36d8-43c1-b9d6-025893042c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14c1c7-36a5-45a5-9ee9-efc887aa7c10"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_ApprovalAssignedTo" ma:index="26"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7"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8"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9"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05ce1c-07bf-4dc9-a763-790fe9e443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b0d473e-eef5-4b7d-82ce-4215f3714393}" ma:internalName="TaxCatchAll" ma:showField="CatchAllData" ma:web="5b05ce1c-07bf-4dc9-a763-790fe9e4433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59abe0d-36d8-43c1-b9d6-025893042c7b">
      <Terms xmlns="http://schemas.microsoft.com/office/infopath/2007/PartnerControls"/>
    </lcf76f155ced4ddcb4097134ff3c332f>
    <_ip_UnifiedCompliancePolicyProperties xmlns="http://schemas.microsoft.com/sharepoint/v3" xsi:nil="true"/>
    <TaxCatchAll xmlns="5b05ce1c-07bf-4dc9-a763-790fe9e44338" xsi:nil="true"/>
    <_ApprovalAssignedTo xmlns="959abe0d-36d8-43c1-b9d6-025893042c7b">
      <UserInfo>
        <DisplayName/>
        <AccountId xsi:nil="true"/>
        <AccountType/>
      </UserInfo>
    </_ApprovalAssignedTo>
    <_ApprovalSentBy xmlns="959abe0d-36d8-43c1-b9d6-025893042c7b">
      <UserInfo>
        <DisplayName/>
        <AccountId xsi:nil="true"/>
        <AccountType/>
      </UserInfo>
    </_ApprovalSentBy>
    <_ApprovalStatus xmlns="959abe0d-36d8-43c1-b9d6-025893042c7b">0</_ApprovalStatus>
    <_ApprovalRespondedBy xmlns="959abe0d-36d8-43c1-b9d6-025893042c7b">
      <UserInfo>
        <DisplayName/>
        <AccountId xsi:nil="true"/>
        <AccountType/>
      </UserInfo>
    </_ApprovalRespondedBy>
  </documentManagement>
</p:properties>
</file>

<file path=customXml/itemProps1.xml><?xml version="1.0" encoding="utf-8"?>
<ds:datastoreItem xmlns:ds="http://schemas.openxmlformats.org/officeDocument/2006/customXml" ds:itemID="{08AFAC09-4B71-432D-B245-A2E5FC846E66}">
  <ds:schemaRefs>
    <ds:schemaRef ds:uri="http://schemas.microsoft.com/sharepoint/v3/contenttype/forms"/>
  </ds:schemaRefs>
</ds:datastoreItem>
</file>

<file path=customXml/itemProps2.xml><?xml version="1.0" encoding="utf-8"?>
<ds:datastoreItem xmlns:ds="http://schemas.openxmlformats.org/officeDocument/2006/customXml" ds:itemID="{5223ED45-19A7-4A68-8D4D-D3780F0D3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9abe0d-36d8-43c1-b9d6-025893042c7b"/>
    <ds:schemaRef ds:uri="5b05ce1c-07bf-4dc9-a763-790fe9e44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CFEC4C-D87B-4273-8331-93DBE08B9C0D}">
  <ds:schemaRefs>
    <ds:schemaRef ds:uri="http://schemas.openxmlformats.org/officeDocument/2006/bibliography"/>
  </ds:schemaRefs>
</ds:datastoreItem>
</file>

<file path=customXml/itemProps4.xml><?xml version="1.0" encoding="utf-8"?>
<ds:datastoreItem xmlns:ds="http://schemas.openxmlformats.org/officeDocument/2006/customXml" ds:itemID="{B69614AA-F39F-4C40-A565-2A182AC770E1}">
  <ds:schemaRefs>
    <ds:schemaRef ds:uri="http://schemas.microsoft.com/office/2006/metadata/properties"/>
    <ds:schemaRef ds:uri="http://schemas.microsoft.com/office/infopath/2007/PartnerControls"/>
    <ds:schemaRef ds:uri="http://schemas.microsoft.com/sharepoint/v3"/>
    <ds:schemaRef ds:uri="959abe0d-36d8-43c1-b9d6-025893042c7b"/>
    <ds:schemaRef ds:uri="5b05ce1c-07bf-4dc9-a763-790fe9e44338"/>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98</Pages>
  <Words>27948</Words>
  <Characters>159306</Characters>
  <Application>Microsoft Office Word</Application>
  <DocSecurity>4</DocSecurity>
  <Lines>1327</Lines>
  <Paragraphs>373</Paragraphs>
  <ScaleCrop>false</ScaleCrop>
  <HeadingPairs>
    <vt:vector size="2" baseType="variant">
      <vt:variant>
        <vt:lpstr>Title</vt:lpstr>
      </vt:variant>
      <vt:variant>
        <vt:i4>1</vt:i4>
      </vt:variant>
    </vt:vector>
  </HeadingPairs>
  <TitlesOfParts>
    <vt:vector size="1" baseType="lpstr">
      <vt:lpstr/>
    </vt:vector>
  </TitlesOfParts>
  <Company>Brighton &amp; Hove City Council</Company>
  <LinksUpToDate>false</LinksUpToDate>
  <CharactersWithSpaces>186881</CharactersWithSpaces>
  <SharedDoc>false</SharedDoc>
  <HLinks>
    <vt:vector size="1218" baseType="variant">
      <vt:variant>
        <vt:i4>6094919</vt:i4>
      </vt:variant>
      <vt:variant>
        <vt:i4>282</vt:i4>
      </vt:variant>
      <vt:variant>
        <vt:i4>0</vt:i4>
      </vt:variant>
      <vt:variant>
        <vt:i4>5</vt:i4>
      </vt:variant>
      <vt:variant>
        <vt:lpwstr>https://www.mind.org.uk/information-support/types-of-mental-health-problems/</vt:lpwstr>
      </vt:variant>
      <vt:variant>
        <vt:lpwstr/>
      </vt:variant>
      <vt:variant>
        <vt:i4>5308447</vt:i4>
      </vt:variant>
      <vt:variant>
        <vt:i4>270</vt:i4>
      </vt:variant>
      <vt:variant>
        <vt:i4>0</vt:i4>
      </vt:variant>
      <vt:variant>
        <vt:i4>5</vt:i4>
      </vt:variant>
      <vt:variant>
        <vt:lpwstr>https://www.brighton-hove.gov.uk/sites/default/files/2025-04/SEND and intersectionality in children and young people.pdf</vt:lpwstr>
      </vt:variant>
      <vt:variant>
        <vt:lpwstr/>
      </vt:variant>
      <vt:variant>
        <vt:i4>6684720</vt:i4>
      </vt:variant>
      <vt:variant>
        <vt:i4>267</vt:i4>
      </vt:variant>
      <vt:variant>
        <vt:i4>0</vt:i4>
      </vt:variant>
      <vt:variant>
        <vt:i4>5</vt:i4>
      </vt:variant>
      <vt:variant>
        <vt:lpwstr>https://www.brighton-hove.gov.uk/joint-strategic-needs-assessment-jsna/key-evidence-reports-and-briefings/evidence-reviews</vt:lpwstr>
      </vt:variant>
      <vt:variant>
        <vt:lpwstr/>
      </vt:variant>
      <vt:variant>
        <vt:i4>4915280</vt:i4>
      </vt:variant>
      <vt:variant>
        <vt:i4>159</vt:i4>
      </vt:variant>
      <vt:variant>
        <vt:i4>0</vt:i4>
      </vt:variant>
      <vt:variant>
        <vt:i4>5</vt:i4>
      </vt:variant>
      <vt:variant>
        <vt:lpwstr>https://explore-education-statistics.service.gov.uk/find-statistics/education-health-and-care-plans/2025</vt:lpwstr>
      </vt:variant>
      <vt:variant>
        <vt:lpwstr/>
      </vt:variant>
      <vt:variant>
        <vt:i4>6815783</vt:i4>
      </vt:variant>
      <vt:variant>
        <vt:i4>138</vt:i4>
      </vt:variant>
      <vt:variant>
        <vt:i4>0</vt:i4>
      </vt:variant>
      <vt:variant>
        <vt:i4>5</vt:i4>
      </vt:variant>
      <vt:variant>
        <vt:lpwstr>https://www.brighton-hove.gov.uk/directory-entry/brighton-hove-inclusion-support-service-bhiss</vt:lpwstr>
      </vt:variant>
      <vt:variant>
        <vt:lpwstr/>
      </vt:variant>
      <vt:variant>
        <vt:i4>6815783</vt:i4>
      </vt:variant>
      <vt:variant>
        <vt:i4>135</vt:i4>
      </vt:variant>
      <vt:variant>
        <vt:i4>0</vt:i4>
      </vt:variant>
      <vt:variant>
        <vt:i4>5</vt:i4>
      </vt:variant>
      <vt:variant>
        <vt:lpwstr>https://www.brighton-hove.gov.uk/directory-entry/brighton-hove-inclusion-support-service-bhiss</vt:lpwstr>
      </vt:variant>
      <vt:variant>
        <vt:lpwstr/>
      </vt:variant>
      <vt:variant>
        <vt:i4>3932208</vt:i4>
      </vt:variant>
      <vt:variant>
        <vt:i4>129</vt:i4>
      </vt:variant>
      <vt:variant>
        <vt:i4>0</vt:i4>
      </vt:variant>
      <vt:variant>
        <vt:i4>5</vt:i4>
      </vt:variant>
      <vt:variant>
        <vt:lpwstr>https://www.sussexcamhs.nhs.uk/</vt:lpwstr>
      </vt:variant>
      <vt:variant>
        <vt:lpwstr/>
      </vt:variant>
      <vt:variant>
        <vt:i4>6029325</vt:i4>
      </vt:variant>
      <vt:variant>
        <vt:i4>126</vt:i4>
      </vt:variant>
      <vt:variant>
        <vt:i4>0</vt:i4>
      </vt:variant>
      <vt:variant>
        <vt:i4>5</vt:i4>
      </vt:variant>
      <vt:variant>
        <vt:lpwstr>https://brightonandhovecc.sharepoint.com/sites/PublicHealthDocuments/Shared Documents/Intelligence/JSNA/In depth NAs/SEND LD ND 0to25 years/3 draft report/Find out about Best Start Family Hubs</vt:lpwstr>
      </vt:variant>
      <vt:variant>
        <vt:lpwstr/>
      </vt:variant>
      <vt:variant>
        <vt:i4>7340139</vt:i4>
      </vt:variant>
      <vt:variant>
        <vt:i4>123</vt:i4>
      </vt:variant>
      <vt:variant>
        <vt:i4>0</vt:i4>
      </vt:variant>
      <vt:variant>
        <vt:i4>5</vt:i4>
      </vt:variant>
      <vt:variant>
        <vt:lpwstr>https://ncb.us9.list-manage.com/track/click?u=93ca41ab24380caf57761bd37&amp;id=1e3ff83c46&amp;e=56aaa75c84</vt:lpwstr>
      </vt:variant>
      <vt:variant>
        <vt:lpwstr/>
      </vt:variant>
      <vt:variant>
        <vt:i4>131156</vt:i4>
      </vt:variant>
      <vt:variant>
        <vt:i4>105</vt:i4>
      </vt:variant>
      <vt:variant>
        <vt:i4>0</vt:i4>
      </vt:variant>
      <vt:variant>
        <vt:i4>5</vt:i4>
      </vt:variant>
      <vt:variant>
        <vt:lpwstr>https://www.gov.uk/government/publications/10-year-health-plan-for-england-fit-for-the-future</vt:lpwstr>
      </vt:variant>
      <vt:variant>
        <vt:lpwstr/>
      </vt:variant>
      <vt:variant>
        <vt:i4>2162721</vt:i4>
      </vt:variant>
      <vt:variant>
        <vt:i4>99</vt:i4>
      </vt:variant>
      <vt:variant>
        <vt:i4>0</vt:i4>
      </vt:variant>
      <vt:variant>
        <vt:i4>5</vt:i4>
      </vt:variant>
      <vt:variant>
        <vt:lpwstr>https://www.brighton-hove.gov.uk/special-educational-needs-and-disabilities</vt:lpwstr>
      </vt:variant>
      <vt:variant>
        <vt:lpwstr/>
      </vt:variant>
      <vt:variant>
        <vt:i4>5636109</vt:i4>
      </vt:variant>
      <vt:variant>
        <vt:i4>96</vt:i4>
      </vt:variant>
      <vt:variant>
        <vt:i4>0</vt:i4>
      </vt:variant>
      <vt:variant>
        <vt:i4>5</vt:i4>
      </vt:variant>
      <vt:variant>
        <vt:lpwstr>https://www.gov.uk/government/publications/valuing-people-a-new-strategy-for-learning-disability-for-the-21st-century</vt:lpwstr>
      </vt:variant>
      <vt:variant>
        <vt:lpwstr/>
      </vt:variant>
      <vt:variant>
        <vt:i4>458763</vt:i4>
      </vt:variant>
      <vt:variant>
        <vt:i4>87</vt:i4>
      </vt:variant>
      <vt:variant>
        <vt:i4>0</vt:i4>
      </vt:variant>
      <vt:variant>
        <vt:i4>5</vt:i4>
      </vt:variant>
      <vt:variant>
        <vt:lpwstr>https://democracy.brighton-hove.gov.uk/documents/s191709/Joint Strategic Needs Assessment JSNA Review.pdf</vt:lpwstr>
      </vt:variant>
      <vt:variant>
        <vt:lpwstr/>
      </vt:variant>
      <vt:variant>
        <vt:i4>1310773</vt:i4>
      </vt:variant>
      <vt:variant>
        <vt:i4>80</vt:i4>
      </vt:variant>
      <vt:variant>
        <vt:i4>0</vt:i4>
      </vt:variant>
      <vt:variant>
        <vt:i4>5</vt:i4>
      </vt:variant>
      <vt:variant>
        <vt:lpwstr/>
      </vt:variant>
      <vt:variant>
        <vt:lpwstr>_Toc218690649</vt:lpwstr>
      </vt:variant>
      <vt:variant>
        <vt:i4>1310773</vt:i4>
      </vt:variant>
      <vt:variant>
        <vt:i4>74</vt:i4>
      </vt:variant>
      <vt:variant>
        <vt:i4>0</vt:i4>
      </vt:variant>
      <vt:variant>
        <vt:i4>5</vt:i4>
      </vt:variant>
      <vt:variant>
        <vt:lpwstr/>
      </vt:variant>
      <vt:variant>
        <vt:lpwstr>_Toc218690648</vt:lpwstr>
      </vt:variant>
      <vt:variant>
        <vt:i4>1310773</vt:i4>
      </vt:variant>
      <vt:variant>
        <vt:i4>68</vt:i4>
      </vt:variant>
      <vt:variant>
        <vt:i4>0</vt:i4>
      </vt:variant>
      <vt:variant>
        <vt:i4>5</vt:i4>
      </vt:variant>
      <vt:variant>
        <vt:lpwstr/>
      </vt:variant>
      <vt:variant>
        <vt:lpwstr>_Toc218690647</vt:lpwstr>
      </vt:variant>
      <vt:variant>
        <vt:i4>1310773</vt:i4>
      </vt:variant>
      <vt:variant>
        <vt:i4>62</vt:i4>
      </vt:variant>
      <vt:variant>
        <vt:i4>0</vt:i4>
      </vt:variant>
      <vt:variant>
        <vt:i4>5</vt:i4>
      </vt:variant>
      <vt:variant>
        <vt:lpwstr/>
      </vt:variant>
      <vt:variant>
        <vt:lpwstr>_Toc218690646</vt:lpwstr>
      </vt:variant>
      <vt:variant>
        <vt:i4>1310773</vt:i4>
      </vt:variant>
      <vt:variant>
        <vt:i4>56</vt:i4>
      </vt:variant>
      <vt:variant>
        <vt:i4>0</vt:i4>
      </vt:variant>
      <vt:variant>
        <vt:i4>5</vt:i4>
      </vt:variant>
      <vt:variant>
        <vt:lpwstr/>
      </vt:variant>
      <vt:variant>
        <vt:lpwstr>_Toc218690645</vt:lpwstr>
      </vt:variant>
      <vt:variant>
        <vt:i4>1310773</vt:i4>
      </vt:variant>
      <vt:variant>
        <vt:i4>50</vt:i4>
      </vt:variant>
      <vt:variant>
        <vt:i4>0</vt:i4>
      </vt:variant>
      <vt:variant>
        <vt:i4>5</vt:i4>
      </vt:variant>
      <vt:variant>
        <vt:lpwstr/>
      </vt:variant>
      <vt:variant>
        <vt:lpwstr>_Toc218690644</vt:lpwstr>
      </vt:variant>
      <vt:variant>
        <vt:i4>1310773</vt:i4>
      </vt:variant>
      <vt:variant>
        <vt:i4>44</vt:i4>
      </vt:variant>
      <vt:variant>
        <vt:i4>0</vt:i4>
      </vt:variant>
      <vt:variant>
        <vt:i4>5</vt:i4>
      </vt:variant>
      <vt:variant>
        <vt:lpwstr/>
      </vt:variant>
      <vt:variant>
        <vt:lpwstr>_Toc218690643</vt:lpwstr>
      </vt:variant>
      <vt:variant>
        <vt:i4>1310773</vt:i4>
      </vt:variant>
      <vt:variant>
        <vt:i4>38</vt:i4>
      </vt:variant>
      <vt:variant>
        <vt:i4>0</vt:i4>
      </vt:variant>
      <vt:variant>
        <vt:i4>5</vt:i4>
      </vt:variant>
      <vt:variant>
        <vt:lpwstr/>
      </vt:variant>
      <vt:variant>
        <vt:lpwstr>_Toc218690642</vt:lpwstr>
      </vt:variant>
      <vt:variant>
        <vt:i4>1310773</vt:i4>
      </vt:variant>
      <vt:variant>
        <vt:i4>32</vt:i4>
      </vt:variant>
      <vt:variant>
        <vt:i4>0</vt:i4>
      </vt:variant>
      <vt:variant>
        <vt:i4>5</vt:i4>
      </vt:variant>
      <vt:variant>
        <vt:lpwstr/>
      </vt:variant>
      <vt:variant>
        <vt:lpwstr>_Toc218690641</vt:lpwstr>
      </vt:variant>
      <vt:variant>
        <vt:i4>1310773</vt:i4>
      </vt:variant>
      <vt:variant>
        <vt:i4>26</vt:i4>
      </vt:variant>
      <vt:variant>
        <vt:i4>0</vt:i4>
      </vt:variant>
      <vt:variant>
        <vt:i4>5</vt:i4>
      </vt:variant>
      <vt:variant>
        <vt:lpwstr/>
      </vt:variant>
      <vt:variant>
        <vt:lpwstr>_Toc218690640</vt:lpwstr>
      </vt:variant>
      <vt:variant>
        <vt:i4>1245237</vt:i4>
      </vt:variant>
      <vt:variant>
        <vt:i4>20</vt:i4>
      </vt:variant>
      <vt:variant>
        <vt:i4>0</vt:i4>
      </vt:variant>
      <vt:variant>
        <vt:i4>5</vt:i4>
      </vt:variant>
      <vt:variant>
        <vt:lpwstr/>
      </vt:variant>
      <vt:variant>
        <vt:lpwstr>_Toc218690639</vt:lpwstr>
      </vt:variant>
      <vt:variant>
        <vt:i4>1245237</vt:i4>
      </vt:variant>
      <vt:variant>
        <vt:i4>14</vt:i4>
      </vt:variant>
      <vt:variant>
        <vt:i4>0</vt:i4>
      </vt:variant>
      <vt:variant>
        <vt:i4>5</vt:i4>
      </vt:variant>
      <vt:variant>
        <vt:lpwstr/>
      </vt:variant>
      <vt:variant>
        <vt:lpwstr>_Toc218690638</vt:lpwstr>
      </vt:variant>
      <vt:variant>
        <vt:i4>1245237</vt:i4>
      </vt:variant>
      <vt:variant>
        <vt:i4>8</vt:i4>
      </vt:variant>
      <vt:variant>
        <vt:i4>0</vt:i4>
      </vt:variant>
      <vt:variant>
        <vt:i4>5</vt:i4>
      </vt:variant>
      <vt:variant>
        <vt:lpwstr/>
      </vt:variant>
      <vt:variant>
        <vt:lpwstr>_Toc218690637</vt:lpwstr>
      </vt:variant>
      <vt:variant>
        <vt:i4>1245237</vt:i4>
      </vt:variant>
      <vt:variant>
        <vt:i4>2</vt:i4>
      </vt:variant>
      <vt:variant>
        <vt:i4>0</vt:i4>
      </vt:variant>
      <vt:variant>
        <vt:i4>5</vt:i4>
      </vt:variant>
      <vt:variant>
        <vt:lpwstr/>
      </vt:variant>
      <vt:variant>
        <vt:lpwstr>_Toc218690636</vt:lpwstr>
      </vt:variant>
      <vt:variant>
        <vt:i4>5898246</vt:i4>
      </vt:variant>
      <vt:variant>
        <vt:i4>534</vt:i4>
      </vt:variant>
      <vt:variant>
        <vt:i4>0</vt:i4>
      </vt:variant>
      <vt:variant>
        <vt:i4>5</vt:i4>
      </vt:variant>
      <vt:variant>
        <vt:lpwstr>https://doi.org/10.53841/bpsecp.2022.39.1.76</vt:lpwstr>
      </vt:variant>
      <vt:variant>
        <vt:lpwstr/>
      </vt:variant>
      <vt:variant>
        <vt:i4>2359334</vt:i4>
      </vt:variant>
      <vt:variant>
        <vt:i4>531</vt:i4>
      </vt:variant>
      <vt:variant>
        <vt:i4>0</vt:i4>
      </vt:variant>
      <vt:variant>
        <vt:i4>5</vt:i4>
      </vt:variant>
      <vt:variant>
        <vt:lpwstr>https://doi.org/10.1787/dbb1e821-en</vt:lpwstr>
      </vt:variant>
      <vt:variant>
        <vt:lpwstr/>
      </vt:variant>
      <vt:variant>
        <vt:i4>1441881</vt:i4>
      </vt:variant>
      <vt:variant>
        <vt:i4>528</vt:i4>
      </vt:variant>
      <vt:variant>
        <vt:i4>0</vt:i4>
      </vt:variant>
      <vt:variant>
        <vt:i4>5</vt:i4>
      </vt:variant>
      <vt:variant>
        <vt:lpwstr>https://doi.org/10.1177/03085759211043255</vt:lpwstr>
      </vt:variant>
      <vt:variant>
        <vt:lpwstr/>
      </vt:variant>
      <vt:variant>
        <vt:i4>6422646</vt:i4>
      </vt:variant>
      <vt:variant>
        <vt:i4>525</vt:i4>
      </vt:variant>
      <vt:variant>
        <vt:i4>0</vt:i4>
      </vt:variant>
      <vt:variant>
        <vt:i4>5</vt:i4>
      </vt:variant>
      <vt:variant>
        <vt:lpwstr>https://doi.org/10.1037/ort0000505</vt:lpwstr>
      </vt:variant>
      <vt:variant>
        <vt:lpwstr/>
      </vt:variant>
      <vt:variant>
        <vt:i4>5046276</vt:i4>
      </vt:variant>
      <vt:variant>
        <vt:i4>522</vt:i4>
      </vt:variant>
      <vt:variant>
        <vt:i4>0</vt:i4>
      </vt:variant>
      <vt:variant>
        <vt:i4>5</vt:i4>
      </vt:variant>
      <vt:variant>
        <vt:lpwstr>https://doi.org/10.1016/j.jsp.2022.06.003</vt:lpwstr>
      </vt:variant>
      <vt:variant>
        <vt:lpwstr/>
      </vt:variant>
      <vt:variant>
        <vt:i4>5832782</vt:i4>
      </vt:variant>
      <vt:variant>
        <vt:i4>519</vt:i4>
      </vt:variant>
      <vt:variant>
        <vt:i4>0</vt:i4>
      </vt:variant>
      <vt:variant>
        <vt:i4>5</vt:i4>
      </vt:variant>
      <vt:variant>
        <vt:lpwstr>https://doi.org/10.1016/j.chiabu.2022.105582</vt:lpwstr>
      </vt:variant>
      <vt:variant>
        <vt:lpwstr/>
      </vt:variant>
      <vt:variant>
        <vt:i4>5767238</vt:i4>
      </vt:variant>
      <vt:variant>
        <vt:i4>516</vt:i4>
      </vt:variant>
      <vt:variant>
        <vt:i4>0</vt:i4>
      </vt:variant>
      <vt:variant>
        <vt:i4>5</vt:i4>
      </vt:variant>
      <vt:variant>
        <vt:lpwstr>https://doi.org/10.1016/j.chiabu.2023.106325</vt:lpwstr>
      </vt:variant>
      <vt:variant>
        <vt:lpwstr/>
      </vt:variant>
      <vt:variant>
        <vt:i4>1966164</vt:i4>
      </vt:variant>
      <vt:variant>
        <vt:i4>513</vt:i4>
      </vt:variant>
      <vt:variant>
        <vt:i4>0</vt:i4>
      </vt:variant>
      <vt:variant>
        <vt:i4>5</vt:i4>
      </vt:variant>
      <vt:variant>
        <vt:lpwstr>https://doi.org/10.1136/archdischild-2019-317985</vt:lpwstr>
      </vt:variant>
      <vt:variant>
        <vt:lpwstr/>
      </vt:variant>
      <vt:variant>
        <vt:i4>4456526</vt:i4>
      </vt:variant>
      <vt:variant>
        <vt:i4>510</vt:i4>
      </vt:variant>
      <vt:variant>
        <vt:i4>0</vt:i4>
      </vt:variant>
      <vt:variant>
        <vt:i4>5</vt:i4>
      </vt:variant>
      <vt:variant>
        <vt:lpwstr>https://doi.org/10.1371/journal.pmed.1003832</vt:lpwstr>
      </vt:variant>
      <vt:variant>
        <vt:lpwstr/>
      </vt:variant>
      <vt:variant>
        <vt:i4>6422646</vt:i4>
      </vt:variant>
      <vt:variant>
        <vt:i4>507</vt:i4>
      </vt:variant>
      <vt:variant>
        <vt:i4>0</vt:i4>
      </vt:variant>
      <vt:variant>
        <vt:i4>5</vt:i4>
      </vt:variant>
      <vt:variant>
        <vt:lpwstr>https://doi.org/10.1037/ort0000505</vt:lpwstr>
      </vt:variant>
      <vt:variant>
        <vt:lpwstr/>
      </vt:variant>
      <vt:variant>
        <vt:i4>1769552</vt:i4>
      </vt:variant>
      <vt:variant>
        <vt:i4>504</vt:i4>
      </vt:variant>
      <vt:variant>
        <vt:i4>0</vt:i4>
      </vt:variant>
      <vt:variant>
        <vt:i4>5</vt:i4>
      </vt:variant>
      <vt:variant>
        <vt:lpwstr>https://doi.org/10.1177/00380385221133710</vt:lpwstr>
      </vt:variant>
      <vt:variant>
        <vt:lpwstr/>
      </vt:variant>
      <vt:variant>
        <vt:i4>1769552</vt:i4>
      </vt:variant>
      <vt:variant>
        <vt:i4>501</vt:i4>
      </vt:variant>
      <vt:variant>
        <vt:i4>0</vt:i4>
      </vt:variant>
      <vt:variant>
        <vt:i4>5</vt:i4>
      </vt:variant>
      <vt:variant>
        <vt:lpwstr>https://doi.org/10.1177/00380385221133710</vt:lpwstr>
      </vt:variant>
      <vt:variant>
        <vt:lpwstr/>
      </vt:variant>
      <vt:variant>
        <vt:i4>2228285</vt:i4>
      </vt:variant>
      <vt:variant>
        <vt:i4>498</vt:i4>
      </vt:variant>
      <vt:variant>
        <vt:i4>0</vt:i4>
      </vt:variant>
      <vt:variant>
        <vt:i4>5</vt:i4>
      </vt:variant>
      <vt:variant>
        <vt:lpwstr>https://doi.org/10.1007/s10803-023-05996-7</vt:lpwstr>
      </vt:variant>
      <vt:variant>
        <vt:lpwstr/>
      </vt:variant>
      <vt:variant>
        <vt:i4>5963794</vt:i4>
      </vt:variant>
      <vt:variant>
        <vt:i4>495</vt:i4>
      </vt:variant>
      <vt:variant>
        <vt:i4>0</vt:i4>
      </vt:variant>
      <vt:variant>
        <vt:i4>5</vt:i4>
      </vt:variant>
      <vt:variant>
        <vt:lpwstr>https://doi.org/10.1001/jamapediatrics.2021.0054</vt:lpwstr>
      </vt:variant>
      <vt:variant>
        <vt:lpwstr/>
      </vt:variant>
      <vt:variant>
        <vt:i4>6815795</vt:i4>
      </vt:variant>
      <vt:variant>
        <vt:i4>492</vt:i4>
      </vt:variant>
      <vt:variant>
        <vt:i4>0</vt:i4>
      </vt:variant>
      <vt:variant>
        <vt:i4>5</vt:i4>
      </vt:variant>
      <vt:variant>
        <vt:lpwstr>https://doi.org/10.1007/s00787-024-02385-y</vt:lpwstr>
      </vt:variant>
      <vt:variant>
        <vt:lpwstr/>
      </vt:variant>
      <vt:variant>
        <vt:i4>327755</vt:i4>
      </vt:variant>
      <vt:variant>
        <vt:i4>489</vt:i4>
      </vt:variant>
      <vt:variant>
        <vt:i4>0</vt:i4>
      </vt:variant>
      <vt:variant>
        <vt:i4>5</vt:i4>
      </vt:variant>
      <vt:variant>
        <vt:lpwstr>https://doi.org/10.1080/01425692.2016.1273757</vt:lpwstr>
      </vt:variant>
      <vt:variant>
        <vt:lpwstr/>
      </vt:variant>
      <vt:variant>
        <vt:i4>131136</vt:i4>
      </vt:variant>
      <vt:variant>
        <vt:i4>486</vt:i4>
      </vt:variant>
      <vt:variant>
        <vt:i4>0</vt:i4>
      </vt:variant>
      <vt:variant>
        <vt:i4>5</vt:i4>
      </vt:variant>
      <vt:variant>
        <vt:lpwstr>https://doi.org/10.1080/02667363.2022.2100320</vt:lpwstr>
      </vt:variant>
      <vt:variant>
        <vt:lpwstr/>
      </vt:variant>
      <vt:variant>
        <vt:i4>7209014</vt:i4>
      </vt:variant>
      <vt:variant>
        <vt:i4>483</vt:i4>
      </vt:variant>
      <vt:variant>
        <vt:i4>0</vt:i4>
      </vt:variant>
      <vt:variant>
        <vt:i4>5</vt:i4>
      </vt:variant>
      <vt:variant>
        <vt:lpwstr>https://committees.parliament.uk/writtenevidence/91757/pdf/</vt:lpwstr>
      </vt:variant>
      <vt:variant>
        <vt:lpwstr/>
      </vt:variant>
      <vt:variant>
        <vt:i4>1638483</vt:i4>
      </vt:variant>
      <vt:variant>
        <vt:i4>480</vt:i4>
      </vt:variant>
      <vt:variant>
        <vt:i4>0</vt:i4>
      </vt:variant>
      <vt:variant>
        <vt:i4>5</vt:i4>
      </vt:variant>
      <vt:variant>
        <vt:lpwstr>https://doi.org/10.1177/1077800414557827</vt:lpwstr>
      </vt:variant>
      <vt:variant>
        <vt:lpwstr/>
      </vt:variant>
      <vt:variant>
        <vt:i4>7209014</vt:i4>
      </vt:variant>
      <vt:variant>
        <vt:i4>477</vt:i4>
      </vt:variant>
      <vt:variant>
        <vt:i4>0</vt:i4>
      </vt:variant>
      <vt:variant>
        <vt:i4>5</vt:i4>
      </vt:variant>
      <vt:variant>
        <vt:lpwstr>https://committees.parliament.uk/writtenevidence/91757/pdf/</vt:lpwstr>
      </vt:variant>
      <vt:variant>
        <vt:lpwstr/>
      </vt:variant>
      <vt:variant>
        <vt:i4>1114192</vt:i4>
      </vt:variant>
      <vt:variant>
        <vt:i4>474</vt:i4>
      </vt:variant>
      <vt:variant>
        <vt:i4>0</vt:i4>
      </vt:variant>
      <vt:variant>
        <vt:i4>5</vt:i4>
      </vt:variant>
      <vt:variant>
        <vt:lpwstr>https://doi.org/10.1177/0020872818808557</vt:lpwstr>
      </vt:variant>
      <vt:variant>
        <vt:lpwstr/>
      </vt:variant>
      <vt:variant>
        <vt:i4>852041</vt:i4>
      </vt:variant>
      <vt:variant>
        <vt:i4>471</vt:i4>
      </vt:variant>
      <vt:variant>
        <vt:i4>0</vt:i4>
      </vt:variant>
      <vt:variant>
        <vt:i4>5</vt:i4>
      </vt:variant>
      <vt:variant>
        <vt:lpwstr>https://doi.org/10.1080/17454832.2023.2185646</vt:lpwstr>
      </vt:variant>
      <vt:variant>
        <vt:lpwstr/>
      </vt:variant>
      <vt:variant>
        <vt:i4>1245277</vt:i4>
      </vt:variant>
      <vt:variant>
        <vt:i4>468</vt:i4>
      </vt:variant>
      <vt:variant>
        <vt:i4>0</vt:i4>
      </vt:variant>
      <vt:variant>
        <vt:i4>5</vt:i4>
      </vt:variant>
      <vt:variant>
        <vt:lpwstr>https://doi.org/10.1177/27526461241248194</vt:lpwstr>
      </vt:variant>
      <vt:variant>
        <vt:lpwstr/>
      </vt:variant>
      <vt:variant>
        <vt:i4>2359419</vt:i4>
      </vt:variant>
      <vt:variant>
        <vt:i4>465</vt:i4>
      </vt:variant>
      <vt:variant>
        <vt:i4>0</vt:i4>
      </vt:variant>
      <vt:variant>
        <vt:i4>5</vt:i4>
      </vt:variant>
      <vt:variant>
        <vt:lpwstr>https://www.specialneedsjungle.com/wp-content/uploads/2022/03/Race-and-SEND-Survey_Final_170322.pdf</vt:lpwstr>
      </vt:variant>
      <vt:variant>
        <vt:lpwstr/>
      </vt:variant>
      <vt:variant>
        <vt:i4>1114192</vt:i4>
      </vt:variant>
      <vt:variant>
        <vt:i4>462</vt:i4>
      </vt:variant>
      <vt:variant>
        <vt:i4>0</vt:i4>
      </vt:variant>
      <vt:variant>
        <vt:i4>5</vt:i4>
      </vt:variant>
      <vt:variant>
        <vt:lpwstr>https://doi.org/10.1177/0020872818808557</vt:lpwstr>
      </vt:variant>
      <vt:variant>
        <vt:lpwstr/>
      </vt:variant>
      <vt:variant>
        <vt:i4>7209014</vt:i4>
      </vt:variant>
      <vt:variant>
        <vt:i4>459</vt:i4>
      </vt:variant>
      <vt:variant>
        <vt:i4>0</vt:i4>
      </vt:variant>
      <vt:variant>
        <vt:i4>5</vt:i4>
      </vt:variant>
      <vt:variant>
        <vt:lpwstr>https://committees.parliament.uk/writtenevidence/91757/pdf/</vt:lpwstr>
      </vt:variant>
      <vt:variant>
        <vt:lpwstr/>
      </vt:variant>
      <vt:variant>
        <vt:i4>131136</vt:i4>
      </vt:variant>
      <vt:variant>
        <vt:i4>456</vt:i4>
      </vt:variant>
      <vt:variant>
        <vt:i4>0</vt:i4>
      </vt:variant>
      <vt:variant>
        <vt:i4>5</vt:i4>
      </vt:variant>
      <vt:variant>
        <vt:lpwstr>https://doi.org/10.1080/02667363.2022.2100320</vt:lpwstr>
      </vt:variant>
      <vt:variant>
        <vt:lpwstr/>
      </vt:variant>
      <vt:variant>
        <vt:i4>327746</vt:i4>
      </vt:variant>
      <vt:variant>
        <vt:i4>453</vt:i4>
      </vt:variant>
      <vt:variant>
        <vt:i4>0</vt:i4>
      </vt:variant>
      <vt:variant>
        <vt:i4>5</vt:i4>
      </vt:variant>
      <vt:variant>
        <vt:lpwstr>https://doi.org/10.1080/14643154.2019.1685756</vt:lpwstr>
      </vt:variant>
      <vt:variant>
        <vt:lpwstr/>
      </vt:variant>
      <vt:variant>
        <vt:i4>852041</vt:i4>
      </vt:variant>
      <vt:variant>
        <vt:i4>450</vt:i4>
      </vt:variant>
      <vt:variant>
        <vt:i4>0</vt:i4>
      </vt:variant>
      <vt:variant>
        <vt:i4>5</vt:i4>
      </vt:variant>
      <vt:variant>
        <vt:lpwstr>https://doi.org/10.1080/17454832.2023.2185646</vt:lpwstr>
      </vt:variant>
      <vt:variant>
        <vt:lpwstr/>
      </vt:variant>
      <vt:variant>
        <vt:i4>1245277</vt:i4>
      </vt:variant>
      <vt:variant>
        <vt:i4>447</vt:i4>
      </vt:variant>
      <vt:variant>
        <vt:i4>0</vt:i4>
      </vt:variant>
      <vt:variant>
        <vt:i4>5</vt:i4>
      </vt:variant>
      <vt:variant>
        <vt:lpwstr>https://doi.org/10.1177/27526461241248194</vt:lpwstr>
      </vt:variant>
      <vt:variant>
        <vt:lpwstr/>
      </vt:variant>
      <vt:variant>
        <vt:i4>7929974</vt:i4>
      </vt:variant>
      <vt:variant>
        <vt:i4>444</vt:i4>
      </vt:variant>
      <vt:variant>
        <vt:i4>0</vt:i4>
      </vt:variant>
      <vt:variant>
        <vt:i4>5</vt:i4>
      </vt:variant>
      <vt:variant>
        <vt:lpwstr>https://www.allfie.org.uk/wp-content/uploads/2024/04/FULL-REPORT-Lived-Experience-of-BGM-Disabled-Pupils-and-their-Families-in-Mainstream-Education-Apr-24.pdf</vt:lpwstr>
      </vt:variant>
      <vt:variant>
        <vt:lpwstr/>
      </vt:variant>
      <vt:variant>
        <vt:i4>131136</vt:i4>
      </vt:variant>
      <vt:variant>
        <vt:i4>441</vt:i4>
      </vt:variant>
      <vt:variant>
        <vt:i4>0</vt:i4>
      </vt:variant>
      <vt:variant>
        <vt:i4>5</vt:i4>
      </vt:variant>
      <vt:variant>
        <vt:lpwstr>https://doi.org/10.1080/02667363.2022.2100320</vt:lpwstr>
      </vt:variant>
      <vt:variant>
        <vt:lpwstr/>
      </vt:variant>
      <vt:variant>
        <vt:i4>1638483</vt:i4>
      </vt:variant>
      <vt:variant>
        <vt:i4>438</vt:i4>
      </vt:variant>
      <vt:variant>
        <vt:i4>0</vt:i4>
      </vt:variant>
      <vt:variant>
        <vt:i4>5</vt:i4>
      </vt:variant>
      <vt:variant>
        <vt:lpwstr>https://doi.org/10.1177/1077800414557827</vt:lpwstr>
      </vt:variant>
      <vt:variant>
        <vt:lpwstr/>
      </vt:variant>
      <vt:variant>
        <vt:i4>7209014</vt:i4>
      </vt:variant>
      <vt:variant>
        <vt:i4>435</vt:i4>
      </vt:variant>
      <vt:variant>
        <vt:i4>0</vt:i4>
      </vt:variant>
      <vt:variant>
        <vt:i4>5</vt:i4>
      </vt:variant>
      <vt:variant>
        <vt:lpwstr>https://committees.parliament.uk/writtenevidence/91757/pdf/</vt:lpwstr>
      </vt:variant>
      <vt:variant>
        <vt:lpwstr/>
      </vt:variant>
      <vt:variant>
        <vt:i4>131136</vt:i4>
      </vt:variant>
      <vt:variant>
        <vt:i4>432</vt:i4>
      </vt:variant>
      <vt:variant>
        <vt:i4>0</vt:i4>
      </vt:variant>
      <vt:variant>
        <vt:i4>5</vt:i4>
      </vt:variant>
      <vt:variant>
        <vt:lpwstr>https://doi.org/10.1080/02667363.2022.2100320</vt:lpwstr>
      </vt:variant>
      <vt:variant>
        <vt:lpwstr/>
      </vt:variant>
      <vt:variant>
        <vt:i4>1245277</vt:i4>
      </vt:variant>
      <vt:variant>
        <vt:i4>429</vt:i4>
      </vt:variant>
      <vt:variant>
        <vt:i4>0</vt:i4>
      </vt:variant>
      <vt:variant>
        <vt:i4>5</vt:i4>
      </vt:variant>
      <vt:variant>
        <vt:lpwstr>https://doi.org/10.1177/27526461241248194</vt:lpwstr>
      </vt:variant>
      <vt:variant>
        <vt:lpwstr/>
      </vt:variant>
      <vt:variant>
        <vt:i4>1245277</vt:i4>
      </vt:variant>
      <vt:variant>
        <vt:i4>426</vt:i4>
      </vt:variant>
      <vt:variant>
        <vt:i4>0</vt:i4>
      </vt:variant>
      <vt:variant>
        <vt:i4>5</vt:i4>
      </vt:variant>
      <vt:variant>
        <vt:lpwstr>https://doi.org/10.1177/27526461241248194</vt:lpwstr>
      </vt:variant>
      <vt:variant>
        <vt:lpwstr/>
      </vt:variant>
      <vt:variant>
        <vt:i4>1638483</vt:i4>
      </vt:variant>
      <vt:variant>
        <vt:i4>423</vt:i4>
      </vt:variant>
      <vt:variant>
        <vt:i4>0</vt:i4>
      </vt:variant>
      <vt:variant>
        <vt:i4>5</vt:i4>
      </vt:variant>
      <vt:variant>
        <vt:lpwstr>https://doi.org/10.1177/1077800414557827</vt:lpwstr>
      </vt:variant>
      <vt:variant>
        <vt:lpwstr/>
      </vt:variant>
      <vt:variant>
        <vt:i4>2359419</vt:i4>
      </vt:variant>
      <vt:variant>
        <vt:i4>420</vt:i4>
      </vt:variant>
      <vt:variant>
        <vt:i4>0</vt:i4>
      </vt:variant>
      <vt:variant>
        <vt:i4>5</vt:i4>
      </vt:variant>
      <vt:variant>
        <vt:lpwstr>https://www.specialneedsjungle.com/wp-content/uploads/2022/03/Race-and-SEND-Survey_Final_170322.pdf</vt:lpwstr>
      </vt:variant>
      <vt:variant>
        <vt:lpwstr/>
      </vt:variant>
      <vt:variant>
        <vt:i4>7209014</vt:i4>
      </vt:variant>
      <vt:variant>
        <vt:i4>417</vt:i4>
      </vt:variant>
      <vt:variant>
        <vt:i4>0</vt:i4>
      </vt:variant>
      <vt:variant>
        <vt:i4>5</vt:i4>
      </vt:variant>
      <vt:variant>
        <vt:lpwstr>https://committees.parliament.uk/writtenevidence/91757/pdf/</vt:lpwstr>
      </vt:variant>
      <vt:variant>
        <vt:lpwstr/>
      </vt:variant>
      <vt:variant>
        <vt:i4>131136</vt:i4>
      </vt:variant>
      <vt:variant>
        <vt:i4>414</vt:i4>
      </vt:variant>
      <vt:variant>
        <vt:i4>0</vt:i4>
      </vt:variant>
      <vt:variant>
        <vt:i4>5</vt:i4>
      </vt:variant>
      <vt:variant>
        <vt:lpwstr>https://doi.org/10.1080/02667363.2022.2100320</vt:lpwstr>
      </vt:variant>
      <vt:variant>
        <vt:lpwstr/>
      </vt:variant>
      <vt:variant>
        <vt:i4>1114192</vt:i4>
      </vt:variant>
      <vt:variant>
        <vt:i4>411</vt:i4>
      </vt:variant>
      <vt:variant>
        <vt:i4>0</vt:i4>
      </vt:variant>
      <vt:variant>
        <vt:i4>5</vt:i4>
      </vt:variant>
      <vt:variant>
        <vt:lpwstr>https://doi.org/10.1177/0020872818808557</vt:lpwstr>
      </vt:variant>
      <vt:variant>
        <vt:lpwstr/>
      </vt:variant>
      <vt:variant>
        <vt:i4>1245277</vt:i4>
      </vt:variant>
      <vt:variant>
        <vt:i4>408</vt:i4>
      </vt:variant>
      <vt:variant>
        <vt:i4>0</vt:i4>
      </vt:variant>
      <vt:variant>
        <vt:i4>5</vt:i4>
      </vt:variant>
      <vt:variant>
        <vt:lpwstr>https://doi.org/10.1177/27526461241248194</vt:lpwstr>
      </vt:variant>
      <vt:variant>
        <vt:lpwstr/>
      </vt:variant>
      <vt:variant>
        <vt:i4>7929974</vt:i4>
      </vt:variant>
      <vt:variant>
        <vt:i4>405</vt:i4>
      </vt:variant>
      <vt:variant>
        <vt:i4>0</vt:i4>
      </vt:variant>
      <vt:variant>
        <vt:i4>5</vt:i4>
      </vt:variant>
      <vt:variant>
        <vt:lpwstr>https://www.allfie.org.uk/wp-content/uploads/2024/04/FULL-REPORT-Lived-Experience-of-BGM-Disabled-Pupils-and-their-Families-in-Mainstream-Education-Apr-24.pdf</vt:lpwstr>
      </vt:variant>
      <vt:variant>
        <vt:lpwstr/>
      </vt:variant>
      <vt:variant>
        <vt:i4>1114192</vt:i4>
      </vt:variant>
      <vt:variant>
        <vt:i4>402</vt:i4>
      </vt:variant>
      <vt:variant>
        <vt:i4>0</vt:i4>
      </vt:variant>
      <vt:variant>
        <vt:i4>5</vt:i4>
      </vt:variant>
      <vt:variant>
        <vt:lpwstr>https://doi.org/10.1177/0020872818808557</vt:lpwstr>
      </vt:variant>
      <vt:variant>
        <vt:lpwstr/>
      </vt:variant>
      <vt:variant>
        <vt:i4>2359419</vt:i4>
      </vt:variant>
      <vt:variant>
        <vt:i4>399</vt:i4>
      </vt:variant>
      <vt:variant>
        <vt:i4>0</vt:i4>
      </vt:variant>
      <vt:variant>
        <vt:i4>5</vt:i4>
      </vt:variant>
      <vt:variant>
        <vt:lpwstr>https://www.specialneedsjungle.com/wp-content/uploads/2022/03/Race-and-SEND-Survey_Final_170322.pdf</vt:lpwstr>
      </vt:variant>
      <vt:variant>
        <vt:lpwstr/>
      </vt:variant>
      <vt:variant>
        <vt:i4>1638483</vt:i4>
      </vt:variant>
      <vt:variant>
        <vt:i4>396</vt:i4>
      </vt:variant>
      <vt:variant>
        <vt:i4>0</vt:i4>
      </vt:variant>
      <vt:variant>
        <vt:i4>5</vt:i4>
      </vt:variant>
      <vt:variant>
        <vt:lpwstr>https://doi.org/10.1177/1077800414557827</vt:lpwstr>
      </vt:variant>
      <vt:variant>
        <vt:lpwstr/>
      </vt:variant>
      <vt:variant>
        <vt:i4>1638483</vt:i4>
      </vt:variant>
      <vt:variant>
        <vt:i4>393</vt:i4>
      </vt:variant>
      <vt:variant>
        <vt:i4>0</vt:i4>
      </vt:variant>
      <vt:variant>
        <vt:i4>5</vt:i4>
      </vt:variant>
      <vt:variant>
        <vt:lpwstr>https://doi.org/10.1177/1077800414557827</vt:lpwstr>
      </vt:variant>
      <vt:variant>
        <vt:lpwstr/>
      </vt:variant>
      <vt:variant>
        <vt:i4>2359419</vt:i4>
      </vt:variant>
      <vt:variant>
        <vt:i4>390</vt:i4>
      </vt:variant>
      <vt:variant>
        <vt:i4>0</vt:i4>
      </vt:variant>
      <vt:variant>
        <vt:i4>5</vt:i4>
      </vt:variant>
      <vt:variant>
        <vt:lpwstr>https://www.specialneedsjungle.com/wp-content/uploads/2022/03/Race-and-SEND-Survey_Final_170322.pdf</vt:lpwstr>
      </vt:variant>
      <vt:variant>
        <vt:lpwstr/>
      </vt:variant>
      <vt:variant>
        <vt:i4>7209014</vt:i4>
      </vt:variant>
      <vt:variant>
        <vt:i4>387</vt:i4>
      </vt:variant>
      <vt:variant>
        <vt:i4>0</vt:i4>
      </vt:variant>
      <vt:variant>
        <vt:i4>5</vt:i4>
      </vt:variant>
      <vt:variant>
        <vt:lpwstr>https://committees.parliament.uk/writtenevidence/91757/pdf/</vt:lpwstr>
      </vt:variant>
      <vt:variant>
        <vt:lpwstr/>
      </vt:variant>
      <vt:variant>
        <vt:i4>852041</vt:i4>
      </vt:variant>
      <vt:variant>
        <vt:i4>384</vt:i4>
      </vt:variant>
      <vt:variant>
        <vt:i4>0</vt:i4>
      </vt:variant>
      <vt:variant>
        <vt:i4>5</vt:i4>
      </vt:variant>
      <vt:variant>
        <vt:lpwstr>https://doi.org/10.1080/17454832.2023.2185646</vt:lpwstr>
      </vt:variant>
      <vt:variant>
        <vt:lpwstr/>
      </vt:variant>
      <vt:variant>
        <vt:i4>1245277</vt:i4>
      </vt:variant>
      <vt:variant>
        <vt:i4>381</vt:i4>
      </vt:variant>
      <vt:variant>
        <vt:i4>0</vt:i4>
      </vt:variant>
      <vt:variant>
        <vt:i4>5</vt:i4>
      </vt:variant>
      <vt:variant>
        <vt:lpwstr>https://doi.org/10.1177/27526461241248194</vt:lpwstr>
      </vt:variant>
      <vt:variant>
        <vt:lpwstr/>
      </vt:variant>
      <vt:variant>
        <vt:i4>7929974</vt:i4>
      </vt:variant>
      <vt:variant>
        <vt:i4>378</vt:i4>
      </vt:variant>
      <vt:variant>
        <vt:i4>0</vt:i4>
      </vt:variant>
      <vt:variant>
        <vt:i4>5</vt:i4>
      </vt:variant>
      <vt:variant>
        <vt:lpwstr>https://www.allfie.org.uk/wp-content/uploads/2024/04/FULL-REPORT-Lived-Experience-of-BGM-Disabled-Pupils-and-their-Families-in-Mainstream-Education-Apr-24.pdf</vt:lpwstr>
      </vt:variant>
      <vt:variant>
        <vt:lpwstr/>
      </vt:variant>
      <vt:variant>
        <vt:i4>852041</vt:i4>
      </vt:variant>
      <vt:variant>
        <vt:i4>375</vt:i4>
      </vt:variant>
      <vt:variant>
        <vt:i4>0</vt:i4>
      </vt:variant>
      <vt:variant>
        <vt:i4>5</vt:i4>
      </vt:variant>
      <vt:variant>
        <vt:lpwstr>https://doi.org/10.1080/17454832.2023.2185646</vt:lpwstr>
      </vt:variant>
      <vt:variant>
        <vt:lpwstr/>
      </vt:variant>
      <vt:variant>
        <vt:i4>1638483</vt:i4>
      </vt:variant>
      <vt:variant>
        <vt:i4>372</vt:i4>
      </vt:variant>
      <vt:variant>
        <vt:i4>0</vt:i4>
      </vt:variant>
      <vt:variant>
        <vt:i4>5</vt:i4>
      </vt:variant>
      <vt:variant>
        <vt:lpwstr>https://doi.org/10.1177/1077800414557827</vt:lpwstr>
      </vt:variant>
      <vt:variant>
        <vt:lpwstr/>
      </vt:variant>
      <vt:variant>
        <vt:i4>1114192</vt:i4>
      </vt:variant>
      <vt:variant>
        <vt:i4>369</vt:i4>
      </vt:variant>
      <vt:variant>
        <vt:i4>0</vt:i4>
      </vt:variant>
      <vt:variant>
        <vt:i4>5</vt:i4>
      </vt:variant>
      <vt:variant>
        <vt:lpwstr>https://doi.org/10.1177/0020872818808557</vt:lpwstr>
      </vt:variant>
      <vt:variant>
        <vt:lpwstr/>
      </vt:variant>
      <vt:variant>
        <vt:i4>1638483</vt:i4>
      </vt:variant>
      <vt:variant>
        <vt:i4>366</vt:i4>
      </vt:variant>
      <vt:variant>
        <vt:i4>0</vt:i4>
      </vt:variant>
      <vt:variant>
        <vt:i4>5</vt:i4>
      </vt:variant>
      <vt:variant>
        <vt:lpwstr>https://doi.org/10.1177/1077800414557827</vt:lpwstr>
      </vt:variant>
      <vt:variant>
        <vt:lpwstr/>
      </vt:variant>
      <vt:variant>
        <vt:i4>65</vt:i4>
      </vt:variant>
      <vt:variant>
        <vt:i4>363</vt:i4>
      </vt:variant>
      <vt:variant>
        <vt:i4>0</vt:i4>
      </vt:variant>
      <vt:variant>
        <vt:i4>5</vt:i4>
      </vt:variant>
      <vt:variant>
        <vt:lpwstr>https://doi.org/10.1080/08856257.2020.1762988</vt:lpwstr>
      </vt:variant>
      <vt:variant>
        <vt:lpwstr/>
      </vt:variant>
      <vt:variant>
        <vt:i4>1114192</vt:i4>
      </vt:variant>
      <vt:variant>
        <vt:i4>360</vt:i4>
      </vt:variant>
      <vt:variant>
        <vt:i4>0</vt:i4>
      </vt:variant>
      <vt:variant>
        <vt:i4>5</vt:i4>
      </vt:variant>
      <vt:variant>
        <vt:lpwstr>https://doi.org/10.1177/0020872818808557</vt:lpwstr>
      </vt:variant>
      <vt:variant>
        <vt:lpwstr/>
      </vt:variant>
      <vt:variant>
        <vt:i4>1245277</vt:i4>
      </vt:variant>
      <vt:variant>
        <vt:i4>357</vt:i4>
      </vt:variant>
      <vt:variant>
        <vt:i4>0</vt:i4>
      </vt:variant>
      <vt:variant>
        <vt:i4>5</vt:i4>
      </vt:variant>
      <vt:variant>
        <vt:lpwstr>https://doi.org/10.1177/27526461241248194</vt:lpwstr>
      </vt:variant>
      <vt:variant>
        <vt:lpwstr/>
      </vt:variant>
      <vt:variant>
        <vt:i4>7929974</vt:i4>
      </vt:variant>
      <vt:variant>
        <vt:i4>354</vt:i4>
      </vt:variant>
      <vt:variant>
        <vt:i4>0</vt:i4>
      </vt:variant>
      <vt:variant>
        <vt:i4>5</vt:i4>
      </vt:variant>
      <vt:variant>
        <vt:lpwstr>https://www.allfie.org.uk/wp-content/uploads/2024/04/FULL-REPORT-Lived-Experience-of-BGM-Disabled-Pupils-and-their-Families-in-Mainstream-Education-Apr-24.pdf</vt:lpwstr>
      </vt:variant>
      <vt:variant>
        <vt:lpwstr/>
      </vt:variant>
      <vt:variant>
        <vt:i4>131136</vt:i4>
      </vt:variant>
      <vt:variant>
        <vt:i4>351</vt:i4>
      </vt:variant>
      <vt:variant>
        <vt:i4>0</vt:i4>
      </vt:variant>
      <vt:variant>
        <vt:i4>5</vt:i4>
      </vt:variant>
      <vt:variant>
        <vt:lpwstr>https://doi.org/10.1080/02667363.2022.2100320</vt:lpwstr>
      </vt:variant>
      <vt:variant>
        <vt:lpwstr/>
      </vt:variant>
      <vt:variant>
        <vt:i4>1638483</vt:i4>
      </vt:variant>
      <vt:variant>
        <vt:i4>348</vt:i4>
      </vt:variant>
      <vt:variant>
        <vt:i4>0</vt:i4>
      </vt:variant>
      <vt:variant>
        <vt:i4>5</vt:i4>
      </vt:variant>
      <vt:variant>
        <vt:lpwstr>https://doi.org/10.1177/1077800414557827</vt:lpwstr>
      </vt:variant>
      <vt:variant>
        <vt:lpwstr/>
      </vt:variant>
      <vt:variant>
        <vt:i4>7209014</vt:i4>
      </vt:variant>
      <vt:variant>
        <vt:i4>345</vt:i4>
      </vt:variant>
      <vt:variant>
        <vt:i4>0</vt:i4>
      </vt:variant>
      <vt:variant>
        <vt:i4>5</vt:i4>
      </vt:variant>
      <vt:variant>
        <vt:lpwstr>https://committees.parliament.uk/writtenevidence/91757/pdf/</vt:lpwstr>
      </vt:variant>
      <vt:variant>
        <vt:lpwstr/>
      </vt:variant>
      <vt:variant>
        <vt:i4>327755</vt:i4>
      </vt:variant>
      <vt:variant>
        <vt:i4>342</vt:i4>
      </vt:variant>
      <vt:variant>
        <vt:i4>0</vt:i4>
      </vt:variant>
      <vt:variant>
        <vt:i4>5</vt:i4>
      </vt:variant>
      <vt:variant>
        <vt:lpwstr>https://doi.org/10.1080/01425692.2016.1273757</vt:lpwstr>
      </vt:variant>
      <vt:variant>
        <vt:lpwstr/>
      </vt:variant>
      <vt:variant>
        <vt:i4>131136</vt:i4>
      </vt:variant>
      <vt:variant>
        <vt:i4>339</vt:i4>
      </vt:variant>
      <vt:variant>
        <vt:i4>0</vt:i4>
      </vt:variant>
      <vt:variant>
        <vt:i4>5</vt:i4>
      </vt:variant>
      <vt:variant>
        <vt:lpwstr>https://doi.org/10.1080/02667363.2022.2100320</vt:lpwstr>
      </vt:variant>
      <vt:variant>
        <vt:lpwstr/>
      </vt:variant>
      <vt:variant>
        <vt:i4>1245277</vt:i4>
      </vt:variant>
      <vt:variant>
        <vt:i4>336</vt:i4>
      </vt:variant>
      <vt:variant>
        <vt:i4>0</vt:i4>
      </vt:variant>
      <vt:variant>
        <vt:i4>5</vt:i4>
      </vt:variant>
      <vt:variant>
        <vt:lpwstr>https://doi.org/10.1177/27526461241248194</vt:lpwstr>
      </vt:variant>
      <vt:variant>
        <vt:lpwstr/>
      </vt:variant>
      <vt:variant>
        <vt:i4>7929974</vt:i4>
      </vt:variant>
      <vt:variant>
        <vt:i4>333</vt:i4>
      </vt:variant>
      <vt:variant>
        <vt:i4>0</vt:i4>
      </vt:variant>
      <vt:variant>
        <vt:i4>5</vt:i4>
      </vt:variant>
      <vt:variant>
        <vt:lpwstr>https://www.allfie.org.uk/wp-content/uploads/2024/04/FULL-REPORT-Lived-Experience-of-BGM-Disabled-Pupils-and-their-Families-in-Mainstream-Education-Apr-24.pdf</vt:lpwstr>
      </vt:variant>
      <vt:variant>
        <vt:lpwstr/>
      </vt:variant>
      <vt:variant>
        <vt:i4>327746</vt:i4>
      </vt:variant>
      <vt:variant>
        <vt:i4>330</vt:i4>
      </vt:variant>
      <vt:variant>
        <vt:i4>0</vt:i4>
      </vt:variant>
      <vt:variant>
        <vt:i4>5</vt:i4>
      </vt:variant>
      <vt:variant>
        <vt:lpwstr>https://doi.org/10.1080/14643154.2019.1685756</vt:lpwstr>
      </vt:variant>
      <vt:variant>
        <vt:lpwstr/>
      </vt:variant>
      <vt:variant>
        <vt:i4>65</vt:i4>
      </vt:variant>
      <vt:variant>
        <vt:i4>327</vt:i4>
      </vt:variant>
      <vt:variant>
        <vt:i4>0</vt:i4>
      </vt:variant>
      <vt:variant>
        <vt:i4>5</vt:i4>
      </vt:variant>
      <vt:variant>
        <vt:lpwstr>https://doi.org/10.1080/08856257.2020.1762988</vt:lpwstr>
      </vt:variant>
      <vt:variant>
        <vt:lpwstr/>
      </vt:variant>
      <vt:variant>
        <vt:i4>1245277</vt:i4>
      </vt:variant>
      <vt:variant>
        <vt:i4>324</vt:i4>
      </vt:variant>
      <vt:variant>
        <vt:i4>0</vt:i4>
      </vt:variant>
      <vt:variant>
        <vt:i4>5</vt:i4>
      </vt:variant>
      <vt:variant>
        <vt:lpwstr>https://doi.org/10.1177/27526461241248194</vt:lpwstr>
      </vt:variant>
      <vt:variant>
        <vt:lpwstr/>
      </vt:variant>
      <vt:variant>
        <vt:i4>7209014</vt:i4>
      </vt:variant>
      <vt:variant>
        <vt:i4>321</vt:i4>
      </vt:variant>
      <vt:variant>
        <vt:i4>0</vt:i4>
      </vt:variant>
      <vt:variant>
        <vt:i4>5</vt:i4>
      </vt:variant>
      <vt:variant>
        <vt:lpwstr>https://committees.parliament.uk/writtenevidence/91757/pdf/</vt:lpwstr>
      </vt:variant>
      <vt:variant>
        <vt:lpwstr/>
      </vt:variant>
      <vt:variant>
        <vt:i4>327755</vt:i4>
      </vt:variant>
      <vt:variant>
        <vt:i4>318</vt:i4>
      </vt:variant>
      <vt:variant>
        <vt:i4>0</vt:i4>
      </vt:variant>
      <vt:variant>
        <vt:i4>5</vt:i4>
      </vt:variant>
      <vt:variant>
        <vt:lpwstr>https://doi.org/10.1080/01425692.2016.1273757</vt:lpwstr>
      </vt:variant>
      <vt:variant>
        <vt:lpwstr/>
      </vt:variant>
      <vt:variant>
        <vt:i4>131136</vt:i4>
      </vt:variant>
      <vt:variant>
        <vt:i4>315</vt:i4>
      </vt:variant>
      <vt:variant>
        <vt:i4>0</vt:i4>
      </vt:variant>
      <vt:variant>
        <vt:i4>5</vt:i4>
      </vt:variant>
      <vt:variant>
        <vt:lpwstr>https://doi.org/10.1080/02667363.2022.2100320</vt:lpwstr>
      </vt:variant>
      <vt:variant>
        <vt:lpwstr/>
      </vt:variant>
      <vt:variant>
        <vt:i4>1245277</vt:i4>
      </vt:variant>
      <vt:variant>
        <vt:i4>312</vt:i4>
      </vt:variant>
      <vt:variant>
        <vt:i4>0</vt:i4>
      </vt:variant>
      <vt:variant>
        <vt:i4>5</vt:i4>
      </vt:variant>
      <vt:variant>
        <vt:lpwstr>https://doi.org/10.1177/27526461241248194</vt:lpwstr>
      </vt:variant>
      <vt:variant>
        <vt:lpwstr/>
      </vt:variant>
      <vt:variant>
        <vt:i4>1638483</vt:i4>
      </vt:variant>
      <vt:variant>
        <vt:i4>309</vt:i4>
      </vt:variant>
      <vt:variant>
        <vt:i4>0</vt:i4>
      </vt:variant>
      <vt:variant>
        <vt:i4>5</vt:i4>
      </vt:variant>
      <vt:variant>
        <vt:lpwstr>https://doi.org/10.1177/1077800414557827</vt:lpwstr>
      </vt:variant>
      <vt:variant>
        <vt:lpwstr/>
      </vt:variant>
      <vt:variant>
        <vt:i4>1638483</vt:i4>
      </vt:variant>
      <vt:variant>
        <vt:i4>306</vt:i4>
      </vt:variant>
      <vt:variant>
        <vt:i4>0</vt:i4>
      </vt:variant>
      <vt:variant>
        <vt:i4>5</vt:i4>
      </vt:variant>
      <vt:variant>
        <vt:lpwstr>https://doi.org/10.1177/1077800414557827</vt:lpwstr>
      </vt:variant>
      <vt:variant>
        <vt:lpwstr/>
      </vt:variant>
      <vt:variant>
        <vt:i4>2359419</vt:i4>
      </vt:variant>
      <vt:variant>
        <vt:i4>303</vt:i4>
      </vt:variant>
      <vt:variant>
        <vt:i4>0</vt:i4>
      </vt:variant>
      <vt:variant>
        <vt:i4>5</vt:i4>
      </vt:variant>
      <vt:variant>
        <vt:lpwstr>https://www.specialneedsjungle.com/wp-content/uploads/2022/03/Race-and-SEND-Survey_Final_170322.pdf</vt:lpwstr>
      </vt:variant>
      <vt:variant>
        <vt:lpwstr/>
      </vt:variant>
      <vt:variant>
        <vt:i4>327755</vt:i4>
      </vt:variant>
      <vt:variant>
        <vt:i4>300</vt:i4>
      </vt:variant>
      <vt:variant>
        <vt:i4>0</vt:i4>
      </vt:variant>
      <vt:variant>
        <vt:i4>5</vt:i4>
      </vt:variant>
      <vt:variant>
        <vt:lpwstr>https://doi.org/10.1080/01425692.2016.1273757</vt:lpwstr>
      </vt:variant>
      <vt:variant>
        <vt:lpwstr/>
      </vt:variant>
      <vt:variant>
        <vt:i4>2359419</vt:i4>
      </vt:variant>
      <vt:variant>
        <vt:i4>297</vt:i4>
      </vt:variant>
      <vt:variant>
        <vt:i4>0</vt:i4>
      </vt:variant>
      <vt:variant>
        <vt:i4>5</vt:i4>
      </vt:variant>
      <vt:variant>
        <vt:lpwstr>https://www.specialneedsjungle.com/wp-content/uploads/2022/03/Race-and-SEND-Survey_Final_170322.pdf</vt:lpwstr>
      </vt:variant>
      <vt:variant>
        <vt:lpwstr/>
      </vt:variant>
      <vt:variant>
        <vt:i4>7209014</vt:i4>
      </vt:variant>
      <vt:variant>
        <vt:i4>294</vt:i4>
      </vt:variant>
      <vt:variant>
        <vt:i4>0</vt:i4>
      </vt:variant>
      <vt:variant>
        <vt:i4>5</vt:i4>
      </vt:variant>
      <vt:variant>
        <vt:lpwstr>https://committees.parliament.uk/writtenevidence/91757/pdf/</vt:lpwstr>
      </vt:variant>
      <vt:variant>
        <vt:lpwstr/>
      </vt:variant>
      <vt:variant>
        <vt:i4>327755</vt:i4>
      </vt:variant>
      <vt:variant>
        <vt:i4>291</vt:i4>
      </vt:variant>
      <vt:variant>
        <vt:i4>0</vt:i4>
      </vt:variant>
      <vt:variant>
        <vt:i4>5</vt:i4>
      </vt:variant>
      <vt:variant>
        <vt:lpwstr>https://doi.org/10.1080/01425692.2016.1273757</vt:lpwstr>
      </vt:variant>
      <vt:variant>
        <vt:lpwstr/>
      </vt:variant>
      <vt:variant>
        <vt:i4>131136</vt:i4>
      </vt:variant>
      <vt:variant>
        <vt:i4>288</vt:i4>
      </vt:variant>
      <vt:variant>
        <vt:i4>0</vt:i4>
      </vt:variant>
      <vt:variant>
        <vt:i4>5</vt:i4>
      </vt:variant>
      <vt:variant>
        <vt:lpwstr>https://doi.org/10.1080/02667363.2022.2100320</vt:lpwstr>
      </vt:variant>
      <vt:variant>
        <vt:lpwstr/>
      </vt:variant>
      <vt:variant>
        <vt:i4>1245277</vt:i4>
      </vt:variant>
      <vt:variant>
        <vt:i4>285</vt:i4>
      </vt:variant>
      <vt:variant>
        <vt:i4>0</vt:i4>
      </vt:variant>
      <vt:variant>
        <vt:i4>5</vt:i4>
      </vt:variant>
      <vt:variant>
        <vt:lpwstr>https://doi.org/10.1177/27526461241248194</vt:lpwstr>
      </vt:variant>
      <vt:variant>
        <vt:lpwstr/>
      </vt:variant>
      <vt:variant>
        <vt:i4>1245277</vt:i4>
      </vt:variant>
      <vt:variant>
        <vt:i4>282</vt:i4>
      </vt:variant>
      <vt:variant>
        <vt:i4>0</vt:i4>
      </vt:variant>
      <vt:variant>
        <vt:i4>5</vt:i4>
      </vt:variant>
      <vt:variant>
        <vt:lpwstr>https://doi.org/10.1177/27526461241248194</vt:lpwstr>
      </vt:variant>
      <vt:variant>
        <vt:lpwstr/>
      </vt:variant>
      <vt:variant>
        <vt:i4>7209014</vt:i4>
      </vt:variant>
      <vt:variant>
        <vt:i4>279</vt:i4>
      </vt:variant>
      <vt:variant>
        <vt:i4>0</vt:i4>
      </vt:variant>
      <vt:variant>
        <vt:i4>5</vt:i4>
      </vt:variant>
      <vt:variant>
        <vt:lpwstr>https://committees.parliament.uk/writtenevidence/91757/pdf/</vt:lpwstr>
      </vt:variant>
      <vt:variant>
        <vt:lpwstr/>
      </vt:variant>
      <vt:variant>
        <vt:i4>131136</vt:i4>
      </vt:variant>
      <vt:variant>
        <vt:i4>276</vt:i4>
      </vt:variant>
      <vt:variant>
        <vt:i4>0</vt:i4>
      </vt:variant>
      <vt:variant>
        <vt:i4>5</vt:i4>
      </vt:variant>
      <vt:variant>
        <vt:lpwstr>https://doi.org/10.1080/02667363.2022.2100320</vt:lpwstr>
      </vt:variant>
      <vt:variant>
        <vt:lpwstr/>
      </vt:variant>
      <vt:variant>
        <vt:i4>1114192</vt:i4>
      </vt:variant>
      <vt:variant>
        <vt:i4>273</vt:i4>
      </vt:variant>
      <vt:variant>
        <vt:i4>0</vt:i4>
      </vt:variant>
      <vt:variant>
        <vt:i4>5</vt:i4>
      </vt:variant>
      <vt:variant>
        <vt:lpwstr>https://doi.org/10.1177/0020872818808557</vt:lpwstr>
      </vt:variant>
      <vt:variant>
        <vt:lpwstr/>
      </vt:variant>
      <vt:variant>
        <vt:i4>1245277</vt:i4>
      </vt:variant>
      <vt:variant>
        <vt:i4>270</vt:i4>
      </vt:variant>
      <vt:variant>
        <vt:i4>0</vt:i4>
      </vt:variant>
      <vt:variant>
        <vt:i4>5</vt:i4>
      </vt:variant>
      <vt:variant>
        <vt:lpwstr>https://doi.org/10.1177/27526461241248194</vt:lpwstr>
      </vt:variant>
      <vt:variant>
        <vt:lpwstr/>
      </vt:variant>
      <vt:variant>
        <vt:i4>7929974</vt:i4>
      </vt:variant>
      <vt:variant>
        <vt:i4>267</vt:i4>
      </vt:variant>
      <vt:variant>
        <vt:i4>0</vt:i4>
      </vt:variant>
      <vt:variant>
        <vt:i4>5</vt:i4>
      </vt:variant>
      <vt:variant>
        <vt:lpwstr>https://www.allfie.org.uk/wp-content/uploads/2024/04/FULL-REPORT-Lived-Experience-of-BGM-Disabled-Pupils-and-their-Families-in-Mainstream-Education-Apr-24.pdf</vt:lpwstr>
      </vt:variant>
      <vt:variant>
        <vt:lpwstr/>
      </vt:variant>
      <vt:variant>
        <vt:i4>327755</vt:i4>
      </vt:variant>
      <vt:variant>
        <vt:i4>264</vt:i4>
      </vt:variant>
      <vt:variant>
        <vt:i4>0</vt:i4>
      </vt:variant>
      <vt:variant>
        <vt:i4>5</vt:i4>
      </vt:variant>
      <vt:variant>
        <vt:lpwstr>https://doi.org/10.1080/01425692.2016.1273757</vt:lpwstr>
      </vt:variant>
      <vt:variant>
        <vt:lpwstr/>
      </vt:variant>
      <vt:variant>
        <vt:i4>7209014</vt:i4>
      </vt:variant>
      <vt:variant>
        <vt:i4>261</vt:i4>
      </vt:variant>
      <vt:variant>
        <vt:i4>0</vt:i4>
      </vt:variant>
      <vt:variant>
        <vt:i4>5</vt:i4>
      </vt:variant>
      <vt:variant>
        <vt:lpwstr>https://committees.parliament.uk/writtenevidence/91757/pdf/</vt:lpwstr>
      </vt:variant>
      <vt:variant>
        <vt:lpwstr/>
      </vt:variant>
      <vt:variant>
        <vt:i4>65</vt:i4>
      </vt:variant>
      <vt:variant>
        <vt:i4>258</vt:i4>
      </vt:variant>
      <vt:variant>
        <vt:i4>0</vt:i4>
      </vt:variant>
      <vt:variant>
        <vt:i4>5</vt:i4>
      </vt:variant>
      <vt:variant>
        <vt:lpwstr>https://doi.org/10.1080/08856257.2020.1762988</vt:lpwstr>
      </vt:variant>
      <vt:variant>
        <vt:lpwstr/>
      </vt:variant>
      <vt:variant>
        <vt:i4>327755</vt:i4>
      </vt:variant>
      <vt:variant>
        <vt:i4>255</vt:i4>
      </vt:variant>
      <vt:variant>
        <vt:i4>0</vt:i4>
      </vt:variant>
      <vt:variant>
        <vt:i4>5</vt:i4>
      </vt:variant>
      <vt:variant>
        <vt:lpwstr>https://doi.org/10.1080/01425692.2016.1273757</vt:lpwstr>
      </vt:variant>
      <vt:variant>
        <vt:lpwstr/>
      </vt:variant>
      <vt:variant>
        <vt:i4>131136</vt:i4>
      </vt:variant>
      <vt:variant>
        <vt:i4>252</vt:i4>
      </vt:variant>
      <vt:variant>
        <vt:i4>0</vt:i4>
      </vt:variant>
      <vt:variant>
        <vt:i4>5</vt:i4>
      </vt:variant>
      <vt:variant>
        <vt:lpwstr>https://doi.org/10.1080/02667363.2022.2100320</vt:lpwstr>
      </vt:variant>
      <vt:variant>
        <vt:lpwstr/>
      </vt:variant>
      <vt:variant>
        <vt:i4>1245277</vt:i4>
      </vt:variant>
      <vt:variant>
        <vt:i4>249</vt:i4>
      </vt:variant>
      <vt:variant>
        <vt:i4>0</vt:i4>
      </vt:variant>
      <vt:variant>
        <vt:i4>5</vt:i4>
      </vt:variant>
      <vt:variant>
        <vt:lpwstr>https://doi.org/10.1177/27526461241248194</vt:lpwstr>
      </vt:variant>
      <vt:variant>
        <vt:lpwstr/>
      </vt:variant>
      <vt:variant>
        <vt:i4>327755</vt:i4>
      </vt:variant>
      <vt:variant>
        <vt:i4>246</vt:i4>
      </vt:variant>
      <vt:variant>
        <vt:i4>0</vt:i4>
      </vt:variant>
      <vt:variant>
        <vt:i4>5</vt:i4>
      </vt:variant>
      <vt:variant>
        <vt:lpwstr>https://doi.org/10.1080/01425692.2016.1273757</vt:lpwstr>
      </vt:variant>
      <vt:variant>
        <vt:lpwstr/>
      </vt:variant>
      <vt:variant>
        <vt:i4>131136</vt:i4>
      </vt:variant>
      <vt:variant>
        <vt:i4>243</vt:i4>
      </vt:variant>
      <vt:variant>
        <vt:i4>0</vt:i4>
      </vt:variant>
      <vt:variant>
        <vt:i4>5</vt:i4>
      </vt:variant>
      <vt:variant>
        <vt:lpwstr>https://doi.org/10.1080/02667363.2022.2100320</vt:lpwstr>
      </vt:variant>
      <vt:variant>
        <vt:lpwstr/>
      </vt:variant>
      <vt:variant>
        <vt:i4>1245277</vt:i4>
      </vt:variant>
      <vt:variant>
        <vt:i4>240</vt:i4>
      </vt:variant>
      <vt:variant>
        <vt:i4>0</vt:i4>
      </vt:variant>
      <vt:variant>
        <vt:i4>5</vt:i4>
      </vt:variant>
      <vt:variant>
        <vt:lpwstr>https://doi.org/10.1177/27526461241248194</vt:lpwstr>
      </vt:variant>
      <vt:variant>
        <vt:lpwstr/>
      </vt:variant>
      <vt:variant>
        <vt:i4>7929974</vt:i4>
      </vt:variant>
      <vt:variant>
        <vt:i4>237</vt:i4>
      </vt:variant>
      <vt:variant>
        <vt:i4>0</vt:i4>
      </vt:variant>
      <vt:variant>
        <vt:i4>5</vt:i4>
      </vt:variant>
      <vt:variant>
        <vt:lpwstr>https://www.allfie.org.uk/wp-content/uploads/2024/04/FULL-REPORT-Lived-Experience-of-BGM-Disabled-Pupils-and-their-Families-in-Mainstream-Education-Apr-24.pdf</vt:lpwstr>
      </vt:variant>
      <vt:variant>
        <vt:lpwstr/>
      </vt:variant>
      <vt:variant>
        <vt:i4>74</vt:i4>
      </vt:variant>
      <vt:variant>
        <vt:i4>234</vt:i4>
      </vt:variant>
      <vt:variant>
        <vt:i4>0</vt:i4>
      </vt:variant>
      <vt:variant>
        <vt:i4>5</vt:i4>
      </vt:variant>
      <vt:variant>
        <vt:lpwstr>https://doi.org/10.1080/08893675.2017.1266201</vt:lpwstr>
      </vt:variant>
      <vt:variant>
        <vt:lpwstr/>
      </vt:variant>
      <vt:variant>
        <vt:i4>1114192</vt:i4>
      </vt:variant>
      <vt:variant>
        <vt:i4>231</vt:i4>
      </vt:variant>
      <vt:variant>
        <vt:i4>0</vt:i4>
      </vt:variant>
      <vt:variant>
        <vt:i4>5</vt:i4>
      </vt:variant>
      <vt:variant>
        <vt:lpwstr>https://doi.org/10.1177/0020872818808557</vt:lpwstr>
      </vt:variant>
      <vt:variant>
        <vt:lpwstr/>
      </vt:variant>
      <vt:variant>
        <vt:i4>852041</vt:i4>
      </vt:variant>
      <vt:variant>
        <vt:i4>228</vt:i4>
      </vt:variant>
      <vt:variant>
        <vt:i4>0</vt:i4>
      </vt:variant>
      <vt:variant>
        <vt:i4>5</vt:i4>
      </vt:variant>
      <vt:variant>
        <vt:lpwstr>https://doi.org/10.1080/17454832.2023.2185646</vt:lpwstr>
      </vt:variant>
      <vt:variant>
        <vt:lpwstr/>
      </vt:variant>
      <vt:variant>
        <vt:i4>1245277</vt:i4>
      </vt:variant>
      <vt:variant>
        <vt:i4>225</vt:i4>
      </vt:variant>
      <vt:variant>
        <vt:i4>0</vt:i4>
      </vt:variant>
      <vt:variant>
        <vt:i4>5</vt:i4>
      </vt:variant>
      <vt:variant>
        <vt:lpwstr>https://doi.org/10.1177/27526461241248194</vt:lpwstr>
      </vt:variant>
      <vt:variant>
        <vt:lpwstr/>
      </vt:variant>
      <vt:variant>
        <vt:i4>7929974</vt:i4>
      </vt:variant>
      <vt:variant>
        <vt:i4>222</vt:i4>
      </vt:variant>
      <vt:variant>
        <vt:i4>0</vt:i4>
      </vt:variant>
      <vt:variant>
        <vt:i4>5</vt:i4>
      </vt:variant>
      <vt:variant>
        <vt:lpwstr>https://www.allfie.org.uk/wp-content/uploads/2024/04/FULL-REPORT-Lived-Experience-of-BGM-Disabled-Pupils-and-their-Families-in-Mainstream-Education-Apr-24.pdf</vt:lpwstr>
      </vt:variant>
      <vt:variant>
        <vt:lpwstr/>
      </vt:variant>
      <vt:variant>
        <vt:i4>5636134</vt:i4>
      </vt:variant>
      <vt:variant>
        <vt:i4>219</vt:i4>
      </vt:variant>
      <vt:variant>
        <vt:i4>0</vt:i4>
      </vt:variant>
      <vt:variant>
        <vt:i4>5</vt:i4>
      </vt:variant>
      <vt:variant>
        <vt:lpwstr>https://www.education.ox.ac.uk/wp-content/uploads/2018/08/Executive-Summary_2018-12-20.pdf</vt:lpwstr>
      </vt:variant>
      <vt:variant>
        <vt:lpwstr/>
      </vt:variant>
      <vt:variant>
        <vt:i4>5963794</vt:i4>
      </vt:variant>
      <vt:variant>
        <vt:i4>216</vt:i4>
      </vt:variant>
      <vt:variant>
        <vt:i4>0</vt:i4>
      </vt:variant>
      <vt:variant>
        <vt:i4>5</vt:i4>
      </vt:variant>
      <vt:variant>
        <vt:lpwstr>https://doi.org/10.1001/jamapediatrics.2021.0054</vt:lpwstr>
      </vt:variant>
      <vt:variant>
        <vt:lpwstr/>
      </vt:variant>
      <vt:variant>
        <vt:i4>1835097</vt:i4>
      </vt:variant>
      <vt:variant>
        <vt:i4>213</vt:i4>
      </vt:variant>
      <vt:variant>
        <vt:i4>0</vt:i4>
      </vt:variant>
      <vt:variant>
        <vt:i4>5</vt:i4>
      </vt:variant>
      <vt:variant>
        <vt:lpwstr>https://doi.org/10.1177/0014402921990895</vt:lpwstr>
      </vt:variant>
      <vt:variant>
        <vt:lpwstr/>
      </vt:variant>
      <vt:variant>
        <vt:i4>720988</vt:i4>
      </vt:variant>
      <vt:variant>
        <vt:i4>210</vt:i4>
      </vt:variant>
      <vt:variant>
        <vt:i4>0</vt:i4>
      </vt:variant>
      <vt:variant>
        <vt:i4>5</vt:i4>
      </vt:variant>
      <vt:variant>
        <vt:lpwstr>https://educationinspection.blog.gov.uk/2019/05/10/what-is-off-rolling-and-how-does-ofsted-look-at-it-on-inspection/</vt:lpwstr>
      </vt:variant>
      <vt:variant>
        <vt:lpwstr/>
      </vt:variant>
      <vt:variant>
        <vt:i4>2949224</vt:i4>
      </vt:variant>
      <vt:variant>
        <vt:i4>207</vt:i4>
      </vt:variant>
      <vt:variant>
        <vt:i4>0</vt:i4>
      </vt:variant>
      <vt:variant>
        <vt:i4>5</vt:i4>
      </vt:variant>
      <vt:variant>
        <vt:lpwstr>https://explore-education-statistics.service.gov.uk/find-statistics/widening-participation-in-higher-education</vt:lpwstr>
      </vt:variant>
      <vt:variant>
        <vt:lpwstr/>
      </vt:variant>
      <vt:variant>
        <vt:i4>8257651</vt:i4>
      </vt:variant>
      <vt:variant>
        <vt:i4>204</vt:i4>
      </vt:variant>
      <vt:variant>
        <vt:i4>0</vt:i4>
      </vt:variant>
      <vt:variant>
        <vt:i4>5</vt:i4>
      </vt:variant>
      <vt:variant>
        <vt:lpwstr>https://explore-education-statistics.service.gov.uk/find-statistics/16-18-destination-measures</vt:lpwstr>
      </vt:variant>
      <vt:variant>
        <vt:lpwstr/>
      </vt:variant>
      <vt:variant>
        <vt:i4>5439505</vt:i4>
      </vt:variant>
      <vt:variant>
        <vt:i4>201</vt:i4>
      </vt:variant>
      <vt:variant>
        <vt:i4>0</vt:i4>
      </vt:variant>
      <vt:variant>
        <vt:i4>5</vt:i4>
      </vt:variant>
      <vt:variant>
        <vt:lpwstr>https://explore-education-statistics.service.gov.uk/find-statistics/participation-in-education-training-and-neet-age-16-to-17-by-local-authority</vt:lpwstr>
      </vt:variant>
      <vt:variant>
        <vt:lpwstr/>
      </vt:variant>
      <vt:variant>
        <vt:i4>8257658</vt:i4>
      </vt:variant>
      <vt:variant>
        <vt:i4>198</vt:i4>
      </vt:variant>
      <vt:variant>
        <vt:i4>0</vt:i4>
      </vt:variant>
      <vt:variant>
        <vt:i4>5</vt:i4>
      </vt:variant>
      <vt:variant>
        <vt:lpwstr>https://explore-education-statistics.service.gov.uk/find-statistics/suspensions-and-permanent-exclusions-in-england</vt:lpwstr>
      </vt:variant>
      <vt:variant>
        <vt:lpwstr/>
      </vt:variant>
      <vt:variant>
        <vt:i4>5308430</vt:i4>
      </vt:variant>
      <vt:variant>
        <vt:i4>195</vt:i4>
      </vt:variant>
      <vt:variant>
        <vt:i4>0</vt:i4>
      </vt:variant>
      <vt:variant>
        <vt:i4>5</vt:i4>
      </vt:variant>
      <vt:variant>
        <vt:lpwstr>https://www.brighton-hove.gov.uk/schools-and-learning/children-not-school/home-tuition-children-unable-go-school</vt:lpwstr>
      </vt:variant>
      <vt:variant>
        <vt:lpwstr/>
      </vt:variant>
      <vt:variant>
        <vt:i4>524358</vt:i4>
      </vt:variant>
      <vt:variant>
        <vt:i4>192</vt:i4>
      </vt:variant>
      <vt:variant>
        <vt:i4>0</vt:i4>
      </vt:variant>
      <vt:variant>
        <vt:i4>5</vt:i4>
      </vt:variant>
      <vt:variant>
        <vt:lpwstr>https://www.brighton-hove.gov.uk/schools-and-learning/home-education/how-educate-your-child-home</vt:lpwstr>
      </vt:variant>
      <vt:variant>
        <vt:lpwstr/>
      </vt:variant>
      <vt:variant>
        <vt:i4>4194335</vt:i4>
      </vt:variant>
      <vt:variant>
        <vt:i4>189</vt:i4>
      </vt:variant>
      <vt:variant>
        <vt:i4>0</vt:i4>
      </vt:variant>
      <vt:variant>
        <vt:i4>5</vt:i4>
      </vt:variant>
      <vt:variant>
        <vt:lpwstr>https://www.gov.uk/government/publications/working-together-to-improve-school-attendance</vt:lpwstr>
      </vt:variant>
      <vt:variant>
        <vt:lpwstr/>
      </vt:variant>
      <vt:variant>
        <vt:i4>3342370</vt:i4>
      </vt:variant>
      <vt:variant>
        <vt:i4>186</vt:i4>
      </vt:variant>
      <vt:variant>
        <vt:i4>0</vt:i4>
      </vt:variant>
      <vt:variant>
        <vt:i4>5</vt:i4>
      </vt:variant>
      <vt:variant>
        <vt:lpwstr>https://explore-education-statistics.service.gov.uk/find-statistics/pupil-absence-in-schools-in-england</vt:lpwstr>
      </vt:variant>
      <vt:variant>
        <vt:lpwstr/>
      </vt:variant>
      <vt:variant>
        <vt:i4>3342370</vt:i4>
      </vt:variant>
      <vt:variant>
        <vt:i4>183</vt:i4>
      </vt:variant>
      <vt:variant>
        <vt:i4>0</vt:i4>
      </vt:variant>
      <vt:variant>
        <vt:i4>5</vt:i4>
      </vt:variant>
      <vt:variant>
        <vt:lpwstr>https://explore-education-statistics.service.gov.uk/find-statistics/pupil-absence-in-schools-in-england</vt:lpwstr>
      </vt:variant>
      <vt:variant>
        <vt:lpwstr/>
      </vt:variant>
      <vt:variant>
        <vt:i4>3932196</vt:i4>
      </vt:variant>
      <vt:variant>
        <vt:i4>180</vt:i4>
      </vt:variant>
      <vt:variant>
        <vt:i4>0</vt:i4>
      </vt:variant>
      <vt:variant>
        <vt:i4>5</vt:i4>
      </vt:variant>
      <vt:variant>
        <vt:lpwstr>https://explore-education-statistics.service.gov.uk/find-statistics/key-stage-4-performance/2023-24</vt:lpwstr>
      </vt:variant>
      <vt:variant>
        <vt:lpwstr/>
      </vt:variant>
      <vt:variant>
        <vt:i4>6357118</vt:i4>
      </vt:variant>
      <vt:variant>
        <vt:i4>177</vt:i4>
      </vt:variant>
      <vt:variant>
        <vt:i4>0</vt:i4>
      </vt:variant>
      <vt:variant>
        <vt:i4>5</vt:i4>
      </vt:variant>
      <vt:variant>
        <vt:lpwstr>https://explore-education-statistics.service.gov.uk/find-statistics/key-stage-2-attainment</vt:lpwstr>
      </vt:variant>
      <vt:variant>
        <vt:lpwstr>dataBlock-20396943-b6de-452a-a0e6-b46d285f5de4-tables</vt:lpwstr>
      </vt:variant>
      <vt:variant>
        <vt:i4>2424878</vt:i4>
      </vt:variant>
      <vt:variant>
        <vt:i4>174</vt:i4>
      </vt:variant>
      <vt:variant>
        <vt:i4>0</vt:i4>
      </vt:variant>
      <vt:variant>
        <vt:i4>5</vt:i4>
      </vt:variant>
      <vt:variant>
        <vt:lpwstr>https://explore-education-statistics.service.gov.uk/find-statistics/phonics-screening-check-attainment</vt:lpwstr>
      </vt:variant>
      <vt:variant>
        <vt:lpwstr/>
      </vt:variant>
      <vt:variant>
        <vt:i4>6619257</vt:i4>
      </vt:variant>
      <vt:variant>
        <vt:i4>171</vt:i4>
      </vt:variant>
      <vt:variant>
        <vt:i4>0</vt:i4>
      </vt:variant>
      <vt:variant>
        <vt:i4>5</vt:i4>
      </vt:variant>
      <vt:variant>
        <vt:lpwstr>https://digital.nhs.uk/data-and-information/publications/statistical/autism-statistics</vt:lpwstr>
      </vt:variant>
      <vt:variant>
        <vt:lpwstr/>
      </vt:variant>
      <vt:variant>
        <vt:i4>4653134</vt:i4>
      </vt:variant>
      <vt:variant>
        <vt:i4>168</vt:i4>
      </vt:variant>
      <vt:variant>
        <vt:i4>0</vt:i4>
      </vt:variant>
      <vt:variant>
        <vt:i4>5</vt:i4>
      </vt:variant>
      <vt:variant>
        <vt:lpwstr>https://www.brighton-hove.gov.uk/joint-strategic-needs-assessment-jsna/key-evidence-reports-and-briefings/health-counts-2024</vt:lpwstr>
      </vt:variant>
      <vt:variant>
        <vt:lpwstr/>
      </vt:variant>
      <vt:variant>
        <vt:i4>3801194</vt:i4>
      </vt:variant>
      <vt:variant>
        <vt:i4>165</vt:i4>
      </vt:variant>
      <vt:variant>
        <vt:i4>0</vt:i4>
      </vt:variant>
      <vt:variant>
        <vt:i4>5</vt:i4>
      </vt:variant>
      <vt:variant>
        <vt:lpwstr>https://www.brighton-hove.gov.uk/joint-strategic-needs-assessment-jsna/key-evidence-reports-and-briefings/safe-and-well-school</vt:lpwstr>
      </vt:variant>
      <vt:variant>
        <vt:lpwstr/>
      </vt:variant>
      <vt:variant>
        <vt:i4>3276856</vt:i4>
      </vt:variant>
      <vt:variant>
        <vt:i4>162</vt:i4>
      </vt:variant>
      <vt:variant>
        <vt:i4>0</vt:i4>
      </vt:variant>
      <vt:variant>
        <vt:i4>5</vt:i4>
      </vt:variant>
      <vt:variant>
        <vt:lpwstr>https://explore-education-statistics.service.gov.uk/data-tables/permalink/7a0ad165-5209-44b0-7d77-08dde95299cd</vt:lpwstr>
      </vt:variant>
      <vt:variant>
        <vt:lpwstr/>
      </vt:variant>
      <vt:variant>
        <vt:i4>3276856</vt:i4>
      </vt:variant>
      <vt:variant>
        <vt:i4>159</vt:i4>
      </vt:variant>
      <vt:variant>
        <vt:i4>0</vt:i4>
      </vt:variant>
      <vt:variant>
        <vt:i4>5</vt:i4>
      </vt:variant>
      <vt:variant>
        <vt:lpwstr>https://explore-education-statistics.service.gov.uk/data-tables/permalink/7a0ad165-5209-44b0-7d77-08dde95299cd</vt:lpwstr>
      </vt:variant>
      <vt:variant>
        <vt:lpwstr/>
      </vt:variant>
      <vt:variant>
        <vt:i4>3276856</vt:i4>
      </vt:variant>
      <vt:variant>
        <vt:i4>156</vt:i4>
      </vt:variant>
      <vt:variant>
        <vt:i4>0</vt:i4>
      </vt:variant>
      <vt:variant>
        <vt:i4>5</vt:i4>
      </vt:variant>
      <vt:variant>
        <vt:lpwstr>https://explore-education-statistics.service.gov.uk/data-tables/permalink/7a0ad165-5209-44b0-7d77-08dde95299cd</vt:lpwstr>
      </vt:variant>
      <vt:variant>
        <vt:lpwstr/>
      </vt:variant>
      <vt:variant>
        <vt:i4>4194314</vt:i4>
      </vt:variant>
      <vt:variant>
        <vt:i4>153</vt:i4>
      </vt:variant>
      <vt:variant>
        <vt:i4>0</vt:i4>
      </vt:variant>
      <vt:variant>
        <vt:i4>5</vt:i4>
      </vt:variant>
      <vt:variant>
        <vt:lpwstr>https://explore-education-statistics.service.gov.uk/find-statistics/special-educational-needs-in-england</vt:lpwstr>
      </vt:variant>
      <vt:variant>
        <vt:lpwstr/>
      </vt:variant>
      <vt:variant>
        <vt:i4>7143529</vt:i4>
      </vt:variant>
      <vt:variant>
        <vt:i4>150</vt:i4>
      </vt:variant>
      <vt:variant>
        <vt:i4>0</vt:i4>
      </vt:variant>
      <vt:variant>
        <vt:i4>5</vt:i4>
      </vt:variant>
      <vt:variant>
        <vt:lpwstr>https://www.gov.uk/government/statistics/schools-pupils-and-their-characteristics-january-2024</vt:lpwstr>
      </vt:variant>
      <vt:variant>
        <vt:lpwstr/>
      </vt:variant>
      <vt:variant>
        <vt:i4>7274601</vt:i4>
      </vt:variant>
      <vt:variant>
        <vt:i4>147</vt:i4>
      </vt:variant>
      <vt:variant>
        <vt:i4>0</vt:i4>
      </vt:variant>
      <vt:variant>
        <vt:i4>5</vt:i4>
      </vt:variant>
      <vt:variant>
        <vt:lpwstr>https://explore-education-statistics.service.gov.uk/data-tables/permalink/50addc46-27b7-4588-b0fd-08dd7ce56a8a</vt:lpwstr>
      </vt:variant>
      <vt:variant>
        <vt:lpwstr/>
      </vt:variant>
      <vt:variant>
        <vt:i4>4915230</vt:i4>
      </vt:variant>
      <vt:variant>
        <vt:i4>144</vt:i4>
      </vt:variant>
      <vt:variant>
        <vt:i4>0</vt:i4>
      </vt:variant>
      <vt:variant>
        <vt:i4>5</vt:i4>
      </vt:variant>
      <vt:variant>
        <vt:lpwstr>https://explore-education-statistics.service.gov.uk/find-statistics/outcomes-for-children-in-need-including-children-looked-after-by-local-authorities-in-england</vt:lpwstr>
      </vt:variant>
      <vt:variant>
        <vt:lpwstr>dataBlock-1b19e749-6a94-4863-ad1f-867829c12721-tables</vt:lpwstr>
      </vt:variant>
      <vt:variant>
        <vt:i4>1310805</vt:i4>
      </vt:variant>
      <vt:variant>
        <vt:i4>141</vt:i4>
      </vt:variant>
      <vt:variant>
        <vt:i4>0</vt:i4>
      </vt:variant>
      <vt:variant>
        <vt:i4>5</vt:i4>
      </vt:variant>
      <vt:variant>
        <vt:lpwstr>https://explore-education-statistics.service.gov.uk/find-statistics/special-educational-needs-in-england</vt:lpwstr>
      </vt:variant>
      <vt:variant>
        <vt:lpwstr>dataBlock-52866b7c-0ead-487f-90d0-9c6fe2f4308a-tables</vt:lpwstr>
      </vt:variant>
      <vt:variant>
        <vt:i4>1966106</vt:i4>
      </vt:variant>
      <vt:variant>
        <vt:i4>138</vt:i4>
      </vt:variant>
      <vt:variant>
        <vt:i4>0</vt:i4>
      </vt:variant>
      <vt:variant>
        <vt:i4>5</vt:i4>
      </vt:variant>
      <vt:variant>
        <vt:lpwstr>https://www.gov.uk/government/statistics/family-resources-survey-financial-year-2022-to-2023/family-resources-survey-financial-year-2022-to-2023</vt:lpwstr>
      </vt:variant>
      <vt:variant>
        <vt:lpwstr>:~:text=Almost%20one%20in%20four%20people,increase%20of%203.9%20million%20people.</vt:lpwstr>
      </vt:variant>
      <vt:variant>
        <vt:i4>2162747</vt:i4>
      </vt:variant>
      <vt:variant>
        <vt:i4>135</vt:i4>
      </vt:variant>
      <vt:variant>
        <vt:i4>0</vt:i4>
      </vt:variant>
      <vt:variant>
        <vt:i4>5</vt:i4>
      </vt:variant>
      <vt:variant>
        <vt:lpwstr>https://www.brighton-hove.gov.uk/sites/default/files/2020-01/brighton-hove-city-council-plan-2020-2023.pdf</vt:lpwstr>
      </vt:variant>
      <vt:variant>
        <vt:lpwstr/>
      </vt:variant>
      <vt:variant>
        <vt:i4>2490401</vt:i4>
      </vt:variant>
      <vt:variant>
        <vt:i4>132</vt:i4>
      </vt:variant>
      <vt:variant>
        <vt:i4>0</vt:i4>
      </vt:variant>
      <vt:variant>
        <vt:i4>5</vt:i4>
      </vt:variant>
      <vt:variant>
        <vt:lpwstr>https://www.brighton-hove.gov.uk/families-children-and-learning/hidden-children/brighton-hoves-hidden-children-strategy</vt:lpwstr>
      </vt:variant>
      <vt:variant>
        <vt:lpwstr/>
      </vt:variant>
      <vt:variant>
        <vt:i4>2424906</vt:i4>
      </vt:variant>
      <vt:variant>
        <vt:i4>129</vt:i4>
      </vt:variant>
      <vt:variant>
        <vt:i4>0</vt:i4>
      </vt:variant>
      <vt:variant>
        <vt:i4>5</vt:i4>
      </vt:variant>
      <vt:variant>
        <vt:lpwstr>https://democracy.brighton-hove.gov.uk/documents/s190409/HASC Delivery Strategy APX. n 1_v3.pdf</vt:lpwstr>
      </vt:variant>
      <vt:variant>
        <vt:lpwstr/>
      </vt:variant>
      <vt:variant>
        <vt:i4>1048604</vt:i4>
      </vt:variant>
      <vt:variant>
        <vt:i4>126</vt:i4>
      </vt:variant>
      <vt:variant>
        <vt:i4>0</vt:i4>
      </vt:variant>
      <vt:variant>
        <vt:i4>5</vt:i4>
      </vt:variant>
      <vt:variant>
        <vt:lpwstr>https://www.brighton-hove.gov.uk/sites/default/files/migrated/article/inline/BH SEND Guide Summary for Professionals.pdf</vt:lpwstr>
      </vt:variant>
      <vt:variant>
        <vt:lpwstr/>
      </vt:variant>
      <vt:variant>
        <vt:i4>2359346</vt:i4>
      </vt:variant>
      <vt:variant>
        <vt:i4>123</vt:i4>
      </vt:variant>
      <vt:variant>
        <vt:i4>0</vt:i4>
      </vt:variant>
      <vt:variant>
        <vt:i4>5</vt:i4>
      </vt:variant>
      <vt:variant>
        <vt:lpwstr>https://www.sussex.ics.nhs.uk/our-work/our-priorities/mental-health-learning-disability-and-autism/learning-disability-and-autism/</vt:lpwstr>
      </vt:variant>
      <vt:variant>
        <vt:lpwstr/>
      </vt:variant>
      <vt:variant>
        <vt:i4>5767261</vt:i4>
      </vt:variant>
      <vt:variant>
        <vt:i4>120</vt:i4>
      </vt:variant>
      <vt:variant>
        <vt:i4>0</vt:i4>
      </vt:variant>
      <vt:variant>
        <vt:i4>5</vt:i4>
      </vt:variant>
      <vt:variant>
        <vt:lpwstr>https://www.sussex.ics.nhs.uk/wp-content/uploads/sites/9/2023/07/integrated-community.pdf</vt:lpwstr>
      </vt:variant>
      <vt:variant>
        <vt:lpwstr/>
      </vt:variant>
      <vt:variant>
        <vt:i4>196637</vt:i4>
      </vt:variant>
      <vt:variant>
        <vt:i4>117</vt:i4>
      </vt:variant>
      <vt:variant>
        <vt:i4>0</vt:i4>
      </vt:variant>
      <vt:variant>
        <vt:i4>5</vt:i4>
      </vt:variant>
      <vt:variant>
        <vt:lpwstr>https://www.brighton-hove.gov.uk/sites/default/files/health/brighton-hove-health-wellbeing-strategy-2019-2030-26-july-19.pdf</vt:lpwstr>
      </vt:variant>
      <vt:variant>
        <vt:lpwstr/>
      </vt:variant>
      <vt:variant>
        <vt:i4>262209</vt:i4>
      </vt:variant>
      <vt:variant>
        <vt:i4>114</vt:i4>
      </vt:variant>
      <vt:variant>
        <vt:i4>0</vt:i4>
      </vt:variant>
      <vt:variant>
        <vt:i4>5</vt:i4>
      </vt:variant>
      <vt:variant>
        <vt:lpwstr>https://www.sussex.ics.nhs.uk/wp-content/uploads/sites/9/2023/03/3.1-Shared-Delivery-Plan-progress-update-and-draftpdf-1.pdf</vt:lpwstr>
      </vt:variant>
      <vt:variant>
        <vt:lpwstr/>
      </vt:variant>
      <vt:variant>
        <vt:i4>5374023</vt:i4>
      </vt:variant>
      <vt:variant>
        <vt:i4>111</vt:i4>
      </vt:variant>
      <vt:variant>
        <vt:i4>0</vt:i4>
      </vt:variant>
      <vt:variant>
        <vt:i4>5</vt:i4>
      </vt:variant>
      <vt:variant>
        <vt:lpwstr>https://www.sussex.ics.nhs.uk/our-work/cyp/learning-disability-and-autism/driving-improvements-in-neurodevelopmental-services-across-sussex/</vt:lpwstr>
      </vt:variant>
      <vt:variant>
        <vt:lpwstr/>
      </vt:variant>
      <vt:variant>
        <vt:i4>917599</vt:i4>
      </vt:variant>
      <vt:variant>
        <vt:i4>108</vt:i4>
      </vt:variant>
      <vt:variant>
        <vt:i4>0</vt:i4>
      </vt:variant>
      <vt:variant>
        <vt:i4>5</vt:i4>
      </vt:variant>
      <vt:variant>
        <vt:lpwstr>https://www.eastsussexccg.nhs.uk/wp-content/uploads/2021/06/Sussex-LDA-Strategy-2021-2024.pdf</vt:lpwstr>
      </vt:variant>
      <vt:variant>
        <vt:lpwstr/>
      </vt:variant>
      <vt:variant>
        <vt:i4>327688</vt:i4>
      </vt:variant>
      <vt:variant>
        <vt:i4>105</vt:i4>
      </vt:variant>
      <vt:variant>
        <vt:i4>0</vt:i4>
      </vt:variant>
      <vt:variant>
        <vt:i4>5</vt:i4>
      </vt:variant>
      <vt:variant>
        <vt:lpwstr>https://www.brighton-hove.gov.uk/adult-social-care/stay-healthy-and-well/brighton-hove-adult-autism-strategy-and-action-plan</vt:lpwstr>
      </vt:variant>
      <vt:variant>
        <vt:lpwstr/>
      </vt:variant>
      <vt:variant>
        <vt:i4>1900622</vt:i4>
      </vt:variant>
      <vt:variant>
        <vt:i4>102</vt:i4>
      </vt:variant>
      <vt:variant>
        <vt:i4>0</vt:i4>
      </vt:variant>
      <vt:variant>
        <vt:i4>5</vt:i4>
      </vt:variant>
      <vt:variant>
        <vt:lpwstr>https://www.brighton-hove.gov.uk/brighton-and-hove-adult-learning-disability-strategy-big-plan-2021-2026/brighton-and-hove-adult-learning-disability-strategy</vt:lpwstr>
      </vt:variant>
      <vt:variant>
        <vt:lpwstr/>
      </vt:variant>
      <vt:variant>
        <vt:i4>8192102</vt:i4>
      </vt:variant>
      <vt:variant>
        <vt:i4>99</vt:i4>
      </vt:variant>
      <vt:variant>
        <vt:i4>0</vt:i4>
      </vt:variant>
      <vt:variant>
        <vt:i4>5</vt:i4>
      </vt:variant>
      <vt:variant>
        <vt:lpwstr>https://amazesussex.org.uk/news/send-reforms-change-programme-rollout/</vt:lpwstr>
      </vt:variant>
      <vt:variant>
        <vt:lpwstr/>
      </vt:variant>
      <vt:variant>
        <vt:i4>6225950</vt:i4>
      </vt:variant>
      <vt:variant>
        <vt:i4>96</vt:i4>
      </vt:variant>
      <vt:variant>
        <vt:i4>0</vt:i4>
      </vt:variant>
      <vt:variant>
        <vt:i4>5</vt:i4>
      </vt:variant>
      <vt:variant>
        <vt:lpwstr>https://democracy.brighton-hove.gov.uk/documents/s202985/T2A - strategy 3.5final.pdf</vt:lpwstr>
      </vt:variant>
      <vt:variant>
        <vt:lpwstr/>
      </vt:variant>
      <vt:variant>
        <vt:i4>4194425</vt:i4>
      </vt:variant>
      <vt:variant>
        <vt:i4>93</vt:i4>
      </vt:variant>
      <vt:variant>
        <vt:i4>0</vt:i4>
      </vt:variant>
      <vt:variant>
        <vt:i4>5</vt:i4>
      </vt:variant>
      <vt:variant>
        <vt:lpwstr>https://www.brighton-hove.gov.uk/sites/default/files/2023-07/SEND Strategy Updated July 2023 Final with covers %282%29_0.pdf</vt:lpwstr>
      </vt:variant>
      <vt:variant>
        <vt:lpwstr/>
      </vt:variant>
      <vt:variant>
        <vt:i4>7012461</vt:i4>
      </vt:variant>
      <vt:variant>
        <vt:i4>90</vt:i4>
      </vt:variant>
      <vt:variant>
        <vt:i4>0</vt:i4>
      </vt:variant>
      <vt:variant>
        <vt:i4>5</vt:i4>
      </vt:variant>
      <vt:variant>
        <vt:lpwstr>https://www.brighton-hove.gov.uk/sites/default/files/2023-05/Brighton and Hove Area SEND Full inspection March 2023.pdf</vt:lpwstr>
      </vt:variant>
      <vt:variant>
        <vt:lpwstr/>
      </vt:variant>
      <vt:variant>
        <vt:i4>3604605</vt:i4>
      </vt:variant>
      <vt:variant>
        <vt:i4>87</vt:i4>
      </vt:variant>
      <vt:variant>
        <vt:i4>0</vt:i4>
      </vt:variant>
      <vt:variant>
        <vt:i4>5</vt:i4>
      </vt:variant>
      <vt:variant>
        <vt:lpwstr>https://www.gov.uk/government/publications/send-guide-for-health-professionals/send-resources-for-healthcare-professionals</vt:lpwstr>
      </vt:variant>
      <vt:variant>
        <vt:lpwstr/>
      </vt:variant>
      <vt:variant>
        <vt:i4>196621</vt:i4>
      </vt:variant>
      <vt:variant>
        <vt:i4>84</vt:i4>
      </vt:variant>
      <vt:variant>
        <vt:i4>0</vt:i4>
      </vt:variant>
      <vt:variant>
        <vt:i4>5</vt:i4>
      </vt:variant>
      <vt:variant>
        <vt:lpwstr>https://www.gov.uk/government/consultations/oliver-mcgowan-draft-code-of-practice/oliver-mcgowan-draft-code-of-practice-on-statutory-learning-disability-and-autism-training</vt:lpwstr>
      </vt:variant>
      <vt:variant>
        <vt:lpwstr/>
      </vt:variant>
      <vt:variant>
        <vt:i4>5308509</vt:i4>
      </vt:variant>
      <vt:variant>
        <vt:i4>81</vt:i4>
      </vt:variant>
      <vt:variant>
        <vt:i4>0</vt:i4>
      </vt:variant>
      <vt:variant>
        <vt:i4>5</vt:i4>
      </vt:variant>
      <vt:variant>
        <vt:lpwstr>https://www.legislation.gov.uk/ukpga/2022/31/contents</vt:lpwstr>
      </vt:variant>
      <vt:variant>
        <vt:lpwstr/>
      </vt:variant>
      <vt:variant>
        <vt:i4>4718592</vt:i4>
      </vt:variant>
      <vt:variant>
        <vt:i4>78</vt:i4>
      </vt:variant>
      <vt:variant>
        <vt:i4>0</vt:i4>
      </vt:variant>
      <vt:variant>
        <vt:i4>5</vt:i4>
      </vt:variant>
      <vt:variant>
        <vt:lpwstr>https://www.longtermplan.nhs.uk/wp-content/uploads/2019/08/nhs-long-term-plan-version-1.2.pdf</vt:lpwstr>
      </vt:variant>
      <vt:variant>
        <vt:lpwstr/>
      </vt:variant>
      <vt:variant>
        <vt:i4>1310748</vt:i4>
      </vt:variant>
      <vt:variant>
        <vt:i4>75</vt:i4>
      </vt:variant>
      <vt:variant>
        <vt:i4>0</vt:i4>
      </vt:variant>
      <vt:variant>
        <vt:i4>5</vt:i4>
      </vt:variant>
      <vt:variant>
        <vt:lpwstr>https://www.gov.uk/government/publications/national-strategy-for-autistic-children-young-people-and-adults-2021-to-2026/the-national-strategy-for-autistic-children-young-people-and-adults-2021-to-2026</vt:lpwstr>
      </vt:variant>
      <vt:variant>
        <vt:lpwstr/>
      </vt:variant>
      <vt:variant>
        <vt:i4>7733365</vt:i4>
      </vt:variant>
      <vt:variant>
        <vt:i4>72</vt:i4>
      </vt:variant>
      <vt:variant>
        <vt:i4>0</vt:i4>
      </vt:variant>
      <vt:variant>
        <vt:i4>5</vt:i4>
      </vt:variant>
      <vt:variant>
        <vt:lpwstr>https://www.gov.uk/government/publications/building-the-right-support-for-people-with-a-learning-disability-and-autistic-people/building-the-right-support-action-plan</vt:lpwstr>
      </vt:variant>
      <vt:variant>
        <vt:lpwstr/>
      </vt:variant>
      <vt:variant>
        <vt:i4>3932274</vt:i4>
      </vt:variant>
      <vt:variant>
        <vt:i4>69</vt:i4>
      </vt:variant>
      <vt:variant>
        <vt:i4>0</vt:i4>
      </vt:variant>
      <vt:variant>
        <vt:i4>5</vt:i4>
      </vt:variant>
      <vt:variant>
        <vt:lpwstr>https://www.ons.gov.uk/peoplepopulationandcommunity/healthandsocialcare/mentalhealth/bulletins/preventionoffuturedeathreportsforsuicideinchildreninenglandandwales/january2015tonovember2023?fbclid=IwY2xjawI1JYRleHRuA2FlbQIxMAABHRnva1NFXW9sIOckXo1QUmnUDyV9RqtlpF8Y3gtHNrcz4icPLzRpFPWvaA_aem_Mh2Ncpw6cNonSlZcjNY92g</vt:lpwstr>
      </vt:variant>
      <vt:variant>
        <vt:lpwstr/>
      </vt:variant>
      <vt:variant>
        <vt:i4>6226044</vt:i4>
      </vt:variant>
      <vt:variant>
        <vt:i4>63</vt:i4>
      </vt:variant>
      <vt:variant>
        <vt:i4>0</vt:i4>
      </vt:variant>
      <vt:variant>
        <vt:i4>5</vt:i4>
      </vt:variant>
      <vt:variant>
        <vt:lpwstr>https://assets.publishing.service.gov.uk/media/640a17f28fa8f5560820da4b/Independent_review_of_children_s_social_care_-_Final_report.pdf</vt:lpwstr>
      </vt:variant>
      <vt:variant>
        <vt:lpwstr/>
      </vt:variant>
      <vt:variant>
        <vt:i4>6029371</vt:i4>
      </vt:variant>
      <vt:variant>
        <vt:i4>60</vt:i4>
      </vt:variant>
      <vt:variant>
        <vt:i4>0</vt:i4>
      </vt:variant>
      <vt:variant>
        <vt:i4>5</vt:i4>
      </vt:variant>
      <vt:variant>
        <vt:lpwstr>https://assets.publishing.service.gov.uk/media/5a7dcb85ed915d2ac884d995/SEND_Code_of_Practice_January_2015.pdf</vt:lpwstr>
      </vt:variant>
      <vt:variant>
        <vt:lpwstr/>
      </vt:variant>
      <vt:variant>
        <vt:i4>8061036</vt:i4>
      </vt:variant>
      <vt:variant>
        <vt:i4>57</vt:i4>
      </vt:variant>
      <vt:variant>
        <vt:i4>0</vt:i4>
      </vt:variant>
      <vt:variant>
        <vt:i4>5</vt:i4>
      </vt:variant>
      <vt:variant>
        <vt:lpwstr>https://councilfordisabledchildren.org.uk/sites/default/files/uploads/files/DMO%2520handbook%2520newest.pdf</vt:lpwstr>
      </vt:variant>
      <vt:variant>
        <vt:lpwstr/>
      </vt:variant>
      <vt:variant>
        <vt:i4>6029371</vt:i4>
      </vt:variant>
      <vt:variant>
        <vt:i4>54</vt:i4>
      </vt:variant>
      <vt:variant>
        <vt:i4>0</vt:i4>
      </vt:variant>
      <vt:variant>
        <vt:i4>5</vt:i4>
      </vt:variant>
      <vt:variant>
        <vt:lpwstr>https://assets.publishing.service.gov.uk/media/5a7dcb85ed915d2ac884d995/SEND_Code_of_Practice_January_2015.pdf</vt:lpwstr>
      </vt:variant>
      <vt:variant>
        <vt:lpwstr/>
      </vt:variant>
      <vt:variant>
        <vt:i4>1310748</vt:i4>
      </vt:variant>
      <vt:variant>
        <vt:i4>51</vt:i4>
      </vt:variant>
      <vt:variant>
        <vt:i4>0</vt:i4>
      </vt:variant>
      <vt:variant>
        <vt:i4>5</vt:i4>
      </vt:variant>
      <vt:variant>
        <vt:lpwstr>https://www.gov.uk/government/publications/national-strategy-for-autistic-children-young-people-and-adults-2021-to-2026/the-national-strategy-for-autistic-children-young-people-and-adults-2021-to-2026</vt:lpwstr>
      </vt:variant>
      <vt:variant>
        <vt:lpwstr/>
      </vt:variant>
      <vt:variant>
        <vt:i4>6029371</vt:i4>
      </vt:variant>
      <vt:variant>
        <vt:i4>48</vt:i4>
      </vt:variant>
      <vt:variant>
        <vt:i4>0</vt:i4>
      </vt:variant>
      <vt:variant>
        <vt:i4>5</vt:i4>
      </vt:variant>
      <vt:variant>
        <vt:lpwstr>https://assets.publishing.service.gov.uk/media/5a7dcb85ed915d2ac884d995/SEND_Code_of_Practice_January_2015.pdf</vt:lpwstr>
      </vt:variant>
      <vt:variant>
        <vt:lpwstr/>
      </vt:variant>
      <vt:variant>
        <vt:i4>6029371</vt:i4>
      </vt:variant>
      <vt:variant>
        <vt:i4>42</vt:i4>
      </vt:variant>
      <vt:variant>
        <vt:i4>0</vt:i4>
      </vt:variant>
      <vt:variant>
        <vt:i4>5</vt:i4>
      </vt:variant>
      <vt:variant>
        <vt:lpwstr>https://assets.publishing.service.gov.uk/media/5a7dcb85ed915d2ac884d995/SEND_Code_of_Practice_January_2015.pdf</vt:lpwstr>
      </vt:variant>
      <vt:variant>
        <vt:lpwstr/>
      </vt:variant>
      <vt:variant>
        <vt:i4>3407990</vt:i4>
      </vt:variant>
      <vt:variant>
        <vt:i4>39</vt:i4>
      </vt:variant>
      <vt:variant>
        <vt:i4>0</vt:i4>
      </vt:variant>
      <vt:variant>
        <vt:i4>5</vt:i4>
      </vt:variant>
      <vt:variant>
        <vt:lpwstr>https://assets.publishing.service.gov.uk/media/5a7ec1caed915d74e33f239d/Further_education__guide_to_the_0_to_25_SEND_code_of_practice.pdf</vt:lpwstr>
      </vt:variant>
      <vt:variant>
        <vt:lpwstr/>
      </vt:variant>
      <vt:variant>
        <vt:i4>4522033</vt:i4>
      </vt:variant>
      <vt:variant>
        <vt:i4>36</vt:i4>
      </vt:variant>
      <vt:variant>
        <vt:i4>0</vt:i4>
      </vt:variant>
      <vt:variant>
        <vt:i4>5</vt:i4>
      </vt:variant>
      <vt:variant>
        <vt:lpwstr>https://assets.publishing.service.gov.uk/government/uploads/system/uploads/attachment_data/file/349053/Schools_Guide_to_the_0_to_25_SEND_Code_of_Practice.pdf</vt:lpwstr>
      </vt:variant>
      <vt:variant>
        <vt:lpwstr/>
      </vt:variant>
      <vt:variant>
        <vt:i4>3407880</vt:i4>
      </vt:variant>
      <vt:variant>
        <vt:i4>33</vt:i4>
      </vt:variant>
      <vt:variant>
        <vt:i4>0</vt:i4>
      </vt:variant>
      <vt:variant>
        <vt:i4>5</vt:i4>
      </vt:variant>
      <vt:variant>
        <vt:lpwstr>https://assets.publishing.service.gov.uk/media/670f9a2030536cb92748324f/2024_EYFS_statutory_framework_for_group_and_school_based_providers.pdf</vt:lpwstr>
      </vt:variant>
      <vt:variant>
        <vt:lpwstr/>
      </vt:variant>
      <vt:variant>
        <vt:i4>1310748</vt:i4>
      </vt:variant>
      <vt:variant>
        <vt:i4>30</vt:i4>
      </vt:variant>
      <vt:variant>
        <vt:i4>0</vt:i4>
      </vt:variant>
      <vt:variant>
        <vt:i4>5</vt:i4>
      </vt:variant>
      <vt:variant>
        <vt:lpwstr>https://www.gov.uk/government/publications/national-strategy-for-autistic-children-young-people-and-adults-2021-to-2026/the-national-strategy-for-autistic-children-young-people-and-adults-2021-to-2026</vt:lpwstr>
      </vt:variant>
      <vt:variant>
        <vt:lpwstr/>
      </vt:variant>
      <vt:variant>
        <vt:i4>6029371</vt:i4>
      </vt:variant>
      <vt:variant>
        <vt:i4>27</vt:i4>
      </vt:variant>
      <vt:variant>
        <vt:i4>0</vt:i4>
      </vt:variant>
      <vt:variant>
        <vt:i4>5</vt:i4>
      </vt:variant>
      <vt:variant>
        <vt:lpwstr>https://assets.publishing.service.gov.uk/media/5a7dcb85ed915d2ac884d995/SEND_Code_of_Practice_January_2015.pdf</vt:lpwstr>
      </vt:variant>
      <vt:variant>
        <vt:lpwstr/>
      </vt:variant>
      <vt:variant>
        <vt:i4>5308493</vt:i4>
      </vt:variant>
      <vt:variant>
        <vt:i4>24</vt:i4>
      </vt:variant>
      <vt:variant>
        <vt:i4>0</vt:i4>
      </vt:variant>
      <vt:variant>
        <vt:i4>5</vt:i4>
      </vt:variant>
      <vt:variant>
        <vt:lpwstr>https://www.gov.uk/government/publications/area-send-framework-and-handbook/area-send-inspections-framework-and-handbook</vt:lpwstr>
      </vt:variant>
      <vt:variant>
        <vt:lpwstr/>
      </vt:variant>
      <vt:variant>
        <vt:i4>6160453</vt:i4>
      </vt:variant>
      <vt:variant>
        <vt:i4>21</vt:i4>
      </vt:variant>
      <vt:variant>
        <vt:i4>0</vt:i4>
      </vt:variant>
      <vt:variant>
        <vt:i4>5</vt:i4>
      </vt:variant>
      <vt:variant>
        <vt:lpwstr>https://www.gov.uk/government/publications/high-needs-funding-arrangements-2024-to-2025/high-needs-funding-2024-to-2025-operational-guide</vt:lpwstr>
      </vt:variant>
      <vt:variant>
        <vt:lpwstr/>
      </vt:variant>
      <vt:variant>
        <vt:i4>2621496</vt:i4>
      </vt:variant>
      <vt:variant>
        <vt:i4>15</vt:i4>
      </vt:variant>
      <vt:variant>
        <vt:i4>0</vt:i4>
      </vt:variant>
      <vt:variant>
        <vt:i4>5</vt:i4>
      </vt:variant>
      <vt:variant>
        <vt:lpwstr>https://assets.publishing.service.gov.uk/media/5ce6a72e40f0b620a103bd53/supporting-pupils-at-school-with-medical-conditions.pdf</vt:lpwstr>
      </vt:variant>
      <vt:variant>
        <vt:lpwstr/>
      </vt:variant>
      <vt:variant>
        <vt:i4>3866691</vt:i4>
      </vt:variant>
      <vt:variant>
        <vt:i4>12</vt:i4>
      </vt:variant>
      <vt:variant>
        <vt:i4>0</vt:i4>
      </vt:variant>
      <vt:variant>
        <vt:i4>5</vt:i4>
      </vt:variant>
      <vt:variant>
        <vt:lpwstr>https://assets.publishing.service.gov.uk/media/63ff39d28fa8f527fb67cb06/SEND_and_alternative_provision_improvement_plan.pdf</vt:lpwstr>
      </vt:variant>
      <vt:variant>
        <vt:lpwstr/>
      </vt:variant>
      <vt:variant>
        <vt:i4>3145845</vt:i4>
      </vt:variant>
      <vt:variant>
        <vt:i4>9</vt:i4>
      </vt:variant>
      <vt:variant>
        <vt:i4>0</vt:i4>
      </vt:variant>
      <vt:variant>
        <vt:i4>5</vt:i4>
      </vt:variant>
      <vt:variant>
        <vt:lpwstr>https://assets.publishing.service.gov.uk/media/624178c68fa8f5277c0168e7/SEND_review_right_support_right_place_right_time_accessible.pdf</vt:lpwstr>
      </vt:variant>
      <vt:variant>
        <vt:lpwstr/>
      </vt:variant>
      <vt:variant>
        <vt:i4>6029371</vt:i4>
      </vt:variant>
      <vt:variant>
        <vt:i4>6</vt:i4>
      </vt:variant>
      <vt:variant>
        <vt:i4>0</vt:i4>
      </vt:variant>
      <vt:variant>
        <vt:i4>5</vt:i4>
      </vt:variant>
      <vt:variant>
        <vt:lpwstr>https://assets.publishing.service.gov.uk/media/5a7dcb85ed915d2ac884d995/SEND_Code_of_Practice_January_2015.pdf</vt:lpwstr>
      </vt:variant>
      <vt:variant>
        <vt:lpwstr/>
      </vt:variant>
      <vt:variant>
        <vt:i4>1245184</vt:i4>
      </vt:variant>
      <vt:variant>
        <vt:i4>3</vt:i4>
      </vt:variant>
      <vt:variant>
        <vt:i4>0</vt:i4>
      </vt:variant>
      <vt:variant>
        <vt:i4>5</vt:i4>
      </vt:variant>
      <vt:variant>
        <vt:lpwstr>https://cms.bps.org.uk/sites/default/files/2022-07/Psychology at work - improving wellbeing and productivity in the workplace.pdf</vt:lpwstr>
      </vt:variant>
      <vt:variant>
        <vt:lpwstr/>
      </vt:variant>
      <vt:variant>
        <vt:i4>4390983</vt:i4>
      </vt:variant>
      <vt:variant>
        <vt:i4>0</vt:i4>
      </vt:variant>
      <vt:variant>
        <vt:i4>0</vt:i4>
      </vt:variant>
      <vt:variant>
        <vt:i4>5</vt:i4>
      </vt:variant>
      <vt:variant>
        <vt:lpwstr>https://assets.publishing.service.gov.uk/media/6304e6fdd3bf7f3664b65b35/Statutory-Guidance-on-Joint-Strategic-Needs-Assessments-and-Joint-Health-and-Wellbeing-Strategies-March-2013.pdf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Condon</dc:creator>
  <cp:keywords/>
  <cp:lastModifiedBy>Katie Evans</cp:lastModifiedBy>
  <cp:revision>2</cp:revision>
  <cp:lastPrinted>2019-09-30T06:13:00Z</cp:lastPrinted>
  <dcterms:created xsi:type="dcterms:W3CDTF">2026-05-05T09:41:00Z</dcterms:created>
  <dcterms:modified xsi:type="dcterms:W3CDTF">2026-05-05T09:41:00Z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0x010100C8840AC294BC0B49BEFDC22E796D98D9</vt:lpwstr>
  </property>
  <property fmtid="{D5CDD505-2E9C-101B-9397-08002B2CF9AE}" pid="3" name="Order">
    <vt:r8>100</vt:r8>
  </property>
  <property fmtid="{D5CDD505-2E9C-101B-9397-08002B2CF9AE}" pid="4" name="MediaServiceImageTags">
    <vt:lpwstr/>
  </property>
  <property fmtid="{D5CDD505-2E9C-101B-9397-08002B2CF9AE}" pid="5" name="docLang">
    <vt:lpwstr>en</vt:lpwstr>
  </property>
</Properties>
</file>